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67236" w14:textId="654B40EA" w:rsidR="00514A87" w:rsidRPr="009945D9" w:rsidRDefault="00514A87" w:rsidP="00514A87">
      <w:pPr>
        <w:jc w:val="center"/>
        <w:rPr>
          <w:rFonts w:ascii="Times New Roman" w:hAnsi="Times New Roman" w:cs="Times New Roman"/>
          <w:b/>
          <w:bCs/>
          <w:color w:val="0F4761" w:themeColor="accent1" w:themeShade="BF"/>
          <w:u w:val="single"/>
        </w:rPr>
      </w:pPr>
      <w:r w:rsidRPr="00514A87">
        <w:rPr>
          <w:rFonts w:ascii="Times New Roman" w:hAnsi="Times New Roman" w:cs="Times New Roman"/>
          <w:b/>
          <w:bCs/>
          <w:color w:val="0F4761" w:themeColor="accent1" w:themeShade="BF"/>
          <w:u w:val="single"/>
        </w:rPr>
        <w:t>Concept Note:</w:t>
      </w:r>
    </w:p>
    <w:p w14:paraId="3CB4D971" w14:textId="70A514A5" w:rsidR="00514A87" w:rsidRPr="00514A87" w:rsidRDefault="00514A87" w:rsidP="00514A87">
      <w:pPr>
        <w:jc w:val="center"/>
        <w:rPr>
          <w:rFonts w:ascii="Times New Roman" w:hAnsi="Times New Roman" w:cs="Times New Roman"/>
          <w:b/>
          <w:bCs/>
          <w:color w:val="0F4761" w:themeColor="accent1" w:themeShade="BF"/>
          <w:u w:val="single"/>
        </w:rPr>
      </w:pPr>
      <w:r w:rsidRPr="00514A87">
        <w:rPr>
          <w:rFonts w:ascii="Times New Roman" w:hAnsi="Times New Roman" w:cs="Times New Roman"/>
          <w:b/>
          <w:bCs/>
          <w:color w:val="0F4761" w:themeColor="accent1" w:themeShade="BF"/>
          <w:u w:val="single"/>
        </w:rPr>
        <w:t>Ranking and Scoring System for NIRI</w:t>
      </w:r>
    </w:p>
    <w:p w14:paraId="01069162" w14:textId="44DBB74C" w:rsidR="00514A87" w:rsidRPr="00311DCE" w:rsidRDefault="00514A87" w:rsidP="004B460E">
      <w:pPr>
        <w:pStyle w:val="Heading1"/>
        <w:numPr>
          <w:ilvl w:val="0"/>
          <w:numId w:val="8"/>
        </w:numPr>
        <w:tabs>
          <w:tab w:val="clear" w:pos="340"/>
        </w:tabs>
        <w:ind w:left="270" w:hanging="270"/>
        <w:rPr>
          <w:rFonts w:ascii="Times New Roman" w:hAnsi="Times New Roman" w:cs="Times New Roman"/>
          <w:b/>
          <w:bCs/>
          <w:sz w:val="24"/>
          <w:szCs w:val="24"/>
        </w:rPr>
      </w:pPr>
      <w:r w:rsidRPr="00311DCE">
        <w:rPr>
          <w:rFonts w:ascii="Times New Roman" w:hAnsi="Times New Roman" w:cs="Times New Roman"/>
          <w:b/>
          <w:bCs/>
          <w:sz w:val="24"/>
          <w:szCs w:val="24"/>
        </w:rPr>
        <w:t>Background and Context</w:t>
      </w:r>
    </w:p>
    <w:p w14:paraId="7403FB18" w14:textId="456A0171" w:rsidR="00514A87" w:rsidRDefault="00311DCE" w:rsidP="00B70974">
      <w:pPr>
        <w:jc w:val="both"/>
        <w:rPr>
          <w:rFonts w:ascii="Times New Roman" w:hAnsi="Times New Roman" w:cs="Times New Roman"/>
        </w:rPr>
      </w:pPr>
      <w:r w:rsidRPr="00311DCE">
        <w:rPr>
          <w:rFonts w:ascii="Times New Roman" w:hAnsi="Times New Roman" w:cs="Times New Roman"/>
        </w:rPr>
        <w:t>Infrastructure development in India serves as a vital driver of economic growth, a foundation for regional balance, and a key pillar of sustainable development.</w:t>
      </w:r>
      <w:r>
        <w:rPr>
          <w:rFonts w:ascii="Times New Roman" w:hAnsi="Times New Roman" w:cs="Times New Roman"/>
        </w:rPr>
        <w:t xml:space="preserve"> </w:t>
      </w:r>
      <w:r w:rsidR="00514A87" w:rsidRPr="00514A87">
        <w:rPr>
          <w:rFonts w:ascii="Times New Roman" w:hAnsi="Times New Roman" w:cs="Times New Roman"/>
        </w:rPr>
        <w:t xml:space="preserve">To assess the preparedness of States and Union Territories (UTs) in infrastructure development, the Ministry of Statistics and </w:t>
      </w:r>
      <w:proofErr w:type="spellStart"/>
      <w:r w:rsidR="00514A87" w:rsidRPr="00514A87">
        <w:rPr>
          <w:rFonts w:ascii="Times New Roman" w:hAnsi="Times New Roman" w:cs="Times New Roman"/>
        </w:rPr>
        <w:t>Programme</w:t>
      </w:r>
      <w:proofErr w:type="spellEnd"/>
      <w:r w:rsidR="00514A87" w:rsidRPr="00514A87">
        <w:rPr>
          <w:rFonts w:ascii="Times New Roman" w:hAnsi="Times New Roman" w:cs="Times New Roman"/>
        </w:rPr>
        <w:t xml:space="preserve"> Implementation (</w:t>
      </w:r>
      <w:proofErr w:type="spellStart"/>
      <w:r w:rsidR="00514A87" w:rsidRPr="00514A87">
        <w:rPr>
          <w:rFonts w:ascii="Times New Roman" w:hAnsi="Times New Roman" w:cs="Times New Roman"/>
        </w:rPr>
        <w:t>MoSPI</w:t>
      </w:r>
      <w:proofErr w:type="spellEnd"/>
      <w:r w:rsidR="00514A87" w:rsidRPr="00514A87">
        <w:rPr>
          <w:rFonts w:ascii="Times New Roman" w:hAnsi="Times New Roman" w:cs="Times New Roman"/>
        </w:rPr>
        <w:t>) has conceptualized the National Infrastructure Readiness Index (NIRI). NIRI aims to provide a standardized, data-driven framework to evaluate and rank infrastructure readiness across four key dimensions: Infrastructure Financing, Infrastructure Development, PPP Development, and Infrastructure Enablers.</w:t>
      </w:r>
    </w:p>
    <w:p w14:paraId="76FF6026" w14:textId="1B726FEF" w:rsidR="00311DCE" w:rsidRPr="00311DCE" w:rsidRDefault="00311DCE" w:rsidP="00B70974">
      <w:pPr>
        <w:jc w:val="both"/>
        <w:rPr>
          <w:rFonts w:ascii="Times New Roman" w:hAnsi="Times New Roman" w:cs="Times New Roman"/>
        </w:rPr>
      </w:pPr>
      <w:r w:rsidRPr="00311DCE">
        <w:rPr>
          <w:rFonts w:ascii="Times New Roman" w:hAnsi="Times New Roman" w:cs="Times New Roman"/>
        </w:rPr>
        <w:t xml:space="preserve">NIRI </w:t>
      </w:r>
      <w:r>
        <w:rPr>
          <w:rFonts w:ascii="Times New Roman" w:hAnsi="Times New Roman" w:cs="Times New Roman"/>
        </w:rPr>
        <w:t xml:space="preserve">portal is </w:t>
      </w:r>
      <w:r w:rsidRPr="00311DCE">
        <w:rPr>
          <w:rFonts w:ascii="Times New Roman" w:hAnsi="Times New Roman" w:cs="Times New Roman"/>
        </w:rPr>
        <w:t>designed to measure and compare how prepared different States and UTs are when it comes to infrastructure development. It helps the government and policymakers:</w:t>
      </w:r>
    </w:p>
    <w:p w14:paraId="3E18796E" w14:textId="77777777" w:rsidR="00311DCE" w:rsidRPr="00311DCE" w:rsidRDefault="00311DCE" w:rsidP="00B70974">
      <w:pPr>
        <w:numPr>
          <w:ilvl w:val="0"/>
          <w:numId w:val="9"/>
        </w:numPr>
        <w:jc w:val="both"/>
        <w:rPr>
          <w:rFonts w:ascii="Times New Roman" w:hAnsi="Times New Roman" w:cs="Times New Roman"/>
        </w:rPr>
      </w:pPr>
      <w:r w:rsidRPr="00311DCE">
        <w:rPr>
          <w:rFonts w:ascii="Times New Roman" w:hAnsi="Times New Roman" w:cs="Times New Roman"/>
        </w:rPr>
        <w:t>Identify strengths and gaps,</w:t>
      </w:r>
    </w:p>
    <w:p w14:paraId="4BF752E4" w14:textId="77777777" w:rsidR="00311DCE" w:rsidRPr="00311DCE" w:rsidRDefault="00311DCE" w:rsidP="00B70974">
      <w:pPr>
        <w:numPr>
          <w:ilvl w:val="0"/>
          <w:numId w:val="9"/>
        </w:numPr>
        <w:jc w:val="both"/>
        <w:rPr>
          <w:rFonts w:ascii="Times New Roman" w:hAnsi="Times New Roman" w:cs="Times New Roman"/>
        </w:rPr>
      </w:pPr>
      <w:r w:rsidRPr="00311DCE">
        <w:rPr>
          <w:rFonts w:ascii="Times New Roman" w:hAnsi="Times New Roman" w:cs="Times New Roman"/>
        </w:rPr>
        <w:t>Allocate resources better,</w:t>
      </w:r>
    </w:p>
    <w:p w14:paraId="6A33DE2D" w14:textId="77777777" w:rsidR="00311DCE" w:rsidRPr="00311DCE" w:rsidRDefault="00311DCE" w:rsidP="00B70974">
      <w:pPr>
        <w:numPr>
          <w:ilvl w:val="0"/>
          <w:numId w:val="9"/>
        </w:numPr>
        <w:jc w:val="both"/>
        <w:rPr>
          <w:rFonts w:ascii="Times New Roman" w:hAnsi="Times New Roman" w:cs="Times New Roman"/>
        </w:rPr>
      </w:pPr>
      <w:r w:rsidRPr="00311DCE">
        <w:rPr>
          <w:rFonts w:ascii="Times New Roman" w:hAnsi="Times New Roman" w:cs="Times New Roman"/>
        </w:rPr>
        <w:t>Encourage healthy competition,</w:t>
      </w:r>
    </w:p>
    <w:p w14:paraId="22A78BEF" w14:textId="7C584249" w:rsidR="00311DCE" w:rsidRPr="00514A87" w:rsidRDefault="00311DCE" w:rsidP="00514A87">
      <w:pPr>
        <w:numPr>
          <w:ilvl w:val="0"/>
          <w:numId w:val="9"/>
        </w:numPr>
        <w:rPr>
          <w:rFonts w:ascii="Times New Roman" w:hAnsi="Times New Roman" w:cs="Times New Roman"/>
        </w:rPr>
      </w:pPr>
      <w:r w:rsidRPr="00311DCE">
        <w:rPr>
          <w:rFonts w:ascii="Times New Roman" w:hAnsi="Times New Roman" w:cs="Times New Roman"/>
        </w:rPr>
        <w:t>Promote transparency and accountability.</w:t>
      </w:r>
    </w:p>
    <w:p w14:paraId="57C4C526" w14:textId="0D807422" w:rsidR="00514A87" w:rsidRDefault="00311DCE" w:rsidP="004B460E">
      <w:pPr>
        <w:pStyle w:val="Heading1"/>
        <w:numPr>
          <w:ilvl w:val="0"/>
          <w:numId w:val="8"/>
        </w:numPr>
        <w:tabs>
          <w:tab w:val="clear" w:pos="340"/>
        </w:tabs>
        <w:ind w:left="270" w:hanging="270"/>
        <w:rPr>
          <w:rFonts w:ascii="Times New Roman" w:hAnsi="Times New Roman" w:cs="Times New Roman"/>
          <w:b/>
          <w:bCs/>
          <w:sz w:val="24"/>
          <w:szCs w:val="24"/>
        </w:rPr>
      </w:pPr>
      <w:r w:rsidRPr="00311DCE">
        <w:rPr>
          <w:rFonts w:ascii="Times New Roman" w:hAnsi="Times New Roman" w:cs="Times New Roman"/>
          <w:b/>
          <w:bCs/>
          <w:sz w:val="24"/>
          <w:szCs w:val="24"/>
        </w:rPr>
        <w:t>Problem Statement</w:t>
      </w:r>
    </w:p>
    <w:p w14:paraId="7DDBCF9D" w14:textId="78D97BD3" w:rsidR="00684645" w:rsidRPr="00684645" w:rsidRDefault="00684645" w:rsidP="00684645">
      <w:pPr>
        <w:jc w:val="both"/>
        <w:rPr>
          <w:rFonts w:ascii="Times New Roman" w:hAnsi="Times New Roman" w:cs="Times New Roman"/>
        </w:rPr>
      </w:pPr>
      <w:r w:rsidRPr="00684645">
        <w:rPr>
          <w:rFonts w:ascii="Times New Roman" w:hAnsi="Times New Roman" w:cs="Times New Roman"/>
        </w:rPr>
        <w:t>Currently, there is no comprehensive mechanism to objectively assess and compare infrastructure preparedness across States and Union Territories. The absence of a transparent, scalable, and automated scoring framework limits the ability to identify critical gaps, benchmark performance, and inform evidence-based policy interventions. The key challenge is to develop a robust scoring engine capable of processing diverse indicators, applying standardized evaluation logic, and generating transparent, actionable insights to guide decision-making.</w:t>
      </w:r>
    </w:p>
    <w:p w14:paraId="5D901F4C" w14:textId="1A78F34D" w:rsidR="00514A87" w:rsidRPr="00514A87" w:rsidRDefault="00514A87" w:rsidP="004B460E">
      <w:pPr>
        <w:pStyle w:val="Heading1"/>
        <w:numPr>
          <w:ilvl w:val="0"/>
          <w:numId w:val="8"/>
        </w:numPr>
        <w:tabs>
          <w:tab w:val="clear" w:pos="340"/>
        </w:tabs>
        <w:ind w:left="270" w:hanging="270"/>
        <w:rPr>
          <w:rFonts w:ascii="Times New Roman" w:hAnsi="Times New Roman" w:cs="Times New Roman"/>
          <w:b/>
          <w:bCs/>
          <w:sz w:val="24"/>
          <w:szCs w:val="24"/>
        </w:rPr>
      </w:pPr>
      <w:r w:rsidRPr="00514A87">
        <w:rPr>
          <w:rFonts w:ascii="Times New Roman" w:hAnsi="Times New Roman" w:cs="Times New Roman"/>
          <w:b/>
          <w:bCs/>
          <w:sz w:val="24"/>
          <w:szCs w:val="24"/>
        </w:rPr>
        <w:t>Objectives of the Proposed Framework</w:t>
      </w:r>
    </w:p>
    <w:p w14:paraId="7D0D9EDE" w14:textId="77777777" w:rsidR="00514A87" w:rsidRPr="00514A87" w:rsidRDefault="00514A87" w:rsidP="00B70974">
      <w:pPr>
        <w:numPr>
          <w:ilvl w:val="0"/>
          <w:numId w:val="1"/>
        </w:numPr>
        <w:jc w:val="both"/>
        <w:rPr>
          <w:rFonts w:ascii="Times New Roman" w:hAnsi="Times New Roman" w:cs="Times New Roman"/>
        </w:rPr>
      </w:pPr>
      <w:r w:rsidRPr="00514A87">
        <w:rPr>
          <w:rFonts w:ascii="Times New Roman" w:hAnsi="Times New Roman" w:cs="Times New Roman"/>
        </w:rPr>
        <w:t>Develop a scoring engine that computes scores based on predefined formulas and logic.</w:t>
      </w:r>
    </w:p>
    <w:p w14:paraId="0E9498F2" w14:textId="77777777" w:rsidR="00514A87" w:rsidRPr="00514A87" w:rsidRDefault="00514A87" w:rsidP="00B70974">
      <w:pPr>
        <w:numPr>
          <w:ilvl w:val="0"/>
          <w:numId w:val="1"/>
        </w:numPr>
        <w:jc w:val="both"/>
        <w:rPr>
          <w:rFonts w:ascii="Times New Roman" w:hAnsi="Times New Roman" w:cs="Times New Roman"/>
        </w:rPr>
      </w:pPr>
      <w:r w:rsidRPr="00514A87">
        <w:rPr>
          <w:rFonts w:ascii="Times New Roman" w:hAnsi="Times New Roman" w:cs="Times New Roman"/>
        </w:rPr>
        <w:t>Enable ranking of States/UTs based on a total score out of 1000.</w:t>
      </w:r>
    </w:p>
    <w:p w14:paraId="75BC3DC6" w14:textId="77777777" w:rsidR="00514A87" w:rsidRPr="00514A87" w:rsidRDefault="00514A87" w:rsidP="00B70974">
      <w:pPr>
        <w:numPr>
          <w:ilvl w:val="0"/>
          <w:numId w:val="1"/>
        </w:numPr>
        <w:jc w:val="both"/>
        <w:rPr>
          <w:rFonts w:ascii="Times New Roman" w:hAnsi="Times New Roman" w:cs="Times New Roman"/>
        </w:rPr>
      </w:pPr>
      <w:r w:rsidRPr="00514A87">
        <w:rPr>
          <w:rFonts w:ascii="Times New Roman" w:hAnsi="Times New Roman" w:cs="Times New Roman"/>
        </w:rPr>
        <w:t>Ensure transparency by storing raw values alongside computed scores.</w:t>
      </w:r>
    </w:p>
    <w:p w14:paraId="519AC82B" w14:textId="77777777" w:rsidR="00514A87" w:rsidRPr="00514A87" w:rsidRDefault="00514A87" w:rsidP="00B70974">
      <w:pPr>
        <w:numPr>
          <w:ilvl w:val="0"/>
          <w:numId w:val="1"/>
        </w:numPr>
        <w:jc w:val="both"/>
        <w:rPr>
          <w:rFonts w:ascii="Times New Roman" w:hAnsi="Times New Roman" w:cs="Times New Roman"/>
        </w:rPr>
      </w:pPr>
      <w:r w:rsidRPr="00514A87">
        <w:rPr>
          <w:rFonts w:ascii="Times New Roman" w:hAnsi="Times New Roman" w:cs="Times New Roman"/>
        </w:rPr>
        <w:t>Facilitate decision-making through dashboards and workflows.</w:t>
      </w:r>
    </w:p>
    <w:p w14:paraId="39FE018C" w14:textId="77777777" w:rsidR="00514A87" w:rsidRPr="00514A87" w:rsidRDefault="00514A87" w:rsidP="00B70974">
      <w:pPr>
        <w:numPr>
          <w:ilvl w:val="0"/>
          <w:numId w:val="1"/>
        </w:numPr>
        <w:jc w:val="both"/>
        <w:rPr>
          <w:rFonts w:ascii="Times New Roman" w:hAnsi="Times New Roman" w:cs="Times New Roman"/>
        </w:rPr>
      </w:pPr>
      <w:r w:rsidRPr="00514A87">
        <w:rPr>
          <w:rFonts w:ascii="Times New Roman" w:hAnsi="Times New Roman" w:cs="Times New Roman"/>
        </w:rPr>
        <w:t>Support policy formulation by identifying strengths and gaps in infrastructure readiness.</w:t>
      </w:r>
    </w:p>
    <w:p w14:paraId="5D8ABF48" w14:textId="77777777" w:rsidR="004B460E" w:rsidRPr="00311DCE" w:rsidRDefault="00514A87" w:rsidP="00514A87">
      <w:pPr>
        <w:pStyle w:val="Heading1"/>
        <w:numPr>
          <w:ilvl w:val="0"/>
          <w:numId w:val="8"/>
        </w:numPr>
        <w:tabs>
          <w:tab w:val="clear" w:pos="340"/>
        </w:tabs>
        <w:ind w:left="270" w:hanging="270"/>
        <w:rPr>
          <w:rFonts w:ascii="Times New Roman" w:hAnsi="Times New Roman" w:cs="Times New Roman"/>
          <w:b/>
          <w:bCs/>
          <w:sz w:val="24"/>
          <w:szCs w:val="24"/>
        </w:rPr>
      </w:pPr>
      <w:r w:rsidRPr="00514A87">
        <w:rPr>
          <w:rFonts w:ascii="Times New Roman" w:hAnsi="Times New Roman" w:cs="Times New Roman"/>
          <w:b/>
          <w:bCs/>
          <w:sz w:val="24"/>
          <w:szCs w:val="24"/>
        </w:rPr>
        <w:t>Proposed Methodology and Approach</w:t>
      </w:r>
    </w:p>
    <w:p w14:paraId="71A9ABD7" w14:textId="72F89940" w:rsidR="00311DCE" w:rsidRPr="00311DCE" w:rsidRDefault="00311DCE" w:rsidP="00B70974">
      <w:pPr>
        <w:jc w:val="both"/>
        <w:rPr>
          <w:rFonts w:ascii="Times New Roman" w:hAnsi="Times New Roman" w:cs="Times New Roman"/>
        </w:rPr>
      </w:pPr>
      <w:r w:rsidRPr="00311DCE">
        <w:rPr>
          <w:rFonts w:ascii="Times New Roman" w:hAnsi="Times New Roman" w:cs="Times New Roman"/>
        </w:rPr>
        <w:t xml:space="preserve">The National Infrastructure Readiness Index (NIRI) will score states across four categories of 250 marks each: Infrastructure Financing (budget support, private investment, innovative tools), </w:t>
      </w:r>
      <w:r w:rsidRPr="00311DCE">
        <w:rPr>
          <w:rFonts w:ascii="Times New Roman" w:hAnsi="Times New Roman" w:cs="Times New Roman"/>
        </w:rPr>
        <w:lastRenderedPageBreak/>
        <w:t>Infrastructure Development (transport, energy, digital, social facilities, regional balance), PPP Development (project pipeline, policies, risk-sharing, execution), and Infrastructure Enablers (institutions, governance, ease of clearances, sustainability, technology use).</w:t>
      </w:r>
    </w:p>
    <w:p w14:paraId="49B695F7" w14:textId="4A177C03" w:rsidR="00514A87" w:rsidRPr="00311DCE" w:rsidRDefault="00514A87" w:rsidP="00B70974">
      <w:pPr>
        <w:pStyle w:val="Heading1"/>
        <w:numPr>
          <w:ilvl w:val="1"/>
          <w:numId w:val="8"/>
        </w:numPr>
        <w:spacing w:before="0"/>
        <w:jc w:val="both"/>
        <w:rPr>
          <w:rFonts w:ascii="Times New Roman" w:hAnsi="Times New Roman" w:cs="Times New Roman"/>
          <w:b/>
          <w:bCs/>
          <w:sz w:val="24"/>
          <w:szCs w:val="24"/>
        </w:rPr>
      </w:pPr>
      <w:r w:rsidRPr="00311DCE">
        <w:rPr>
          <w:rFonts w:ascii="Times New Roman" w:hAnsi="Times New Roman" w:cs="Times New Roman"/>
          <w:b/>
          <w:bCs/>
          <w:sz w:val="24"/>
          <w:szCs w:val="24"/>
        </w:rPr>
        <w:t>Categories</w:t>
      </w:r>
      <w:r w:rsidR="00156FF5" w:rsidRPr="00311DCE">
        <w:rPr>
          <w:rFonts w:ascii="Times New Roman" w:hAnsi="Times New Roman" w:cs="Times New Roman"/>
          <w:b/>
          <w:bCs/>
          <w:sz w:val="24"/>
          <w:szCs w:val="24"/>
        </w:rPr>
        <w:t xml:space="preserve"> and indicators: </w:t>
      </w:r>
    </w:p>
    <w:p w14:paraId="27A9CC61" w14:textId="075BD6BE" w:rsidR="00156FF5" w:rsidRPr="00514A87" w:rsidRDefault="00514A87" w:rsidP="00B70974">
      <w:pPr>
        <w:numPr>
          <w:ilvl w:val="0"/>
          <w:numId w:val="2"/>
        </w:numPr>
        <w:jc w:val="both"/>
        <w:rPr>
          <w:rFonts w:ascii="Times New Roman" w:hAnsi="Times New Roman" w:cs="Times New Roman"/>
        </w:rPr>
      </w:pPr>
      <w:r w:rsidRPr="00514A87">
        <w:rPr>
          <w:rFonts w:ascii="Times New Roman" w:hAnsi="Times New Roman" w:cs="Times New Roman"/>
          <w:b/>
          <w:bCs/>
        </w:rPr>
        <w:t>Infrastructure Financing (250 marks)</w:t>
      </w:r>
      <w:r w:rsidR="00156FF5" w:rsidRPr="00156FF5">
        <w:rPr>
          <w:rFonts w:ascii="Times New Roman" w:hAnsi="Times New Roman" w:cs="Times New Roman"/>
          <w:b/>
          <w:bCs/>
        </w:rPr>
        <w:t>:</w:t>
      </w:r>
      <w:r w:rsidR="00156FF5" w:rsidRPr="00156FF5">
        <w:rPr>
          <w:rFonts w:ascii="Times New Roman" w:hAnsi="Times New Roman" w:cs="Times New Roman"/>
        </w:rPr>
        <w:t xml:space="preserve"> Evaluates the availability, diversity, and effectiveness of financial mechanisms to fund infrastructure projects. This includes budgetary allocations, state/central funding support, private capital inflows, innovative instruments (bonds, REITs, </w:t>
      </w:r>
      <w:proofErr w:type="spellStart"/>
      <w:r w:rsidR="00156FF5" w:rsidRPr="00156FF5">
        <w:rPr>
          <w:rFonts w:ascii="Times New Roman" w:hAnsi="Times New Roman" w:cs="Times New Roman"/>
        </w:rPr>
        <w:t>InvITs</w:t>
      </w:r>
      <w:proofErr w:type="spellEnd"/>
      <w:r w:rsidR="00156FF5" w:rsidRPr="00156FF5">
        <w:rPr>
          <w:rFonts w:ascii="Times New Roman" w:hAnsi="Times New Roman" w:cs="Times New Roman"/>
        </w:rPr>
        <w:t>), and long-term financing sustainability.</w:t>
      </w:r>
    </w:p>
    <w:p w14:paraId="3D7AB568" w14:textId="0790E5E4" w:rsidR="00514A87" w:rsidRPr="00514A87" w:rsidRDefault="00514A87" w:rsidP="00B70974">
      <w:pPr>
        <w:numPr>
          <w:ilvl w:val="0"/>
          <w:numId w:val="2"/>
        </w:numPr>
        <w:jc w:val="both"/>
        <w:rPr>
          <w:rFonts w:ascii="Times New Roman" w:hAnsi="Times New Roman" w:cs="Times New Roman"/>
        </w:rPr>
      </w:pPr>
      <w:r w:rsidRPr="00514A87">
        <w:rPr>
          <w:rFonts w:ascii="Times New Roman" w:hAnsi="Times New Roman" w:cs="Times New Roman"/>
          <w:b/>
          <w:bCs/>
        </w:rPr>
        <w:t>Infrastructure Development (250 marks)</w:t>
      </w:r>
      <w:r w:rsidR="00156FF5" w:rsidRPr="00156FF5">
        <w:rPr>
          <w:rFonts w:ascii="Times New Roman" w:hAnsi="Times New Roman" w:cs="Times New Roman"/>
          <w:b/>
          <w:bCs/>
        </w:rPr>
        <w:t>:</w:t>
      </w:r>
      <w:r w:rsidR="00156FF5" w:rsidRPr="00156FF5">
        <w:rPr>
          <w:rFonts w:ascii="Times New Roman" w:hAnsi="Times New Roman" w:cs="Times New Roman"/>
        </w:rPr>
        <w:t xml:space="preserve"> Assesses the physical creation and expansion of infrastructure across core sectors. Focuses on quantity, quality, timeliness, and regional balance of projects.</w:t>
      </w:r>
    </w:p>
    <w:p w14:paraId="278E23BC" w14:textId="6837371E" w:rsidR="00514A87" w:rsidRPr="00514A87" w:rsidRDefault="00514A87" w:rsidP="00B70974">
      <w:pPr>
        <w:numPr>
          <w:ilvl w:val="0"/>
          <w:numId w:val="2"/>
        </w:numPr>
        <w:jc w:val="both"/>
        <w:rPr>
          <w:rFonts w:ascii="Times New Roman" w:hAnsi="Times New Roman" w:cs="Times New Roman"/>
        </w:rPr>
      </w:pPr>
      <w:r w:rsidRPr="00514A87">
        <w:rPr>
          <w:rFonts w:ascii="Times New Roman" w:hAnsi="Times New Roman" w:cs="Times New Roman"/>
          <w:b/>
          <w:bCs/>
        </w:rPr>
        <w:t>PPP Development (250 marks)</w:t>
      </w:r>
      <w:r w:rsidR="00156FF5" w:rsidRPr="00156FF5">
        <w:rPr>
          <w:rFonts w:ascii="Times New Roman" w:hAnsi="Times New Roman" w:cs="Times New Roman"/>
          <w:b/>
          <w:bCs/>
        </w:rPr>
        <w:t>:</w:t>
      </w:r>
      <w:r w:rsidR="00156FF5" w:rsidRPr="00156FF5">
        <w:rPr>
          <w:rFonts w:ascii="Times New Roman" w:hAnsi="Times New Roman" w:cs="Times New Roman"/>
        </w:rPr>
        <w:t xml:space="preserve"> Measures the maturity and effectiveness of Public–Private Partnership models in infrastructure delivery. Includes pipeline of PPP projects, institutional frameworks, risk-sharing mechanisms, ease of contract execution, and investor confidence.</w:t>
      </w:r>
    </w:p>
    <w:p w14:paraId="5C5845A5" w14:textId="1F6050A7" w:rsidR="004B460E" w:rsidRPr="00156FF5" w:rsidRDefault="00514A87" w:rsidP="00B70974">
      <w:pPr>
        <w:numPr>
          <w:ilvl w:val="0"/>
          <w:numId w:val="2"/>
        </w:numPr>
        <w:jc w:val="both"/>
        <w:rPr>
          <w:rFonts w:ascii="Times New Roman" w:hAnsi="Times New Roman" w:cs="Times New Roman"/>
        </w:rPr>
      </w:pPr>
      <w:r w:rsidRPr="00514A87">
        <w:rPr>
          <w:rFonts w:ascii="Times New Roman" w:hAnsi="Times New Roman" w:cs="Times New Roman"/>
          <w:b/>
          <w:bCs/>
        </w:rPr>
        <w:t>Infrastructure Enablers (250 marks)</w:t>
      </w:r>
      <w:r w:rsidR="00156FF5" w:rsidRPr="00156FF5">
        <w:rPr>
          <w:rFonts w:ascii="Times New Roman" w:hAnsi="Times New Roman" w:cs="Times New Roman"/>
          <w:b/>
          <w:bCs/>
        </w:rPr>
        <w:t>:</w:t>
      </w:r>
      <w:r w:rsidR="00156FF5" w:rsidRPr="00156FF5">
        <w:rPr>
          <w:rFonts w:ascii="Times New Roman" w:hAnsi="Times New Roman" w:cs="Times New Roman"/>
        </w:rPr>
        <w:t xml:space="preserve"> Reviews the supporting ecosystem that makes infrastructure growth possible. This includes governance mechanisms, regulatory frameworks, policy stability, institutional capacity, skilled workforce availability, use of technology (GIS, digital monitoring), environmental clearances, and ease of doing business.</w:t>
      </w:r>
    </w:p>
    <w:p w14:paraId="28AFF785" w14:textId="2490A6B5" w:rsidR="00514A87" w:rsidRPr="00311DCE" w:rsidRDefault="00514A87" w:rsidP="00B70974">
      <w:pPr>
        <w:pStyle w:val="Heading1"/>
        <w:numPr>
          <w:ilvl w:val="1"/>
          <w:numId w:val="8"/>
        </w:numPr>
        <w:spacing w:before="0"/>
        <w:jc w:val="both"/>
        <w:rPr>
          <w:rFonts w:ascii="Times New Roman" w:hAnsi="Times New Roman" w:cs="Times New Roman"/>
          <w:b/>
          <w:bCs/>
          <w:sz w:val="24"/>
          <w:szCs w:val="24"/>
        </w:rPr>
      </w:pPr>
      <w:r w:rsidRPr="00311DCE">
        <w:rPr>
          <w:rFonts w:ascii="Times New Roman" w:hAnsi="Times New Roman" w:cs="Times New Roman"/>
          <w:b/>
          <w:bCs/>
          <w:sz w:val="24"/>
          <w:szCs w:val="24"/>
        </w:rPr>
        <w:t xml:space="preserve"> Indicators and Scoring Mechanism</w:t>
      </w:r>
    </w:p>
    <w:p w14:paraId="01B783D5" w14:textId="77777777" w:rsidR="00514A87" w:rsidRPr="00514A87" w:rsidRDefault="00514A87" w:rsidP="00B70974">
      <w:pPr>
        <w:numPr>
          <w:ilvl w:val="0"/>
          <w:numId w:val="3"/>
        </w:numPr>
        <w:jc w:val="both"/>
        <w:rPr>
          <w:rFonts w:ascii="Times New Roman" w:hAnsi="Times New Roman" w:cs="Times New Roman"/>
        </w:rPr>
      </w:pPr>
      <w:r w:rsidRPr="00514A87">
        <w:rPr>
          <w:rFonts w:ascii="Times New Roman" w:hAnsi="Times New Roman" w:cs="Times New Roman"/>
        </w:rPr>
        <w:t>Indicators include percentage-based metrics (e.g., Capex to GSDP), binary evaluations (Yes/No), and count-based scoring (e.g., number of officers trained).</w:t>
      </w:r>
    </w:p>
    <w:p w14:paraId="78494609" w14:textId="77790FC8" w:rsidR="00514A87" w:rsidRPr="00514A87" w:rsidRDefault="00514A87" w:rsidP="00B70974">
      <w:pPr>
        <w:numPr>
          <w:ilvl w:val="0"/>
          <w:numId w:val="3"/>
        </w:numPr>
        <w:jc w:val="both"/>
        <w:rPr>
          <w:rFonts w:ascii="Times New Roman" w:hAnsi="Times New Roman" w:cs="Times New Roman"/>
        </w:rPr>
      </w:pPr>
      <w:r w:rsidRPr="00514A87">
        <w:rPr>
          <w:rFonts w:ascii="Times New Roman" w:hAnsi="Times New Roman" w:cs="Times New Roman"/>
        </w:rPr>
        <w:t xml:space="preserve">Each indicator has a defined formula </w:t>
      </w:r>
      <w:r w:rsidR="009945D9" w:rsidRPr="00156FF5">
        <w:rPr>
          <w:rFonts w:ascii="Times New Roman" w:hAnsi="Times New Roman" w:cs="Times New Roman"/>
        </w:rPr>
        <w:t>mentioned in BRD.</w:t>
      </w:r>
    </w:p>
    <w:p w14:paraId="2E10C84D" w14:textId="77777777" w:rsidR="00514A87" w:rsidRPr="00514A87" w:rsidRDefault="00514A87" w:rsidP="00B70974">
      <w:pPr>
        <w:numPr>
          <w:ilvl w:val="0"/>
          <w:numId w:val="3"/>
        </w:numPr>
        <w:jc w:val="both"/>
        <w:rPr>
          <w:rFonts w:ascii="Times New Roman" w:hAnsi="Times New Roman" w:cs="Times New Roman"/>
        </w:rPr>
      </w:pPr>
      <w:r w:rsidRPr="00514A87">
        <w:rPr>
          <w:rFonts w:ascii="Times New Roman" w:hAnsi="Times New Roman" w:cs="Times New Roman"/>
        </w:rPr>
        <w:t>Scores are computed using generalized logic and stored with raw inputs for auditability.</w:t>
      </w:r>
    </w:p>
    <w:p w14:paraId="54E0F449" w14:textId="30BC267E" w:rsidR="00514A87" w:rsidRPr="00514A87" w:rsidRDefault="00514A87" w:rsidP="00B70974">
      <w:pPr>
        <w:pStyle w:val="Heading1"/>
        <w:numPr>
          <w:ilvl w:val="1"/>
          <w:numId w:val="8"/>
        </w:numPr>
        <w:spacing w:before="0"/>
        <w:jc w:val="both"/>
        <w:rPr>
          <w:rFonts w:ascii="Times New Roman" w:hAnsi="Times New Roman" w:cs="Times New Roman"/>
          <w:b/>
          <w:bCs/>
          <w:sz w:val="24"/>
          <w:szCs w:val="24"/>
        </w:rPr>
      </w:pPr>
      <w:r w:rsidRPr="00514A87">
        <w:rPr>
          <w:rFonts w:ascii="Times New Roman" w:hAnsi="Times New Roman" w:cs="Times New Roman"/>
          <w:b/>
          <w:bCs/>
          <w:sz w:val="24"/>
          <w:szCs w:val="24"/>
        </w:rPr>
        <w:t>Data Sources</w:t>
      </w:r>
    </w:p>
    <w:p w14:paraId="550864D7" w14:textId="77777777" w:rsidR="00514A87" w:rsidRPr="00514A87" w:rsidRDefault="00514A87" w:rsidP="00B70974">
      <w:pPr>
        <w:numPr>
          <w:ilvl w:val="0"/>
          <w:numId w:val="4"/>
        </w:numPr>
        <w:jc w:val="both"/>
        <w:rPr>
          <w:rFonts w:ascii="Times New Roman" w:hAnsi="Times New Roman" w:cs="Times New Roman"/>
        </w:rPr>
      </w:pPr>
      <w:r w:rsidRPr="00514A87">
        <w:rPr>
          <w:rFonts w:ascii="Times New Roman" w:hAnsi="Times New Roman" w:cs="Times New Roman"/>
        </w:rPr>
        <w:t>Data captured via structured forms filled by State/UT nodal officers.</w:t>
      </w:r>
    </w:p>
    <w:p w14:paraId="3E118185" w14:textId="77777777" w:rsidR="00514A87" w:rsidRPr="00514A87" w:rsidRDefault="00514A87" w:rsidP="00B70974">
      <w:pPr>
        <w:numPr>
          <w:ilvl w:val="0"/>
          <w:numId w:val="4"/>
        </w:numPr>
        <w:jc w:val="both"/>
        <w:rPr>
          <w:rFonts w:ascii="Times New Roman" w:hAnsi="Times New Roman" w:cs="Times New Roman"/>
        </w:rPr>
      </w:pPr>
      <w:r w:rsidRPr="00514A87">
        <w:rPr>
          <w:rFonts w:ascii="Times New Roman" w:hAnsi="Times New Roman" w:cs="Times New Roman"/>
        </w:rPr>
        <w:t>Supporting documents (e.g., policies, notifications, DPRs) uploaded for validation.</w:t>
      </w:r>
    </w:p>
    <w:p w14:paraId="40A296FF" w14:textId="77777777" w:rsidR="00514A87" w:rsidRPr="00514A87" w:rsidRDefault="00514A87" w:rsidP="00B70974">
      <w:pPr>
        <w:numPr>
          <w:ilvl w:val="0"/>
          <w:numId w:val="4"/>
        </w:numPr>
        <w:jc w:val="both"/>
        <w:rPr>
          <w:rFonts w:ascii="Times New Roman" w:hAnsi="Times New Roman" w:cs="Times New Roman"/>
        </w:rPr>
      </w:pPr>
      <w:r w:rsidRPr="00514A87">
        <w:rPr>
          <w:rFonts w:ascii="Times New Roman" w:hAnsi="Times New Roman" w:cs="Times New Roman"/>
        </w:rPr>
        <w:t>Auto-calculated fields and inline validations ensure data integrity.</w:t>
      </w:r>
    </w:p>
    <w:p w14:paraId="388779A5" w14:textId="04FC9469" w:rsidR="00514A87" w:rsidRPr="00514A87" w:rsidRDefault="00514A87" w:rsidP="00B70974">
      <w:pPr>
        <w:pStyle w:val="Heading1"/>
        <w:numPr>
          <w:ilvl w:val="1"/>
          <w:numId w:val="8"/>
        </w:numPr>
        <w:spacing w:before="0"/>
        <w:jc w:val="both"/>
        <w:rPr>
          <w:rFonts w:ascii="Times New Roman" w:hAnsi="Times New Roman" w:cs="Times New Roman"/>
          <w:b/>
          <w:bCs/>
          <w:sz w:val="24"/>
          <w:szCs w:val="24"/>
        </w:rPr>
      </w:pPr>
      <w:r w:rsidRPr="00514A87">
        <w:rPr>
          <w:rFonts w:ascii="Times New Roman" w:hAnsi="Times New Roman" w:cs="Times New Roman"/>
          <w:b/>
          <w:bCs/>
          <w:sz w:val="24"/>
          <w:szCs w:val="24"/>
        </w:rPr>
        <w:t>Technology Stack</w:t>
      </w:r>
    </w:p>
    <w:p w14:paraId="405293F2" w14:textId="7A5F5813" w:rsidR="00514A87" w:rsidRPr="00514A87" w:rsidRDefault="00514A87" w:rsidP="00B70974">
      <w:pPr>
        <w:numPr>
          <w:ilvl w:val="0"/>
          <w:numId w:val="5"/>
        </w:numPr>
        <w:jc w:val="both"/>
        <w:rPr>
          <w:rFonts w:ascii="Times New Roman" w:hAnsi="Times New Roman" w:cs="Times New Roman"/>
        </w:rPr>
      </w:pPr>
      <w:r w:rsidRPr="00514A87">
        <w:rPr>
          <w:rFonts w:ascii="Times New Roman" w:hAnsi="Times New Roman" w:cs="Times New Roman"/>
        </w:rPr>
        <w:t>Web-based application with scoring engine, and dashboard.</w:t>
      </w:r>
    </w:p>
    <w:p w14:paraId="3B027F0F" w14:textId="77777777" w:rsidR="00514A87" w:rsidRPr="00514A87" w:rsidRDefault="00514A87" w:rsidP="00B70974">
      <w:pPr>
        <w:numPr>
          <w:ilvl w:val="0"/>
          <w:numId w:val="5"/>
        </w:numPr>
        <w:jc w:val="both"/>
        <w:rPr>
          <w:rFonts w:ascii="Times New Roman" w:hAnsi="Times New Roman" w:cs="Times New Roman"/>
        </w:rPr>
      </w:pPr>
      <w:r w:rsidRPr="00514A87">
        <w:rPr>
          <w:rFonts w:ascii="Times New Roman" w:hAnsi="Times New Roman" w:cs="Times New Roman"/>
        </w:rPr>
        <w:t>Backend database to store raw and computed values.</w:t>
      </w:r>
    </w:p>
    <w:p w14:paraId="69D13B9D" w14:textId="089D73DE" w:rsidR="00514A87" w:rsidRDefault="00514A87" w:rsidP="00B70974">
      <w:pPr>
        <w:numPr>
          <w:ilvl w:val="0"/>
          <w:numId w:val="5"/>
        </w:numPr>
        <w:jc w:val="both"/>
        <w:rPr>
          <w:rFonts w:ascii="Times New Roman" w:hAnsi="Times New Roman" w:cs="Times New Roman"/>
        </w:rPr>
      </w:pPr>
      <w:r w:rsidRPr="00514A87">
        <w:rPr>
          <w:rFonts w:ascii="Times New Roman" w:hAnsi="Times New Roman" w:cs="Times New Roman"/>
        </w:rPr>
        <w:t>Role-based workflow: Nodal Officer →</w:t>
      </w:r>
      <w:r w:rsidR="004B460E" w:rsidRPr="00156FF5">
        <w:rPr>
          <w:rFonts w:ascii="Times New Roman" w:hAnsi="Times New Roman" w:cs="Times New Roman"/>
        </w:rPr>
        <w:t xml:space="preserve"> Reviewer → Approver</w:t>
      </w:r>
      <w:r w:rsidRPr="00514A87">
        <w:rPr>
          <w:rFonts w:ascii="Times New Roman" w:hAnsi="Times New Roman" w:cs="Times New Roman"/>
        </w:rPr>
        <w:t xml:space="preserve"> → </w:t>
      </w:r>
      <w:r w:rsidR="004B460E" w:rsidRPr="00156FF5">
        <w:rPr>
          <w:rFonts w:ascii="Times New Roman" w:hAnsi="Times New Roman" w:cs="Times New Roman"/>
        </w:rPr>
        <w:t>Scoring &amp; ranking</w:t>
      </w:r>
      <w:r w:rsidRPr="00514A87">
        <w:rPr>
          <w:rFonts w:ascii="Times New Roman" w:hAnsi="Times New Roman" w:cs="Times New Roman"/>
        </w:rPr>
        <w:t>.</w:t>
      </w:r>
    </w:p>
    <w:p w14:paraId="78128754" w14:textId="77777777" w:rsidR="00311DCE" w:rsidRPr="00514A87" w:rsidRDefault="00311DCE" w:rsidP="00B70974">
      <w:pPr>
        <w:ind w:left="720"/>
        <w:jc w:val="both"/>
        <w:rPr>
          <w:rFonts w:ascii="Times New Roman" w:hAnsi="Times New Roman" w:cs="Times New Roman"/>
        </w:rPr>
      </w:pPr>
    </w:p>
    <w:p w14:paraId="1AE8D5B9" w14:textId="578BB71E" w:rsidR="00514A87" w:rsidRPr="00514A87" w:rsidRDefault="004B460E" w:rsidP="00B70974">
      <w:pPr>
        <w:pStyle w:val="Heading1"/>
        <w:numPr>
          <w:ilvl w:val="0"/>
          <w:numId w:val="8"/>
        </w:numPr>
        <w:tabs>
          <w:tab w:val="clear" w:pos="340"/>
        </w:tabs>
        <w:ind w:left="270" w:hanging="270"/>
        <w:jc w:val="both"/>
        <w:rPr>
          <w:rFonts w:ascii="Times New Roman" w:hAnsi="Times New Roman" w:cs="Times New Roman"/>
          <w:b/>
          <w:bCs/>
          <w:sz w:val="24"/>
          <w:szCs w:val="24"/>
        </w:rPr>
      </w:pPr>
      <w:r w:rsidRPr="00311DCE">
        <w:rPr>
          <w:rFonts w:ascii="Times New Roman" w:hAnsi="Times New Roman" w:cs="Times New Roman"/>
          <w:b/>
          <w:bCs/>
          <w:sz w:val="24"/>
          <w:szCs w:val="24"/>
        </w:rPr>
        <w:lastRenderedPageBreak/>
        <w:t>E</w:t>
      </w:r>
      <w:r w:rsidR="00514A87" w:rsidRPr="00514A87">
        <w:rPr>
          <w:rFonts w:ascii="Times New Roman" w:hAnsi="Times New Roman" w:cs="Times New Roman"/>
          <w:b/>
          <w:bCs/>
          <w:sz w:val="24"/>
          <w:szCs w:val="24"/>
        </w:rPr>
        <w:t>xpected Outcomes and Benefits</w:t>
      </w:r>
    </w:p>
    <w:p w14:paraId="715BCBF5" w14:textId="77777777" w:rsidR="00514A87" w:rsidRPr="00514A87" w:rsidRDefault="00514A87" w:rsidP="00B70974">
      <w:pPr>
        <w:numPr>
          <w:ilvl w:val="0"/>
          <w:numId w:val="6"/>
        </w:numPr>
        <w:jc w:val="both"/>
        <w:rPr>
          <w:rFonts w:ascii="Times New Roman" w:hAnsi="Times New Roman" w:cs="Times New Roman"/>
        </w:rPr>
      </w:pPr>
      <w:r w:rsidRPr="00514A87">
        <w:rPr>
          <w:rFonts w:ascii="Times New Roman" w:hAnsi="Times New Roman" w:cs="Times New Roman"/>
        </w:rPr>
        <w:t>Standardized assessment of infrastructure readiness across India.</w:t>
      </w:r>
    </w:p>
    <w:p w14:paraId="69AC6738" w14:textId="77777777" w:rsidR="00514A87" w:rsidRPr="00514A87" w:rsidRDefault="00514A87" w:rsidP="00B70974">
      <w:pPr>
        <w:numPr>
          <w:ilvl w:val="0"/>
          <w:numId w:val="6"/>
        </w:numPr>
        <w:jc w:val="both"/>
        <w:rPr>
          <w:rFonts w:ascii="Times New Roman" w:hAnsi="Times New Roman" w:cs="Times New Roman"/>
        </w:rPr>
      </w:pPr>
      <w:r w:rsidRPr="00514A87">
        <w:rPr>
          <w:rFonts w:ascii="Times New Roman" w:hAnsi="Times New Roman" w:cs="Times New Roman"/>
        </w:rPr>
        <w:t>Improved transparency and accountability in infrastructure planning.</w:t>
      </w:r>
    </w:p>
    <w:p w14:paraId="1600BADE" w14:textId="77777777" w:rsidR="00514A87" w:rsidRPr="00514A87" w:rsidRDefault="00514A87" w:rsidP="00B70974">
      <w:pPr>
        <w:numPr>
          <w:ilvl w:val="0"/>
          <w:numId w:val="6"/>
        </w:numPr>
        <w:jc w:val="both"/>
        <w:rPr>
          <w:rFonts w:ascii="Times New Roman" w:hAnsi="Times New Roman" w:cs="Times New Roman"/>
        </w:rPr>
      </w:pPr>
      <w:r w:rsidRPr="00514A87">
        <w:rPr>
          <w:rFonts w:ascii="Times New Roman" w:hAnsi="Times New Roman" w:cs="Times New Roman"/>
        </w:rPr>
        <w:t>Data-driven insights for targeted interventions and resource allocation.</w:t>
      </w:r>
    </w:p>
    <w:p w14:paraId="350DA33A" w14:textId="77777777" w:rsidR="00514A87" w:rsidRPr="00514A87" w:rsidRDefault="00514A87" w:rsidP="00B70974">
      <w:pPr>
        <w:numPr>
          <w:ilvl w:val="0"/>
          <w:numId w:val="6"/>
        </w:numPr>
        <w:jc w:val="both"/>
        <w:rPr>
          <w:rFonts w:ascii="Times New Roman" w:hAnsi="Times New Roman" w:cs="Times New Roman"/>
        </w:rPr>
      </w:pPr>
      <w:r w:rsidRPr="00514A87">
        <w:rPr>
          <w:rFonts w:ascii="Times New Roman" w:hAnsi="Times New Roman" w:cs="Times New Roman"/>
        </w:rPr>
        <w:t>Benchmarking tool for States/UTs to learn and improve.</w:t>
      </w:r>
    </w:p>
    <w:p w14:paraId="673BB3F8" w14:textId="77777777" w:rsidR="00514A87" w:rsidRPr="00514A87" w:rsidRDefault="00514A87" w:rsidP="00B70974">
      <w:pPr>
        <w:numPr>
          <w:ilvl w:val="0"/>
          <w:numId w:val="6"/>
        </w:numPr>
        <w:jc w:val="both"/>
        <w:rPr>
          <w:rFonts w:ascii="Times New Roman" w:hAnsi="Times New Roman" w:cs="Times New Roman"/>
        </w:rPr>
      </w:pPr>
      <w:r w:rsidRPr="00514A87">
        <w:rPr>
          <w:rFonts w:ascii="Times New Roman" w:hAnsi="Times New Roman" w:cs="Times New Roman"/>
        </w:rPr>
        <w:t>Enhanced policy formulation through evidence-based evaluation.</w:t>
      </w:r>
    </w:p>
    <w:p w14:paraId="7874315E" w14:textId="5672A702" w:rsidR="00514A87" w:rsidRPr="00514A87" w:rsidRDefault="00514A87" w:rsidP="00B70974">
      <w:pPr>
        <w:pStyle w:val="Heading1"/>
        <w:numPr>
          <w:ilvl w:val="0"/>
          <w:numId w:val="8"/>
        </w:numPr>
        <w:tabs>
          <w:tab w:val="clear" w:pos="340"/>
        </w:tabs>
        <w:ind w:left="270" w:hanging="270"/>
        <w:jc w:val="both"/>
        <w:rPr>
          <w:rFonts w:ascii="Times New Roman" w:hAnsi="Times New Roman" w:cs="Times New Roman"/>
          <w:b/>
          <w:bCs/>
          <w:sz w:val="24"/>
          <w:szCs w:val="24"/>
        </w:rPr>
      </w:pPr>
      <w:r w:rsidRPr="00514A87">
        <w:rPr>
          <w:rFonts w:ascii="Times New Roman" w:hAnsi="Times New Roman" w:cs="Times New Roman"/>
          <w:b/>
          <w:bCs/>
          <w:sz w:val="24"/>
          <w:szCs w:val="24"/>
        </w:rPr>
        <w:t>Key Stakeholders and Roles</w:t>
      </w:r>
    </w:p>
    <w:tbl>
      <w:tblPr>
        <w:tblStyle w:val="TableGridLight"/>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5471"/>
      </w:tblGrid>
      <w:tr w:rsidR="00B70974" w:rsidRPr="00514A87" w14:paraId="2BE8C229" w14:textId="77777777" w:rsidTr="00B70974">
        <w:trPr>
          <w:trHeight w:val="438"/>
        </w:trPr>
        <w:tc>
          <w:tcPr>
            <w:tcW w:w="3280" w:type="dxa"/>
            <w:shd w:val="clear" w:color="auto" w:fill="DAE9F7" w:themeFill="text2" w:themeFillTint="1A"/>
            <w:hideMark/>
          </w:tcPr>
          <w:p w14:paraId="1C96E228" w14:textId="77777777" w:rsidR="00514A87" w:rsidRPr="00514A87" w:rsidRDefault="00514A87" w:rsidP="00B70974">
            <w:pPr>
              <w:spacing w:after="160" w:line="278" w:lineRule="auto"/>
              <w:jc w:val="both"/>
              <w:rPr>
                <w:rFonts w:ascii="Times New Roman" w:hAnsi="Times New Roman" w:cs="Times New Roman"/>
                <w:b/>
                <w:bCs/>
              </w:rPr>
            </w:pPr>
            <w:r w:rsidRPr="00514A87">
              <w:rPr>
                <w:rFonts w:ascii="Times New Roman" w:hAnsi="Times New Roman" w:cs="Times New Roman"/>
                <w:b/>
                <w:bCs/>
              </w:rPr>
              <w:t>Stakeholder</w:t>
            </w:r>
          </w:p>
        </w:tc>
        <w:tc>
          <w:tcPr>
            <w:tcW w:w="5471" w:type="dxa"/>
            <w:shd w:val="clear" w:color="auto" w:fill="DAE9F7" w:themeFill="text2" w:themeFillTint="1A"/>
            <w:hideMark/>
          </w:tcPr>
          <w:p w14:paraId="636EC782" w14:textId="77777777" w:rsidR="00514A87" w:rsidRPr="00514A87" w:rsidRDefault="00514A87" w:rsidP="00B70974">
            <w:pPr>
              <w:spacing w:after="160" w:line="278" w:lineRule="auto"/>
              <w:jc w:val="both"/>
              <w:rPr>
                <w:rFonts w:ascii="Times New Roman" w:hAnsi="Times New Roman" w:cs="Times New Roman"/>
                <w:b/>
                <w:bCs/>
              </w:rPr>
            </w:pPr>
            <w:r w:rsidRPr="00514A87">
              <w:rPr>
                <w:rFonts w:ascii="Times New Roman" w:hAnsi="Times New Roman" w:cs="Times New Roman"/>
                <w:b/>
                <w:bCs/>
              </w:rPr>
              <w:t>Role</w:t>
            </w:r>
          </w:p>
        </w:tc>
      </w:tr>
      <w:tr w:rsidR="00514A87" w:rsidRPr="00514A87" w14:paraId="6E4F0042" w14:textId="77777777" w:rsidTr="00B70974">
        <w:trPr>
          <w:trHeight w:val="426"/>
        </w:trPr>
        <w:tc>
          <w:tcPr>
            <w:tcW w:w="3280" w:type="dxa"/>
            <w:hideMark/>
          </w:tcPr>
          <w:p w14:paraId="7C249C77"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State/UT Nodal Officers</w:t>
            </w:r>
          </w:p>
        </w:tc>
        <w:tc>
          <w:tcPr>
            <w:tcW w:w="5471" w:type="dxa"/>
            <w:hideMark/>
          </w:tcPr>
          <w:p w14:paraId="23938B2D" w14:textId="4F941644"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Data entry, document upload</w:t>
            </w:r>
            <w:r w:rsidR="00311DCE">
              <w:rPr>
                <w:rFonts w:ascii="Times New Roman" w:hAnsi="Times New Roman" w:cs="Times New Roman"/>
              </w:rPr>
              <w:t>.</w:t>
            </w:r>
          </w:p>
        </w:tc>
      </w:tr>
      <w:tr w:rsidR="00156FF5" w:rsidRPr="00156FF5" w14:paraId="573F6CF5" w14:textId="77777777" w:rsidTr="00B70974">
        <w:trPr>
          <w:trHeight w:val="426"/>
        </w:trPr>
        <w:tc>
          <w:tcPr>
            <w:tcW w:w="3280" w:type="dxa"/>
          </w:tcPr>
          <w:p w14:paraId="557F9A65" w14:textId="47D87BF4" w:rsidR="00156FF5" w:rsidRPr="00156FF5" w:rsidRDefault="00156FF5" w:rsidP="00B70974">
            <w:pPr>
              <w:jc w:val="both"/>
              <w:rPr>
                <w:rFonts w:ascii="Times New Roman" w:hAnsi="Times New Roman" w:cs="Times New Roman"/>
              </w:rPr>
            </w:pPr>
            <w:proofErr w:type="spellStart"/>
            <w:r w:rsidRPr="00156FF5">
              <w:rPr>
                <w:rFonts w:ascii="Times New Roman" w:hAnsi="Times New Roman" w:cs="Times New Roman"/>
              </w:rPr>
              <w:t>MoSPI</w:t>
            </w:r>
            <w:proofErr w:type="spellEnd"/>
            <w:r w:rsidRPr="00156FF5">
              <w:rPr>
                <w:rFonts w:ascii="Times New Roman" w:hAnsi="Times New Roman" w:cs="Times New Roman"/>
              </w:rPr>
              <w:t xml:space="preserve"> Reviewer</w:t>
            </w:r>
          </w:p>
        </w:tc>
        <w:tc>
          <w:tcPr>
            <w:tcW w:w="5471" w:type="dxa"/>
          </w:tcPr>
          <w:p w14:paraId="1B52EC49" w14:textId="7F2711D4" w:rsidR="00156FF5" w:rsidRPr="00156FF5" w:rsidRDefault="00156FF5" w:rsidP="00B70974">
            <w:pPr>
              <w:jc w:val="both"/>
              <w:rPr>
                <w:rFonts w:ascii="Times New Roman" w:hAnsi="Times New Roman" w:cs="Times New Roman"/>
              </w:rPr>
            </w:pPr>
            <w:r w:rsidRPr="00156FF5">
              <w:rPr>
                <w:rFonts w:ascii="Times New Roman" w:hAnsi="Times New Roman" w:cs="Times New Roman"/>
              </w:rPr>
              <w:t>Validates data submitted by Nodal Officer</w:t>
            </w:r>
            <w:r w:rsidR="00311DCE">
              <w:rPr>
                <w:rFonts w:ascii="Times New Roman" w:hAnsi="Times New Roman" w:cs="Times New Roman"/>
              </w:rPr>
              <w:t>.</w:t>
            </w:r>
          </w:p>
        </w:tc>
      </w:tr>
      <w:tr w:rsidR="00156FF5" w:rsidRPr="00156FF5" w14:paraId="440CA04A" w14:textId="77777777" w:rsidTr="00B70974">
        <w:trPr>
          <w:trHeight w:val="426"/>
        </w:trPr>
        <w:tc>
          <w:tcPr>
            <w:tcW w:w="3280" w:type="dxa"/>
          </w:tcPr>
          <w:p w14:paraId="4F2A5C3C" w14:textId="61F9BCE3" w:rsidR="00156FF5" w:rsidRPr="00156FF5" w:rsidRDefault="00156FF5" w:rsidP="00B70974">
            <w:pPr>
              <w:jc w:val="both"/>
              <w:rPr>
                <w:rFonts w:ascii="Times New Roman" w:hAnsi="Times New Roman" w:cs="Times New Roman"/>
              </w:rPr>
            </w:pPr>
            <w:proofErr w:type="spellStart"/>
            <w:r w:rsidRPr="00156FF5">
              <w:rPr>
                <w:rFonts w:ascii="Times New Roman" w:hAnsi="Times New Roman" w:cs="Times New Roman"/>
              </w:rPr>
              <w:t>MoSPI</w:t>
            </w:r>
            <w:proofErr w:type="spellEnd"/>
            <w:r w:rsidRPr="00156FF5">
              <w:rPr>
                <w:rFonts w:ascii="Times New Roman" w:hAnsi="Times New Roman" w:cs="Times New Roman"/>
              </w:rPr>
              <w:t xml:space="preserve"> </w:t>
            </w:r>
            <w:r w:rsidRPr="00514A87">
              <w:rPr>
                <w:rFonts w:ascii="Times New Roman" w:hAnsi="Times New Roman" w:cs="Times New Roman"/>
              </w:rPr>
              <w:t>Approvers</w:t>
            </w:r>
          </w:p>
        </w:tc>
        <w:tc>
          <w:tcPr>
            <w:tcW w:w="5471" w:type="dxa"/>
          </w:tcPr>
          <w:p w14:paraId="27215027" w14:textId="18E3FE22" w:rsidR="00156FF5" w:rsidRPr="00156FF5" w:rsidRDefault="00156FF5" w:rsidP="00B70974">
            <w:pPr>
              <w:jc w:val="both"/>
              <w:rPr>
                <w:rFonts w:ascii="Times New Roman" w:hAnsi="Times New Roman" w:cs="Times New Roman"/>
              </w:rPr>
            </w:pPr>
            <w:r w:rsidRPr="00514A87">
              <w:rPr>
                <w:rFonts w:ascii="Times New Roman" w:hAnsi="Times New Roman" w:cs="Times New Roman"/>
              </w:rPr>
              <w:t>Validation and approval of submissions</w:t>
            </w:r>
            <w:r w:rsidR="00311DCE">
              <w:rPr>
                <w:rFonts w:ascii="Times New Roman" w:hAnsi="Times New Roman" w:cs="Times New Roman"/>
              </w:rPr>
              <w:t>.</w:t>
            </w:r>
          </w:p>
        </w:tc>
      </w:tr>
    </w:tbl>
    <w:p w14:paraId="6A8249D8" w14:textId="3137F6A4" w:rsidR="00514A87" w:rsidRPr="00514A87" w:rsidRDefault="00514A87" w:rsidP="00B70974">
      <w:pPr>
        <w:pStyle w:val="Heading1"/>
        <w:numPr>
          <w:ilvl w:val="0"/>
          <w:numId w:val="8"/>
        </w:numPr>
        <w:tabs>
          <w:tab w:val="clear" w:pos="340"/>
        </w:tabs>
        <w:ind w:left="270" w:hanging="270"/>
        <w:jc w:val="both"/>
        <w:rPr>
          <w:rFonts w:ascii="Times New Roman" w:hAnsi="Times New Roman" w:cs="Times New Roman"/>
          <w:b/>
          <w:bCs/>
          <w:sz w:val="24"/>
          <w:szCs w:val="24"/>
        </w:rPr>
      </w:pPr>
      <w:r w:rsidRPr="00514A87">
        <w:rPr>
          <w:rFonts w:ascii="Times New Roman" w:hAnsi="Times New Roman" w:cs="Times New Roman"/>
          <w:b/>
          <w:bCs/>
          <w:sz w:val="24"/>
          <w:szCs w:val="24"/>
        </w:rPr>
        <w:t>Risks and Mitigation Strategies</w:t>
      </w:r>
    </w:p>
    <w:tbl>
      <w:tblPr>
        <w:tblStyle w:val="TableGridLight"/>
        <w:tblW w:w="869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5499"/>
      </w:tblGrid>
      <w:tr w:rsidR="00514A87" w:rsidRPr="00514A87" w14:paraId="228CB5FC" w14:textId="77777777" w:rsidTr="00B70974">
        <w:trPr>
          <w:trHeight w:val="485"/>
        </w:trPr>
        <w:tc>
          <w:tcPr>
            <w:tcW w:w="3196" w:type="dxa"/>
            <w:shd w:val="clear" w:color="auto" w:fill="DAE9F7" w:themeFill="text2" w:themeFillTint="1A"/>
            <w:hideMark/>
          </w:tcPr>
          <w:p w14:paraId="2357E193" w14:textId="77777777" w:rsidR="00514A87" w:rsidRPr="00514A87" w:rsidRDefault="00514A87" w:rsidP="00B70974">
            <w:pPr>
              <w:spacing w:after="160" w:line="278" w:lineRule="auto"/>
              <w:jc w:val="both"/>
              <w:rPr>
                <w:rFonts w:ascii="Times New Roman" w:hAnsi="Times New Roman" w:cs="Times New Roman"/>
                <w:b/>
                <w:bCs/>
              </w:rPr>
            </w:pPr>
            <w:r w:rsidRPr="00514A87">
              <w:rPr>
                <w:rFonts w:ascii="Times New Roman" w:hAnsi="Times New Roman" w:cs="Times New Roman"/>
                <w:b/>
                <w:bCs/>
              </w:rPr>
              <w:t>Risk</w:t>
            </w:r>
          </w:p>
        </w:tc>
        <w:tc>
          <w:tcPr>
            <w:tcW w:w="0" w:type="auto"/>
            <w:shd w:val="clear" w:color="auto" w:fill="DAE9F7" w:themeFill="text2" w:themeFillTint="1A"/>
            <w:hideMark/>
          </w:tcPr>
          <w:p w14:paraId="7D7592C6" w14:textId="77777777" w:rsidR="00514A87" w:rsidRPr="00514A87" w:rsidRDefault="00514A87" w:rsidP="00B70974">
            <w:pPr>
              <w:spacing w:after="160" w:line="278" w:lineRule="auto"/>
              <w:jc w:val="both"/>
              <w:rPr>
                <w:rFonts w:ascii="Times New Roman" w:hAnsi="Times New Roman" w:cs="Times New Roman"/>
                <w:b/>
                <w:bCs/>
              </w:rPr>
            </w:pPr>
            <w:r w:rsidRPr="00514A87">
              <w:rPr>
                <w:rFonts w:ascii="Times New Roman" w:hAnsi="Times New Roman" w:cs="Times New Roman"/>
                <w:b/>
                <w:bCs/>
              </w:rPr>
              <w:t>Mitigation</w:t>
            </w:r>
          </w:p>
        </w:tc>
      </w:tr>
      <w:tr w:rsidR="00514A87" w:rsidRPr="00514A87" w14:paraId="0EEB23C1" w14:textId="77777777" w:rsidTr="00B70974">
        <w:trPr>
          <w:trHeight w:val="476"/>
        </w:trPr>
        <w:tc>
          <w:tcPr>
            <w:tcW w:w="3196" w:type="dxa"/>
            <w:hideMark/>
          </w:tcPr>
          <w:p w14:paraId="0B2E485C"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Incomplete or inaccurate data</w:t>
            </w:r>
          </w:p>
        </w:tc>
        <w:tc>
          <w:tcPr>
            <w:tcW w:w="0" w:type="auto"/>
            <w:hideMark/>
          </w:tcPr>
          <w:p w14:paraId="099AB3AA" w14:textId="77777777" w:rsidR="00514A87" w:rsidRPr="00514A87" w:rsidRDefault="00514A87" w:rsidP="00B70974">
            <w:pPr>
              <w:spacing w:after="160" w:line="278" w:lineRule="auto"/>
              <w:ind w:right="-2930"/>
              <w:jc w:val="both"/>
              <w:rPr>
                <w:rFonts w:ascii="Times New Roman" w:hAnsi="Times New Roman" w:cs="Times New Roman"/>
              </w:rPr>
            </w:pPr>
            <w:r w:rsidRPr="00514A87">
              <w:rPr>
                <w:rFonts w:ascii="Times New Roman" w:hAnsi="Times New Roman" w:cs="Times New Roman"/>
              </w:rPr>
              <w:t>Inline validations, mandatory fields, training</w:t>
            </w:r>
          </w:p>
        </w:tc>
      </w:tr>
      <w:tr w:rsidR="00514A87" w:rsidRPr="00514A87" w14:paraId="6973343C" w14:textId="77777777" w:rsidTr="00B70974">
        <w:trPr>
          <w:trHeight w:val="449"/>
        </w:trPr>
        <w:tc>
          <w:tcPr>
            <w:tcW w:w="3196" w:type="dxa"/>
            <w:hideMark/>
          </w:tcPr>
          <w:p w14:paraId="6DC74FEB"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Resistance to adoption</w:t>
            </w:r>
          </w:p>
        </w:tc>
        <w:tc>
          <w:tcPr>
            <w:tcW w:w="0" w:type="auto"/>
            <w:hideMark/>
          </w:tcPr>
          <w:p w14:paraId="1251DC0A"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Stakeholder engagement, capacity building</w:t>
            </w:r>
          </w:p>
        </w:tc>
      </w:tr>
      <w:tr w:rsidR="00514A87" w:rsidRPr="00514A87" w14:paraId="6BDF1053" w14:textId="77777777" w:rsidTr="00B70974">
        <w:trPr>
          <w:trHeight w:val="539"/>
        </w:trPr>
        <w:tc>
          <w:tcPr>
            <w:tcW w:w="3196" w:type="dxa"/>
            <w:hideMark/>
          </w:tcPr>
          <w:p w14:paraId="03A7E261"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Technical glitches</w:t>
            </w:r>
          </w:p>
        </w:tc>
        <w:tc>
          <w:tcPr>
            <w:tcW w:w="0" w:type="auto"/>
            <w:hideMark/>
          </w:tcPr>
          <w:p w14:paraId="5AA44B06"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Robust testing, fallback mechanisms</w:t>
            </w:r>
          </w:p>
        </w:tc>
      </w:tr>
      <w:tr w:rsidR="00514A87" w:rsidRPr="00514A87" w14:paraId="0FC25D69" w14:textId="77777777" w:rsidTr="00B70974">
        <w:trPr>
          <w:trHeight w:val="170"/>
        </w:trPr>
        <w:tc>
          <w:tcPr>
            <w:tcW w:w="3196" w:type="dxa"/>
            <w:hideMark/>
          </w:tcPr>
          <w:p w14:paraId="6782369D"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Data security concerns</w:t>
            </w:r>
          </w:p>
        </w:tc>
        <w:tc>
          <w:tcPr>
            <w:tcW w:w="0" w:type="auto"/>
            <w:hideMark/>
          </w:tcPr>
          <w:p w14:paraId="0976059F"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Role-based access, encryption, secure hosting</w:t>
            </w:r>
          </w:p>
        </w:tc>
      </w:tr>
      <w:tr w:rsidR="00514A87" w:rsidRPr="00514A87" w14:paraId="73C13AC8" w14:textId="77777777" w:rsidTr="00B70974">
        <w:trPr>
          <w:trHeight w:val="152"/>
        </w:trPr>
        <w:tc>
          <w:tcPr>
            <w:tcW w:w="3196" w:type="dxa"/>
            <w:hideMark/>
          </w:tcPr>
          <w:p w14:paraId="2E8644E9"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Delays in approvals</w:t>
            </w:r>
          </w:p>
        </w:tc>
        <w:tc>
          <w:tcPr>
            <w:tcW w:w="0" w:type="auto"/>
            <w:hideMark/>
          </w:tcPr>
          <w:p w14:paraId="700E6839" w14:textId="77777777" w:rsidR="00514A87" w:rsidRPr="00514A87" w:rsidRDefault="00514A87" w:rsidP="00B70974">
            <w:pPr>
              <w:spacing w:after="160" w:line="278" w:lineRule="auto"/>
              <w:jc w:val="both"/>
              <w:rPr>
                <w:rFonts w:ascii="Times New Roman" w:hAnsi="Times New Roman" w:cs="Times New Roman"/>
              </w:rPr>
            </w:pPr>
            <w:r w:rsidRPr="00514A87">
              <w:rPr>
                <w:rFonts w:ascii="Times New Roman" w:hAnsi="Times New Roman" w:cs="Times New Roman"/>
              </w:rPr>
              <w:t>Automated reminders, escalation workflows</w:t>
            </w:r>
          </w:p>
        </w:tc>
      </w:tr>
    </w:tbl>
    <w:p w14:paraId="75EEA989" w14:textId="77777777" w:rsidR="00A4057E" w:rsidRDefault="00A4057E" w:rsidP="00B70974">
      <w:pPr>
        <w:jc w:val="both"/>
        <w:rPr>
          <w:rFonts w:ascii="Times New Roman" w:hAnsi="Times New Roman" w:cs="Times New Roman"/>
        </w:rPr>
      </w:pPr>
    </w:p>
    <w:p w14:paraId="0E6CFB95" w14:textId="77777777" w:rsidR="00311DCE" w:rsidRDefault="00311DCE" w:rsidP="00B70974">
      <w:pPr>
        <w:jc w:val="both"/>
        <w:rPr>
          <w:rFonts w:ascii="Times New Roman" w:hAnsi="Times New Roman" w:cs="Times New Roman"/>
        </w:rPr>
      </w:pPr>
    </w:p>
    <w:p w14:paraId="375A6EE5" w14:textId="77777777" w:rsidR="00311DCE" w:rsidRDefault="00311DCE">
      <w:pPr>
        <w:rPr>
          <w:rFonts w:ascii="Times New Roman" w:hAnsi="Times New Roman" w:cs="Times New Roman"/>
        </w:rPr>
      </w:pPr>
    </w:p>
    <w:p w14:paraId="47307CEC" w14:textId="77777777" w:rsidR="00311DCE" w:rsidRDefault="00311DCE">
      <w:pPr>
        <w:rPr>
          <w:rFonts w:ascii="Times New Roman" w:hAnsi="Times New Roman" w:cs="Times New Roman"/>
        </w:rPr>
      </w:pPr>
    </w:p>
    <w:p w14:paraId="5920680E" w14:textId="77777777" w:rsidR="00311DCE" w:rsidRDefault="00311DCE">
      <w:pPr>
        <w:rPr>
          <w:rFonts w:ascii="Times New Roman" w:hAnsi="Times New Roman" w:cs="Times New Roman"/>
        </w:rPr>
      </w:pPr>
    </w:p>
    <w:p w14:paraId="28A6D20B" w14:textId="77777777" w:rsidR="00311DCE" w:rsidRDefault="00311DCE">
      <w:pPr>
        <w:rPr>
          <w:rFonts w:ascii="Times New Roman" w:hAnsi="Times New Roman" w:cs="Times New Roman"/>
        </w:rPr>
      </w:pPr>
    </w:p>
    <w:p w14:paraId="57F9AC4B" w14:textId="77777777" w:rsidR="00311DCE" w:rsidRDefault="00311DCE">
      <w:pPr>
        <w:rPr>
          <w:rFonts w:ascii="Times New Roman" w:hAnsi="Times New Roman" w:cs="Times New Roman"/>
        </w:rPr>
      </w:pPr>
    </w:p>
    <w:p w14:paraId="02D958B2" w14:textId="77777777" w:rsidR="0065028D" w:rsidRDefault="0065028D">
      <w:pPr>
        <w:rPr>
          <w:rFonts w:ascii="Times New Roman" w:hAnsi="Times New Roman" w:cs="Times New Roman"/>
        </w:rPr>
      </w:pPr>
    </w:p>
    <w:p w14:paraId="35410376" w14:textId="77777777" w:rsidR="005D6F84" w:rsidRDefault="005D6F84">
      <w:pPr>
        <w:rPr>
          <w:rFonts w:ascii="Times New Roman" w:hAnsi="Times New Roman" w:cs="Times New Roman"/>
        </w:rPr>
      </w:pPr>
    </w:p>
    <w:p w14:paraId="4274F6B2" w14:textId="77777777" w:rsidR="00311DCE" w:rsidRDefault="00311DCE">
      <w:pPr>
        <w:rPr>
          <w:rFonts w:ascii="Times New Roman" w:hAnsi="Times New Roman" w:cs="Times New Roman"/>
        </w:rPr>
      </w:pPr>
    </w:p>
    <w:p w14:paraId="44D78244" w14:textId="77777777" w:rsidR="00311DCE" w:rsidRPr="00156FF5" w:rsidRDefault="00311DCE">
      <w:pPr>
        <w:rPr>
          <w:rFonts w:ascii="Times New Roman" w:hAnsi="Times New Roman" w:cs="Times New Roman"/>
        </w:rPr>
      </w:pPr>
    </w:p>
    <w:p w14:paraId="7E6331BF" w14:textId="77777777" w:rsidR="009945D9" w:rsidRPr="00311DCE" w:rsidRDefault="009945D9">
      <w:pPr>
        <w:rPr>
          <w:rFonts w:ascii="Times New Roman" w:hAnsi="Times New Roman" w:cs="Times New Roman"/>
          <w:b/>
          <w:bCs/>
        </w:rPr>
      </w:pPr>
      <w:r w:rsidRPr="00311DCE">
        <w:rPr>
          <w:rFonts w:ascii="Times New Roman" w:hAnsi="Times New Roman" w:cs="Times New Roman"/>
          <w:b/>
          <w:bCs/>
        </w:rPr>
        <w:t>Prompt Reference:</w:t>
      </w:r>
    </w:p>
    <w:p w14:paraId="75640882" w14:textId="378181F4" w:rsidR="009945D9" w:rsidRDefault="009945D9">
      <w:pPr>
        <w:rPr>
          <w:rFonts w:ascii="Times New Roman" w:hAnsi="Times New Roman" w:cs="Times New Roman"/>
        </w:rPr>
      </w:pPr>
      <w:r>
        <w:rPr>
          <w:rFonts w:ascii="Times New Roman" w:hAnsi="Times New Roman" w:cs="Times New Roman"/>
        </w:rPr>
        <w:br/>
      </w:r>
      <w:r w:rsidRPr="009945D9">
        <w:rPr>
          <w:rFonts w:ascii="Times New Roman" w:hAnsi="Times New Roman" w:cs="Times New Roman"/>
          <w:noProof/>
        </w:rPr>
        <w:drawing>
          <wp:inline distT="0" distB="0" distL="0" distR="0" wp14:anchorId="35831183" wp14:editId="6C2CE958">
            <wp:extent cx="5667396" cy="3230880"/>
            <wp:effectExtent l="0" t="0" r="9525" b="7620"/>
            <wp:docPr id="31565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52650" name=""/>
                    <pic:cNvPicPr/>
                  </pic:nvPicPr>
                  <pic:blipFill>
                    <a:blip r:embed="rId5"/>
                    <a:stretch>
                      <a:fillRect/>
                    </a:stretch>
                  </pic:blipFill>
                  <pic:spPr>
                    <a:xfrm>
                      <a:off x="0" y="0"/>
                      <a:ext cx="5684274" cy="3240502"/>
                    </a:xfrm>
                    <a:prstGeom prst="rect">
                      <a:avLst/>
                    </a:prstGeom>
                  </pic:spPr>
                </pic:pic>
              </a:graphicData>
            </a:graphic>
          </wp:inline>
        </w:drawing>
      </w:r>
    </w:p>
    <w:p w14:paraId="7B9B5F73" w14:textId="77777777" w:rsidR="00311DCE" w:rsidRDefault="00311DCE">
      <w:pPr>
        <w:rPr>
          <w:rFonts w:ascii="Times New Roman" w:hAnsi="Times New Roman" w:cs="Times New Roman"/>
        </w:rPr>
      </w:pPr>
    </w:p>
    <w:p w14:paraId="40028427" w14:textId="3422CDE0" w:rsidR="00311DCE" w:rsidRPr="004B460E" w:rsidRDefault="00311DCE">
      <w:pPr>
        <w:rPr>
          <w:rFonts w:ascii="Times New Roman" w:hAnsi="Times New Roman" w:cs="Times New Roman"/>
        </w:rPr>
      </w:pPr>
      <w:r w:rsidRPr="00311DCE">
        <w:rPr>
          <w:rFonts w:ascii="Times New Roman" w:hAnsi="Times New Roman" w:cs="Times New Roman"/>
          <w:noProof/>
        </w:rPr>
        <w:drawing>
          <wp:inline distT="0" distB="0" distL="0" distR="0" wp14:anchorId="3640EBB5" wp14:editId="52DA31F2">
            <wp:extent cx="5943600" cy="4000500"/>
            <wp:effectExtent l="0" t="0" r="0" b="0"/>
            <wp:docPr id="199590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02987" name=""/>
                    <pic:cNvPicPr/>
                  </pic:nvPicPr>
                  <pic:blipFill>
                    <a:blip r:embed="rId6"/>
                    <a:stretch>
                      <a:fillRect/>
                    </a:stretch>
                  </pic:blipFill>
                  <pic:spPr>
                    <a:xfrm>
                      <a:off x="0" y="0"/>
                      <a:ext cx="5943600" cy="4000500"/>
                    </a:xfrm>
                    <a:prstGeom prst="rect">
                      <a:avLst/>
                    </a:prstGeom>
                  </pic:spPr>
                </pic:pic>
              </a:graphicData>
            </a:graphic>
          </wp:inline>
        </w:drawing>
      </w:r>
    </w:p>
    <w:sectPr w:rsidR="00311DCE" w:rsidRPr="004B460E" w:rsidSect="00514A8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D4CE0"/>
    <w:multiLevelType w:val="multilevel"/>
    <w:tmpl w:val="DB6E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4B26"/>
    <w:multiLevelType w:val="multilevel"/>
    <w:tmpl w:val="8678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44AA6"/>
    <w:multiLevelType w:val="multilevel"/>
    <w:tmpl w:val="A6128B8A"/>
    <w:lvl w:ilvl="0">
      <w:start w:val="1"/>
      <w:numFmt w:val="decimal"/>
      <w:lvlText w:val="%1."/>
      <w:lvlJc w:val="left"/>
      <w:pPr>
        <w:tabs>
          <w:tab w:val="num" w:pos="340"/>
        </w:tabs>
        <w:ind w:left="340" w:hanging="340"/>
      </w:pPr>
      <w:rPr>
        <w:rFonts w:hint="default"/>
      </w:rPr>
    </w:lvl>
    <w:lvl w:ilvl="1">
      <w:start w:val="1"/>
      <w:numFmt w:val="lowerLetter"/>
      <w:lvlText w:val="%2)"/>
      <w:lvlJc w:val="left"/>
      <w:pPr>
        <w:ind w:left="700" w:hanging="360"/>
      </w:p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 w15:restartNumberingAfterBreak="0">
    <w:nsid w:val="60310D80"/>
    <w:multiLevelType w:val="multilevel"/>
    <w:tmpl w:val="61C42962"/>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4" w15:restartNumberingAfterBreak="0">
    <w:nsid w:val="620A5A3D"/>
    <w:multiLevelType w:val="multilevel"/>
    <w:tmpl w:val="434C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93FF8"/>
    <w:multiLevelType w:val="multilevel"/>
    <w:tmpl w:val="BB7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C6591"/>
    <w:multiLevelType w:val="multilevel"/>
    <w:tmpl w:val="762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C7E31"/>
    <w:multiLevelType w:val="multilevel"/>
    <w:tmpl w:val="078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15804"/>
    <w:multiLevelType w:val="multilevel"/>
    <w:tmpl w:val="9BB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665744">
    <w:abstractNumId w:val="7"/>
  </w:num>
  <w:num w:numId="2" w16cid:durableId="1954048846">
    <w:abstractNumId w:val="0"/>
  </w:num>
  <w:num w:numId="3" w16cid:durableId="1908611305">
    <w:abstractNumId w:val="5"/>
  </w:num>
  <w:num w:numId="4" w16cid:durableId="743724436">
    <w:abstractNumId w:val="4"/>
  </w:num>
  <w:num w:numId="5" w16cid:durableId="1976330783">
    <w:abstractNumId w:val="1"/>
  </w:num>
  <w:num w:numId="6" w16cid:durableId="752891822">
    <w:abstractNumId w:val="8"/>
  </w:num>
  <w:num w:numId="7" w16cid:durableId="794373735">
    <w:abstractNumId w:val="3"/>
  </w:num>
  <w:num w:numId="8" w16cid:durableId="1514489162">
    <w:abstractNumId w:val="2"/>
  </w:num>
  <w:num w:numId="9" w16cid:durableId="1671250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87"/>
    <w:rsid w:val="000655C3"/>
    <w:rsid w:val="00156FF5"/>
    <w:rsid w:val="00311DCE"/>
    <w:rsid w:val="004B460E"/>
    <w:rsid w:val="004D5BA0"/>
    <w:rsid w:val="00514A87"/>
    <w:rsid w:val="005D6F84"/>
    <w:rsid w:val="0065028D"/>
    <w:rsid w:val="00684645"/>
    <w:rsid w:val="009945D9"/>
    <w:rsid w:val="00A4057E"/>
    <w:rsid w:val="00B70974"/>
    <w:rsid w:val="00CD5D0C"/>
    <w:rsid w:val="00CE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B93B"/>
  <w15:chartTrackingRefBased/>
  <w15:docId w15:val="{82487116-DCBC-495D-99D3-44839398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A87"/>
    <w:rPr>
      <w:rFonts w:eastAsiaTheme="majorEastAsia" w:cstheme="majorBidi"/>
      <w:color w:val="272727" w:themeColor="text1" w:themeTint="D8"/>
    </w:rPr>
  </w:style>
  <w:style w:type="paragraph" w:styleId="Title">
    <w:name w:val="Title"/>
    <w:basedOn w:val="Normal"/>
    <w:next w:val="Normal"/>
    <w:link w:val="TitleChar"/>
    <w:uiPriority w:val="10"/>
    <w:qFormat/>
    <w:rsid w:val="00514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A87"/>
    <w:pPr>
      <w:spacing w:before="160"/>
      <w:jc w:val="center"/>
    </w:pPr>
    <w:rPr>
      <w:i/>
      <w:iCs/>
      <w:color w:val="404040" w:themeColor="text1" w:themeTint="BF"/>
    </w:rPr>
  </w:style>
  <w:style w:type="character" w:customStyle="1" w:styleId="QuoteChar">
    <w:name w:val="Quote Char"/>
    <w:basedOn w:val="DefaultParagraphFont"/>
    <w:link w:val="Quote"/>
    <w:uiPriority w:val="29"/>
    <w:rsid w:val="00514A87"/>
    <w:rPr>
      <w:i/>
      <w:iCs/>
      <w:color w:val="404040" w:themeColor="text1" w:themeTint="BF"/>
    </w:rPr>
  </w:style>
  <w:style w:type="paragraph" w:styleId="ListParagraph">
    <w:name w:val="List Paragraph"/>
    <w:basedOn w:val="Normal"/>
    <w:uiPriority w:val="34"/>
    <w:qFormat/>
    <w:rsid w:val="00514A87"/>
    <w:pPr>
      <w:ind w:left="720"/>
      <w:contextualSpacing/>
    </w:pPr>
  </w:style>
  <w:style w:type="character" w:styleId="IntenseEmphasis">
    <w:name w:val="Intense Emphasis"/>
    <w:basedOn w:val="DefaultParagraphFont"/>
    <w:uiPriority w:val="21"/>
    <w:qFormat/>
    <w:rsid w:val="00514A87"/>
    <w:rPr>
      <w:i/>
      <w:iCs/>
      <w:color w:val="0F4761" w:themeColor="accent1" w:themeShade="BF"/>
    </w:rPr>
  </w:style>
  <w:style w:type="paragraph" w:styleId="IntenseQuote">
    <w:name w:val="Intense Quote"/>
    <w:basedOn w:val="Normal"/>
    <w:next w:val="Normal"/>
    <w:link w:val="IntenseQuoteChar"/>
    <w:uiPriority w:val="30"/>
    <w:qFormat/>
    <w:rsid w:val="00514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A87"/>
    <w:rPr>
      <w:i/>
      <w:iCs/>
      <w:color w:val="0F4761" w:themeColor="accent1" w:themeShade="BF"/>
    </w:rPr>
  </w:style>
  <w:style w:type="character" w:styleId="IntenseReference">
    <w:name w:val="Intense Reference"/>
    <w:basedOn w:val="DefaultParagraphFont"/>
    <w:uiPriority w:val="32"/>
    <w:qFormat/>
    <w:rsid w:val="00514A87"/>
    <w:rPr>
      <w:b/>
      <w:bCs/>
      <w:smallCaps/>
      <w:color w:val="0F4761" w:themeColor="accent1" w:themeShade="BF"/>
      <w:spacing w:val="5"/>
    </w:rPr>
  </w:style>
  <w:style w:type="table" w:styleId="PlainTable1">
    <w:name w:val="Plain Table 1"/>
    <w:basedOn w:val="TableNormal"/>
    <w:uiPriority w:val="41"/>
    <w:rsid w:val="004B46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B46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440204">
      <w:bodyDiv w:val="1"/>
      <w:marLeft w:val="0"/>
      <w:marRight w:val="0"/>
      <w:marTop w:val="0"/>
      <w:marBottom w:val="0"/>
      <w:divBdr>
        <w:top w:val="none" w:sz="0" w:space="0" w:color="auto"/>
        <w:left w:val="none" w:sz="0" w:space="0" w:color="auto"/>
        <w:bottom w:val="none" w:sz="0" w:space="0" w:color="auto"/>
        <w:right w:val="none" w:sz="0" w:space="0" w:color="auto"/>
      </w:divBdr>
    </w:div>
    <w:div w:id="1032264976">
      <w:bodyDiv w:val="1"/>
      <w:marLeft w:val="0"/>
      <w:marRight w:val="0"/>
      <w:marTop w:val="0"/>
      <w:marBottom w:val="0"/>
      <w:divBdr>
        <w:top w:val="none" w:sz="0" w:space="0" w:color="auto"/>
        <w:left w:val="none" w:sz="0" w:space="0" w:color="auto"/>
        <w:bottom w:val="none" w:sz="0" w:space="0" w:color="auto"/>
        <w:right w:val="none" w:sz="0" w:space="0" w:color="auto"/>
      </w:divBdr>
      <w:divsChild>
        <w:div w:id="918095076">
          <w:marLeft w:val="0"/>
          <w:marRight w:val="0"/>
          <w:marTop w:val="0"/>
          <w:marBottom w:val="0"/>
          <w:divBdr>
            <w:top w:val="none" w:sz="0" w:space="0" w:color="auto"/>
            <w:left w:val="none" w:sz="0" w:space="0" w:color="auto"/>
            <w:bottom w:val="none" w:sz="0" w:space="0" w:color="auto"/>
            <w:right w:val="none" w:sz="0" w:space="0" w:color="auto"/>
          </w:divBdr>
        </w:div>
        <w:div w:id="1620798797">
          <w:marLeft w:val="0"/>
          <w:marRight w:val="0"/>
          <w:marTop w:val="0"/>
          <w:marBottom w:val="0"/>
          <w:divBdr>
            <w:top w:val="none" w:sz="0" w:space="0" w:color="auto"/>
            <w:left w:val="none" w:sz="0" w:space="0" w:color="auto"/>
            <w:bottom w:val="none" w:sz="0" w:space="0" w:color="auto"/>
            <w:right w:val="none" w:sz="0" w:space="0" w:color="auto"/>
          </w:divBdr>
        </w:div>
      </w:divsChild>
    </w:div>
    <w:div w:id="1593277488">
      <w:bodyDiv w:val="1"/>
      <w:marLeft w:val="0"/>
      <w:marRight w:val="0"/>
      <w:marTop w:val="0"/>
      <w:marBottom w:val="0"/>
      <w:divBdr>
        <w:top w:val="none" w:sz="0" w:space="0" w:color="auto"/>
        <w:left w:val="none" w:sz="0" w:space="0" w:color="auto"/>
        <w:bottom w:val="none" w:sz="0" w:space="0" w:color="auto"/>
        <w:right w:val="none" w:sz="0" w:space="0" w:color="auto"/>
      </w:divBdr>
      <w:divsChild>
        <w:div w:id="553465653">
          <w:marLeft w:val="0"/>
          <w:marRight w:val="0"/>
          <w:marTop w:val="0"/>
          <w:marBottom w:val="0"/>
          <w:divBdr>
            <w:top w:val="none" w:sz="0" w:space="0" w:color="auto"/>
            <w:left w:val="none" w:sz="0" w:space="0" w:color="auto"/>
            <w:bottom w:val="none" w:sz="0" w:space="0" w:color="auto"/>
            <w:right w:val="none" w:sz="0" w:space="0" w:color="auto"/>
          </w:divBdr>
        </w:div>
        <w:div w:id="274752007">
          <w:marLeft w:val="0"/>
          <w:marRight w:val="0"/>
          <w:marTop w:val="0"/>
          <w:marBottom w:val="0"/>
          <w:divBdr>
            <w:top w:val="none" w:sz="0" w:space="0" w:color="auto"/>
            <w:left w:val="none" w:sz="0" w:space="0" w:color="auto"/>
            <w:bottom w:val="none" w:sz="0" w:space="0" w:color="auto"/>
            <w:right w:val="none" w:sz="0" w:space="0" w:color="auto"/>
          </w:divBdr>
        </w:div>
      </w:divsChild>
    </w:div>
    <w:div w:id="20856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Kartikay</dc:creator>
  <cp:keywords/>
  <dc:description/>
  <cp:lastModifiedBy>Ankit Malhotra</cp:lastModifiedBy>
  <cp:revision>4</cp:revision>
  <dcterms:created xsi:type="dcterms:W3CDTF">2025-10-03T11:33:00Z</dcterms:created>
  <dcterms:modified xsi:type="dcterms:W3CDTF">2025-10-06T12:30:00Z</dcterms:modified>
</cp:coreProperties>
</file>