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B45309"/>
          <w:sz w:val="22"/>
          <w:szCs w:val="22"/>
        </w:rPr>
        <w:t xml:space="preserve">PROBLEM STATEMENT 26023</w:t>
      </w:r>
    </w:p>
    <w:p>
      <w:pPr>
        <w:spacing w:after="100"/>
      </w:pPr>
      <w:r>
        <w:rPr>
          <w:b/>
          <w:bCs/>
          <w:sz w:val="40"/>
          <w:szCs w:val="40"/>
        </w:rPr>
        <w:t xml:space="preserve">Implementation Plan — Version 1</w:t>
      </w:r>
    </w:p>
    <w:p>
      <w:pPr>
        <w:spacing w:after="100"/>
      </w:pPr>
      <w:r>
        <w:rPr>
          <w:sz w:val="26"/>
          <w:szCs w:val="26"/>
        </w:rPr>
        <w:t xml:space="preserve">AI-Assisted Geological &amp; Mining Report Generation, Topic Analytics, and Query System</w:t>
      </w:r>
    </w:p>
    <w:p>
      <w:pPr>
        <w:spacing w:after="100"/>
      </w:pPr>
      <w:r>
        <w:rPr>
          <w:i/>
          <w:iCs/>
          <w:color w:val="B45309"/>
          <w:sz w:val="24"/>
          <w:szCs w:val="24"/>
        </w:rPr>
        <w:t xml:space="preserve">Scan → Extract → Answer</w:t>
      </w:r>
    </w:p>
    <w:p>
      <w:pPr>
        <w:spacing w:after="120"/>
      </w:pPr>
      <w:r>
        <w:t xml:space="preserve">A traceability-first AI platform for CMPDI/CIL subsidiaries, built for the Ministry of Coal, that turns scanned geological and production documents into auditable reports, topic insights, and citation-backed answers — including Hindi voice queries — for Smart India Hackathon.</w:t>
      </w:r>
    </w:p>
    <w:p>
      <w:pPr>
        <w:pStyle w:val="Heading1"/>
        <w:spacing w:after="200" w:before="400"/>
      </w:pPr>
      <w:r>
        <w:t xml:space="preserve">1. Background &amp; Problem Context</w:t>
      </w:r>
    </w:p>
    <w:p>
      <w:pPr>
        <w:spacing w:after="120"/>
      </w:pPr>
      <w:r>
        <w:t xml:space="preserve">CMPDI/CIL subsidiaries compile geological and mining information to respond to Ministry of Coal and parliamentary inquiries. Data is spread across scanned PDFs, digital documents, spreadsheets, images, and historical archives, and the current workflow to compile it is largely manual.</w:t>
      </w:r>
    </w:p>
    <w:p>
      <w:pPr>
        <w:pStyle w:val="Heading2"/>
        <w:spacing w:after="150" w:before="300"/>
      </w:pPr>
      <w:r>
        <w:t xml:space="preserve">Critical Pain Points</w:t>
      </w:r>
    </w:p>
    <w:p>
      <w:pPr>
        <w:pStyle w:val="ListParagraph"/>
        <w:numPr>
          <w:ilvl w:val="0"/>
          <w:numId w:val="1"/>
        </w:numPr>
        <w:spacing w:after="80"/>
      </w:pPr>
      <w:r>
        <w:t xml:space="preserve">High dependence on individual expertise to locate and interpret historical records.</w:t>
      </w:r>
    </w:p>
    <w:p>
      <w:pPr>
        <w:pStyle w:val="ListParagraph"/>
        <w:numPr>
          <w:ilvl w:val="0"/>
          <w:numId w:val="1"/>
        </w:numPr>
        <w:spacing w:after="80"/>
      </w:pPr>
      <w:r>
        <w:t xml:space="preserve">Delay in generating reports and analytics under time-sensitive inquiries.</w:t>
      </w:r>
    </w:p>
    <w:p>
      <w:pPr>
        <w:pStyle w:val="ListParagraph"/>
        <w:numPr>
          <w:ilvl w:val="0"/>
          <w:numId w:val="1"/>
        </w:numPr>
        <w:spacing w:after="80"/>
      </w:pPr>
      <w:r>
        <w:t xml:space="preserve">Higher probability of manual transcription and compilation errors.</w:t>
      </w:r>
    </w:p>
    <w:p>
      <w:pPr>
        <w:pStyle w:val="ListParagraph"/>
        <w:numPr>
          <w:ilvl w:val="0"/>
          <w:numId w:val="1"/>
        </w:numPr>
        <w:spacing w:after="80"/>
      </w:pPr>
      <w:r>
        <w:t xml:space="preserve">Limited ability to quickly retrieve insights when required for policy or governance decisions.</w:t>
      </w:r>
    </w:p>
    <w:p>
      <w:pPr>
        <w:pStyle w:val="Heading2"/>
        <w:spacing w:after="150" w:before="300"/>
      </w:pPr>
      <w:r>
        <w:t xml:space="preserve">Core Solution</w:t>
      </w:r>
    </w:p>
    <w:p>
      <w:pPr>
        <w:spacing w:after="120"/>
      </w:pPr>
      <w:r>
        <w:t xml:space="preserve">A traceable, AI-assisted "Reporting Co-Pilot" that reduces document-to-report turnaround to a simple three-step flow: Scan → Extract → Answer, with every generated fact linked back to its exact source.</w:t>
      </w:r>
    </w:p>
    <w:p>
      <w:pPr>
        <w:pStyle w:val="Heading1"/>
        <w:spacing w:after="200" w:before="400"/>
      </w:pPr>
      <w:r>
        <w:t xml:space="preserve">2. System Architecture Overview</w:t>
      </w:r>
    </w:p>
    <w:p>
      <w:pPr>
        <w:spacing w:after="120"/>
      </w:pPr>
      <w:r>
        <w:t xml:space="preserve">The application is organized into functional pillars sitting atop a shared data layer that a future Ministry-facing analytics dashboard will draw from. The backend is a modular FastAPI service, with extraction, retrieval, and generation kept as clearly separated pipelines to allow independent testing and later swap-in of stronger models.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800"/>
      </w:tblGrid>
      <w:tr>
        <w:tc>
          <w:tcPr>
            <w:tcW w:type="dxa" w:w="2600"/>
            <w:shd w:fill="1E293B" w:val="clear"/>
          </w:tcPr>
          <w:p>
            <w:r>
              <w:rPr>
                <w:b/>
                <w:bCs/>
                <w:color w:val="FFFFFF"/>
                <w:sz w:val="20"/>
                <w:szCs w:val="20"/>
              </w:rPr>
              <w:t xml:space="preserve">Pillar</w:t>
            </w:r>
          </w:p>
        </w:tc>
        <w:tc>
          <w:tcPr>
            <w:tcW w:type="dxa" w:w="5200"/>
            <w:shd w:fill="1E293B" w:val="clear"/>
          </w:tcPr>
          <w:p>
            <w:r>
              <w:rPr>
                <w:b/>
                <w:bCs/>
                <w:color w:val="FFFFFF"/>
                <w:sz w:val="20"/>
                <w:szCs w:val="20"/>
              </w:rPr>
              <w:t xml:space="preserve">Purpose</w:t>
            </w:r>
          </w:p>
        </w:tc>
        <w:tc>
          <w:tcPr>
            <w:tcW w:type="dxa" w:w="1800"/>
            <w:shd w:fill="1E293B" w:val="clear"/>
          </w:tcPr>
          <w:p>
            <w:r>
              <w:rPr>
                <w:b/>
                <w:bCs/>
                <w:color w:val="FFFFFF"/>
                <w:sz w:val="20"/>
                <w:szCs w:val="20"/>
              </w:rPr>
              <w:t xml:space="preserve">Status</w:t>
            </w:r>
          </w:p>
        </w:tc>
      </w:tr>
      <w:tr>
        <w:tc>
          <w:tcPr>
            <w:tcW w:type="dxa" w:w="2600"/>
          </w:tcPr>
          <w:p>
            <w:r>
              <w:rPr>
                <w:b w:val="false"/>
                <w:bCs w:val="false"/>
                <w:sz w:val="20"/>
                <w:szCs w:val="20"/>
              </w:rPr>
              <w:t xml:space="preserve">1. Ingestion &amp; Extraction</w:t>
            </w:r>
          </w:p>
        </w:tc>
        <w:tc>
          <w:tcPr>
            <w:tcW w:type="dxa" w:w="5200"/>
          </w:tcPr>
          <w:p>
            <w:r>
              <w:rPr>
                <w:b w:val="false"/>
                <w:bCs w:val="false"/>
                <w:sz w:val="20"/>
                <w:szCs w:val="20"/>
              </w:rPr>
              <w:t xml:space="preserve">Converts scanned/digital documents into structured, traceable data (seam, depth, grade, reserves, district, block, date).</w:t>
            </w:r>
          </w:p>
        </w:tc>
        <w:tc>
          <w:tcPr>
            <w:tcW w:type="dxa" w:w="1800"/>
          </w:tcPr>
          <w:p>
            <w:r>
              <w:rPr>
                <w:b w:val="false"/>
                <w:bCs w:val="false"/>
                <w:sz w:val="20"/>
                <w:szCs w:val="20"/>
              </w:rPr>
              <w:t xml:space="preserve">In Progress</w:t>
            </w:r>
          </w:p>
        </w:tc>
      </w:tr>
      <w:tr>
        <w:tc>
          <w:tcPr>
            <w:tcW w:type="dxa" w:w="2600"/>
          </w:tcPr>
          <w:p>
            <w:r>
              <w:rPr>
                <w:b w:val="false"/>
                <w:bCs w:val="false"/>
                <w:sz w:val="20"/>
                <w:szCs w:val="20"/>
              </w:rPr>
              <w:t xml:space="preserve">2. Report Generator</w:t>
            </w:r>
          </w:p>
        </w:tc>
        <w:tc>
          <w:tcPr>
            <w:tcW w:type="dxa" w:w="5200"/>
          </w:tcPr>
          <w:p>
            <w:r>
              <w:rPr>
                <w:b w:val="false"/>
                <w:bCs w:val="false"/>
                <w:sz w:val="20"/>
                <w:szCs w:val="20"/>
              </w:rPr>
              <w:t xml:space="preserve">Auto-generates formatted reports from extracted data with clickable source citations.</w:t>
            </w:r>
          </w:p>
        </w:tc>
        <w:tc>
          <w:tcPr>
            <w:tcW w:type="dxa" w:w="1800"/>
          </w:tcPr>
          <w:p>
            <w:r>
              <w:rPr>
                <w:b w:val="false"/>
                <w:bCs w:val="false"/>
                <w:sz w:val="20"/>
                <w:szCs w:val="20"/>
              </w:rPr>
              <w:t xml:space="preserve">Planned</w:t>
            </w:r>
          </w:p>
        </w:tc>
      </w:tr>
      <w:tr>
        <w:tc>
          <w:tcPr>
            <w:tcW w:type="dxa" w:w="2600"/>
          </w:tcPr>
          <w:p>
            <w:r>
              <w:rPr>
                <w:b w:val="false"/>
                <w:bCs w:val="false"/>
                <w:sz w:val="20"/>
                <w:szCs w:val="20"/>
              </w:rPr>
              <w:t xml:space="preserve">3. Topic &amp; Word Cloud Engine</w:t>
            </w:r>
          </w:p>
        </w:tc>
        <w:tc>
          <w:tcPr>
            <w:tcW w:type="dxa" w:w="5200"/>
          </w:tcPr>
          <w:p>
            <w:r>
              <w:rPr>
                <w:b w:val="false"/>
                <w:bCs w:val="false"/>
                <w:sz w:val="20"/>
                <w:szCs w:val="20"/>
              </w:rPr>
              <w:t xml:space="preserve">Surfaces common themes and topic drift across the document corpus over time.</w:t>
            </w:r>
          </w:p>
        </w:tc>
        <w:tc>
          <w:tcPr>
            <w:tcW w:type="dxa" w:w="1800"/>
          </w:tcPr>
          <w:p>
            <w:r>
              <w:rPr>
                <w:b w:val="false"/>
                <w:bCs w:val="false"/>
                <w:sz w:val="20"/>
                <w:szCs w:val="20"/>
              </w:rPr>
              <w:t xml:space="preserve">Planned</w:t>
            </w:r>
          </w:p>
        </w:tc>
      </w:tr>
      <w:tr>
        <w:tc>
          <w:tcPr>
            <w:tcW w:type="dxa" w:w="2600"/>
          </w:tcPr>
          <w:p>
            <w:r>
              <w:rPr>
                <w:b w:val="false"/>
                <w:bCs w:val="false"/>
                <w:sz w:val="20"/>
                <w:szCs w:val="20"/>
              </w:rPr>
              <w:t xml:space="preserve">4. Consistency Checker</w:t>
            </w:r>
          </w:p>
        </w:tc>
        <w:tc>
          <w:tcPr>
            <w:tcW w:type="dxa" w:w="5200"/>
          </w:tcPr>
          <w:p>
            <w:r>
              <w:rPr>
                <w:b w:val="false"/>
                <w:bCs w:val="false"/>
                <w:sz w:val="20"/>
                <w:szCs w:val="20"/>
              </w:rPr>
              <w:t xml:space="preserve">Flags contradictions between new and historical figures for the same block/seam.</w:t>
            </w:r>
          </w:p>
        </w:tc>
        <w:tc>
          <w:tcPr>
            <w:tcW w:type="dxa" w:w="1800"/>
          </w:tcPr>
          <w:p>
            <w:r>
              <w:rPr>
                <w:b w:val="false"/>
                <w:bCs w:val="false"/>
                <w:sz w:val="20"/>
                <w:szCs w:val="20"/>
              </w:rPr>
              <w:t xml:space="preserve">Planned</w:t>
            </w:r>
          </w:p>
        </w:tc>
      </w:tr>
      <w:tr>
        <w:tc>
          <w:tcPr>
            <w:tcW w:type="dxa" w:w="2600"/>
          </w:tcPr>
          <w:p>
            <w:r>
              <w:rPr>
                <w:b w:val="false"/>
                <w:bCs w:val="false"/>
                <w:sz w:val="20"/>
                <w:szCs w:val="20"/>
              </w:rPr>
              <w:t xml:space="preserve">5. AI Query &amp; Response System</w:t>
            </w:r>
          </w:p>
        </w:tc>
        <w:tc>
          <w:tcPr>
            <w:tcW w:type="dxa" w:w="5200"/>
          </w:tcPr>
          <w:p>
            <w:r>
              <w:rPr>
                <w:b w:val="false"/>
                <w:bCs w:val="false"/>
                <w:sz w:val="20"/>
                <w:szCs w:val="20"/>
              </w:rPr>
              <w:t xml:space="preserve">Answers questions via RAG, formatted in official response style, with citations; supports Hindi voice.</w:t>
            </w:r>
          </w:p>
        </w:tc>
        <w:tc>
          <w:tcPr>
            <w:tcW w:type="dxa" w:w="1800"/>
          </w:tcPr>
          <w:p>
            <w:r>
              <w:rPr>
                <w:b w:val="false"/>
                <w:bCs w:val="false"/>
                <w:sz w:val="20"/>
                <w:szCs w:val="20"/>
              </w:rPr>
              <w:t xml:space="preserve">Planned</w:t>
            </w:r>
          </w:p>
        </w:tc>
      </w:tr>
    </w:tbl>
    <w:p>
      <w:pPr>
        <w:spacing w:after="150"/>
      </w:pPr>
    </w:p>
    <w:p>
      <w:pPr>
        <w:pStyle w:val="Heading2"/>
        <w:spacing w:after="150" w:before="300"/>
      </w:pPr>
      <w:r>
        <w:t xml:space="preserve">Data Flow — Document to Cited Answer</w:t>
      </w:r>
    </w:p>
    <w:p>
      <w:pPr>
        <w:spacing w:after="120"/>
      </w:pPr>
      <w:r>
        <w:t xml:space="preserve">Document uploaded → OCR/layout extraction → LLM maps content to a fixed schema, strictly grounded in the source text → every field tagged with page number, bounding box, and confidence score → data feeds report generation, topic modeling, and the consistency checker → RAG index built over structured + document corpus → query (text or Hindi voice) answered in official-response format with inline citations → official reviews and sends.</w:t>
      </w:r>
    </w:p>
    <w:p>
      <w:pPr>
        <w:pStyle w:val="Heading1"/>
        <w:spacing w:after="200" w:before="400"/>
      </w:pPr>
      <w:r>
        <w:t xml:space="preserve">3. Component-by-Component Breakdown</w:t>
      </w:r>
    </w:p>
    <w:p>
      <w:pPr>
        <w:pStyle w:val="Heading2"/>
        <w:spacing w:after="150" w:before="300"/>
      </w:pPr>
      <w:r>
        <w:t xml:space="preserve">COMPONENT 1 — Ingestion &amp; Traceable Extraction</w:t>
      </w:r>
    </w:p>
    <w:p>
      <w:pPr>
        <w:spacing w:after="120"/>
      </w:pPr>
      <w:r>
        <w:rPr>
          <w:b/>
          <w:bCs/>
          <w:color w:val="B45309"/>
        </w:rPr>
        <w:t xml:space="preserve">Status: In Progress</w:t>
      </w:r>
    </w:p>
    <w:p>
      <w:pPr>
        <w:spacing w:after="120"/>
      </w:pPr>
      <w:r>
        <w:t xml:space="preserve">Converts messy scanned mining documents into clean, structured, source-linked data — no manual transcription required.</w:t>
      </w:r>
    </w:p>
    <w:p>
      <w:pPr>
        <w:pStyle w:val="ListParagraph"/>
        <w:numPr>
          <w:ilvl w:val="0"/>
          <w:numId w:val="1"/>
        </w:numPr>
        <w:spacing w:after="80"/>
      </w:pPr>
      <w:r>
        <w:t xml:space="preserve">Multi-format Upload — batch ingestion of PDFs, scanned images, and spreadsheets. (Built)</w:t>
      </w:r>
    </w:p>
    <w:p>
      <w:pPr>
        <w:pStyle w:val="ListParagraph"/>
        <w:numPr>
          <w:ilvl w:val="0"/>
          <w:numId w:val="1"/>
        </w:numPr>
        <w:spacing w:after="80"/>
      </w:pPr>
      <w:r>
        <w:t xml:space="preserve">OCR / Layout Parsing — Tesseract baseline, upgrade path to Donut/LayoutLMv3 for table-heavy documents. (In Progress)</w:t>
      </w:r>
    </w:p>
    <w:p>
      <w:pPr>
        <w:pStyle w:val="ListParagraph"/>
        <w:numPr>
          <w:ilvl w:val="0"/>
          <w:numId w:val="1"/>
        </w:numPr>
        <w:spacing w:after="80"/>
      </w:pPr>
      <w:r>
        <w:t xml:space="preserve">Schema-Constrained Extraction — LLM maps text to a fixed ontology (seam, depth, grade, reserves, district, block, date), strictly grounded in the source, never inferring unstated figures. (Pending)</w:t>
      </w:r>
    </w:p>
    <w:p>
      <w:pPr>
        <w:pStyle w:val="ListParagraph"/>
        <w:numPr>
          <w:ilvl w:val="0"/>
          <w:numId w:val="1"/>
        </w:numPr>
        <w:spacing w:after="80"/>
      </w:pPr>
      <w:r>
        <w:t xml:space="preserve">Source Traceability Tagger — every extracted field stores its page number, bounding box, and confidence score. (Pending)</w:t>
      </w:r>
    </w:p>
    <w:p>
      <w:pPr>
        <w:pStyle w:val="Heading2"/>
        <w:spacing w:after="150" w:before="300"/>
      </w:pPr>
      <w:r>
        <w:t xml:space="preserve">COMPONENT 2 — Automated Report Generator</w:t>
      </w:r>
    </w:p>
    <w:p>
      <w:pPr>
        <w:spacing w:after="120"/>
      </w:pPr>
      <w:r>
        <w:rPr>
          <w:b/>
          <w:bCs/>
          <w:color w:val="B45309"/>
        </w:rPr>
        <w:t xml:space="preserve">Status: Planned</w:t>
      </w:r>
    </w:p>
    <w:p>
      <w:pPr>
        <w:spacing w:after="120"/>
      </w:pPr>
      <w:r>
        <w:t xml:space="preserve">Turns structured data into a formatted, ready-to-review report — every number remains clickable back to its original page.</w:t>
      </w:r>
    </w:p>
    <w:p>
      <w:pPr>
        <w:pStyle w:val="ListParagraph"/>
        <w:numPr>
          <w:ilvl w:val="0"/>
          <w:numId w:val="1"/>
        </w:numPr>
        <w:spacing w:after="80"/>
      </w:pPr>
      <w:r>
        <w:t xml:space="preserve">Templated Report Builder — narrative + tabular sections generated from extracted data.</w:t>
      </w:r>
    </w:p>
    <w:p>
      <w:pPr>
        <w:pStyle w:val="ListParagraph"/>
        <w:numPr>
          <w:ilvl w:val="0"/>
          <w:numId w:val="1"/>
        </w:numPr>
        <w:spacing w:after="80"/>
      </w:pPr>
      <w:r>
        <w:t xml:space="preserve">Click-to-Source Panel — clicking any figure opens the original document page, highlighted, with its confidence score.</w:t>
      </w:r>
    </w:p>
    <w:p>
      <w:pPr>
        <w:pStyle w:val="ListParagraph"/>
        <w:numPr>
          <w:ilvl w:val="0"/>
          <w:numId w:val="1"/>
        </w:numPr>
        <w:spacing w:after="80"/>
      </w:pPr>
      <w:r>
        <w:t xml:space="preserve">PDF Export — one-click export of the finished report.</w:t>
      </w:r>
    </w:p>
    <w:p>
      <w:pPr>
        <w:pStyle w:val="Heading2"/>
        <w:spacing w:after="150" w:before="300"/>
      </w:pPr>
      <w:r>
        <w:t xml:space="preserve">COMPONENT 3 — Topic &amp; Word Cloud Engine</w:t>
      </w:r>
    </w:p>
    <w:p>
      <w:pPr>
        <w:spacing w:after="120"/>
      </w:pPr>
      <w:r>
        <w:rPr>
          <w:b/>
          <w:bCs/>
          <w:color w:val="B45309"/>
        </w:rPr>
        <w:t xml:space="preserve">Status: Planned</w:t>
      </w:r>
    </w:p>
    <w:p>
      <w:pPr>
        <w:spacing w:after="120"/>
      </w:pPr>
      <w:r>
        <w:t xml:space="preserve">Surfaces recurring themes across the corpus, and — beyond a static word cloud — tracks how those themes shift over time.</w:t>
      </w:r>
    </w:p>
    <w:p>
      <w:pPr>
        <w:pStyle w:val="ListParagraph"/>
        <w:numPr>
          <w:ilvl w:val="0"/>
          <w:numId w:val="1"/>
        </w:numPr>
        <w:spacing w:after="80"/>
      </w:pPr>
      <w:r>
        <w:t xml:space="preserve">Word Cloud Generation — corpus-wide keyword frequency visualization.</w:t>
      </w:r>
    </w:p>
    <w:p>
      <w:pPr>
        <w:pStyle w:val="ListParagraph"/>
        <w:numPr>
          <w:ilvl w:val="0"/>
          <w:numId w:val="1"/>
        </w:numPr>
        <w:spacing w:after="80"/>
      </w:pPr>
      <w:r>
        <w:t xml:space="preserve">Topic Modeling — BERTopic/LDA-based topic identification.</w:t>
      </w:r>
    </w:p>
    <w:p>
      <w:pPr>
        <w:pStyle w:val="ListParagraph"/>
        <w:numPr>
          <w:ilvl w:val="0"/>
          <w:numId w:val="1"/>
        </w:numPr>
        <w:spacing w:after="80"/>
      </w:pPr>
      <w:r>
        <w:t xml:space="preserve">Topic-Drift-Over-Time View — a genuine differentiator: shows rising/falling concern areas year-over-year, turning a static module into a policy-insight tool.</w:t>
      </w:r>
    </w:p>
    <w:p>
      <w:pPr>
        <w:pStyle w:val="Heading2"/>
        <w:spacing w:after="150" w:before="300"/>
      </w:pPr>
      <w:r>
        <w:t xml:space="preserve">COMPONENT 4 — Consistency &amp; Anomaly Checker</w:t>
      </w:r>
    </w:p>
    <w:p>
      <w:pPr>
        <w:spacing w:after="120"/>
      </w:pPr>
      <w:r>
        <w:rPr>
          <w:b/>
          <w:bCs/>
          <w:color w:val="B45309"/>
        </w:rPr>
        <w:t xml:space="preserve">Status: Planned</w:t>
      </w:r>
    </w:p>
    <w:p>
      <w:pPr>
        <w:spacing w:after="120"/>
      </w:pPr>
      <w:r>
        <w:t xml:space="preserve">Automatically cross-checks new figures against historical filings for the same block/seam, catching errors before they reach a report.</w:t>
      </w:r>
    </w:p>
    <w:p>
      <w:pPr>
        <w:pStyle w:val="ListParagraph"/>
        <w:numPr>
          <w:ilvl w:val="0"/>
          <w:numId w:val="1"/>
        </w:numPr>
        <w:spacing w:after="80"/>
      </w:pPr>
      <w:r>
        <w:t xml:space="preserve">Historical Diff Engine — compares new extracted values against prior records.</w:t>
      </w:r>
    </w:p>
    <w:p>
      <w:pPr>
        <w:pStyle w:val="ListParagraph"/>
        <w:numPr>
          <w:ilvl w:val="0"/>
          <w:numId w:val="1"/>
        </w:numPr>
        <w:spacing w:after="80"/>
      </w:pPr>
      <w:r>
        <w:t xml:space="preserve">Outlier Flagging — statistical deviation check (e.g., &gt;X% change) with severity levels.</w:t>
      </w:r>
    </w:p>
    <w:p>
      <w:pPr>
        <w:pStyle w:val="ListParagraph"/>
        <w:numPr>
          <w:ilvl w:val="0"/>
          <w:numId w:val="1"/>
        </w:numPr>
        <w:spacing w:after="80"/>
      </w:pPr>
      <w:r>
        <w:t xml:space="preserve">Consistency Dashboard — every flag links back to both the old and new source documents.</w:t>
      </w:r>
    </w:p>
    <w:p>
      <w:pPr>
        <w:pStyle w:val="Heading2"/>
        <w:spacing w:after="150" w:before="300"/>
      </w:pPr>
      <w:r>
        <w:t xml:space="preserve">COMPONENT 5 — AI Query &amp; Response System</w:t>
      </w:r>
    </w:p>
    <w:p>
      <w:pPr>
        <w:spacing w:after="120"/>
      </w:pPr>
      <w:r>
        <w:rPr>
          <w:b/>
          <w:bCs/>
          <w:color w:val="B45309"/>
        </w:rPr>
        <w:t xml:space="preserve">Status: Planned</w:t>
      </w:r>
    </w:p>
    <w:p>
      <w:pPr>
        <w:spacing w:after="120"/>
      </w:pPr>
      <w:r>
        <w:t xml:space="preserve">Lets an official ask a question in plain language — by typing or by speaking in Hindi — and receive a citation-backed, ready-to-send answer.</w:t>
      </w:r>
    </w:p>
    <w:p>
      <w:pPr>
        <w:pStyle w:val="ListParagraph"/>
        <w:numPr>
          <w:ilvl w:val="0"/>
          <w:numId w:val="1"/>
        </w:numPr>
        <w:spacing w:after="80"/>
      </w:pPr>
      <w:r>
        <w:t xml:space="preserve">RAG Retrieval — search across the full structured + document corpus (ChromaDB/FAISS + LangChain).</w:t>
      </w:r>
    </w:p>
    <w:p>
      <w:pPr>
        <w:pStyle w:val="ListParagraph"/>
        <w:numPr>
          <w:ilvl w:val="0"/>
          <w:numId w:val="1"/>
        </w:numPr>
        <w:spacing w:after="80"/>
      </w:pPr>
      <w:r>
        <w:t xml:space="preserve">Official-Response Template Generator — answers formatted to match the parliamentary/administrative response style, not raw chat output.</w:t>
      </w:r>
    </w:p>
    <w:p>
      <w:pPr>
        <w:pStyle w:val="ListParagraph"/>
        <w:numPr>
          <w:ilvl w:val="0"/>
          <w:numId w:val="1"/>
        </w:numPr>
        <w:spacing w:after="80"/>
      </w:pPr>
      <w:r>
        <w:t xml:space="preserve">Hindi/English Voice Query — Whisper-based speech-to-text with auto-translation, routed through the same pipeline.</w:t>
      </w:r>
    </w:p>
    <w:p>
      <w:pPr>
        <w:pStyle w:val="ListParagraph"/>
        <w:numPr>
          <w:ilvl w:val="0"/>
          <w:numId w:val="1"/>
        </w:numPr>
        <w:spacing w:after="80"/>
      </w:pPr>
      <w:r>
        <w:t xml:space="preserve">Confidence &amp; Citation Display — every answer shows its supporting sources and a confidence indicator.</w:t>
      </w:r>
    </w:p>
    <w:p>
      <w:pPr>
        <w:pStyle w:val="Heading1"/>
        <w:spacing w:after="200" w:before="400"/>
      </w:pPr>
      <w:r>
        <w:t xml:space="preserve">4. UI/UX Design System</w:t>
      </w:r>
    </w:p>
    <w:p>
      <w:pPr>
        <w:spacing w:after="120"/>
      </w:pPr>
      <w:r>
        <w:t xml:space="preserve">Because outputs may be reviewed by non-technical officials and cited in official responses, the interface prioritizes clarity, auditability, and trust over decorative complexity.</w:t>
      </w:r>
    </w:p>
    <w:p>
      <w:pPr>
        <w:pStyle w:val="Heading2"/>
        <w:spacing w:after="150" w:before="300"/>
      </w:pPr>
      <w:r>
        <w:t xml:space="preserve">Visual Hierarchy</w:t>
      </w:r>
    </w:p>
    <w:p>
      <w:pPr>
        <w:pStyle w:val="ListParagraph"/>
        <w:numPr>
          <w:ilvl w:val="0"/>
          <w:numId w:val="1"/>
        </w:numPr>
        <w:spacing w:after="80"/>
      </w:pPr>
      <w:r>
        <w:t xml:space="preserve">Clean information hierarchy: cards and progressive disclosure over dense raw tables.</w:t>
      </w:r>
    </w:p>
    <w:p>
      <w:pPr>
        <w:pStyle w:val="ListParagraph"/>
        <w:numPr>
          <w:ilvl w:val="0"/>
          <w:numId w:val="1"/>
        </w:numPr>
        <w:spacing w:after="80"/>
      </w:pPr>
      <w:r>
        <w:t xml:space="preserve">The source click-through (report figure → original page) is the centerpiece interaction and is built to feel smooth and immediate.</w:t>
      </w:r>
    </w:p>
    <w:p>
      <w:pPr>
        <w:pStyle w:val="Heading2"/>
        <w:spacing w:after="150" w:before="300"/>
      </w:pPr>
      <w:r>
        <w:t xml:space="preserve">Color Palette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500"/>
        <w:gridCol w:w="5100"/>
      </w:tblGrid>
      <w:tr>
        <w:tc>
          <w:tcPr>
            <w:tcW w:type="dxa" w:w="4500"/>
            <w:shd w:fill="1E293B" w:val="clear"/>
          </w:tcPr>
          <w:p>
            <w:r>
              <w:rPr>
                <w:b/>
                <w:bCs/>
                <w:color w:val="FFFFFF"/>
                <w:sz w:val="20"/>
                <w:szCs w:val="20"/>
              </w:rPr>
              <w:t xml:space="preserve">Color</w:t>
            </w:r>
          </w:p>
        </w:tc>
        <w:tc>
          <w:tcPr>
            <w:tcW w:type="dxa" w:w="5100"/>
            <w:shd w:fill="1E293B" w:val="clear"/>
          </w:tcPr>
          <w:p>
            <w:r>
              <w:rPr>
                <w:b/>
                <w:bCs/>
                <w:color w:val="FFFFFF"/>
                <w:sz w:val="20"/>
                <w:szCs w:val="20"/>
              </w:rPr>
              <w:t xml:space="preserve">Role</w:t>
            </w:r>
          </w:p>
        </w:tc>
      </w:tr>
      <w:tr>
        <w:tc>
          <w:tcPr>
            <w:tcW w:type="dxa" w:w="4500"/>
          </w:tcPr>
          <w:p>
            <w:r>
              <w:rPr>
                <w:b w:val="false"/>
                <w:bCs w:val="false"/>
                <w:sz w:val="20"/>
                <w:szCs w:val="20"/>
              </w:rPr>
              <w:t xml:space="preserve">Deep Slate Navy — #1E293B</w:t>
            </w:r>
          </w:p>
        </w:tc>
        <w:tc>
          <w:tcPr>
            <w:tcW w:type="dxa" w:w="5100"/>
          </w:tcPr>
          <w:p>
            <w:r>
              <w:rPr>
                <w:b w:val="false"/>
                <w:bCs w:val="false"/>
                <w:sz w:val="20"/>
                <w:szCs w:val="20"/>
              </w:rPr>
              <w:t xml:space="preserve">Primary — authority, government-grade trust</w:t>
            </w:r>
          </w:p>
        </w:tc>
      </w:tr>
      <w:tr>
        <w:tc>
          <w:tcPr>
            <w:tcW w:type="dxa" w:w="4500"/>
          </w:tcPr>
          <w:p>
            <w:r>
              <w:rPr>
                <w:b w:val="false"/>
                <w:bCs w:val="false"/>
                <w:sz w:val="20"/>
                <w:szCs w:val="20"/>
              </w:rPr>
              <w:t xml:space="preserve">Amber — #B45309</w:t>
            </w:r>
          </w:p>
        </w:tc>
        <w:tc>
          <w:tcPr>
            <w:tcW w:type="dxa" w:w="5100"/>
          </w:tcPr>
          <w:p>
            <w:r>
              <w:rPr>
                <w:b w:val="false"/>
                <w:bCs w:val="false"/>
                <w:sz w:val="20"/>
                <w:szCs w:val="20"/>
              </w:rPr>
              <w:t xml:space="preserve">Primary accent — highlights, flags, attention states</w:t>
            </w:r>
          </w:p>
        </w:tc>
      </w:tr>
      <w:tr>
        <w:tc>
          <w:tcPr>
            <w:tcW w:type="dxa" w:w="4500"/>
          </w:tcPr>
          <w:p>
            <w:r>
              <w:rPr>
                <w:b w:val="false"/>
                <w:bCs w:val="false"/>
                <w:sz w:val="20"/>
                <w:szCs w:val="20"/>
              </w:rPr>
              <w:t xml:space="preserve">Emerald Green — #047857</w:t>
            </w:r>
          </w:p>
        </w:tc>
        <w:tc>
          <w:tcPr>
            <w:tcW w:type="dxa" w:w="5100"/>
          </w:tcPr>
          <w:p>
            <w:r>
              <w:rPr>
                <w:b w:val="false"/>
                <w:bCs w:val="false"/>
                <w:sz w:val="20"/>
                <w:szCs w:val="20"/>
              </w:rPr>
              <w:t xml:space="preserve">Positive/verified states, resolved consistency checks</w:t>
            </w:r>
          </w:p>
        </w:tc>
      </w:tr>
    </w:tbl>
    <w:p>
      <w:pPr>
        <w:spacing w:after="150"/>
      </w:pPr>
    </w:p>
    <w:p>
      <w:pPr>
        <w:pStyle w:val="Heading2"/>
        <w:spacing w:after="150" w:before="300"/>
      </w:pPr>
      <w:r>
        <w:t xml:space="preserve">Theming &amp; Typography</w:t>
      </w:r>
    </w:p>
    <w:p>
      <w:pPr>
        <w:pStyle w:val="ListParagraph"/>
        <w:numPr>
          <w:ilvl w:val="0"/>
          <w:numId w:val="1"/>
        </w:numPr>
        <w:spacing w:after="80"/>
      </w:pPr>
      <w:r>
        <w:t xml:space="preserve">Light theme by default (government/official document reading context), dark mode optional.</w:t>
      </w:r>
    </w:p>
    <w:p>
      <w:pPr>
        <w:pStyle w:val="ListParagraph"/>
        <w:numPr>
          <w:ilvl w:val="0"/>
          <w:numId w:val="1"/>
        </w:numPr>
        <w:spacing w:after="80"/>
      </w:pPr>
      <w:r>
        <w:t xml:space="preserve">Typography: a geometric sans for headings, clean readable sans for body text and tables.</w:t>
      </w:r>
    </w:p>
    <w:p>
      <w:pPr>
        <w:pStyle w:val="Heading1"/>
        <w:spacing w:after="200" w:before="400"/>
      </w:pPr>
      <w:r>
        <w:t xml:space="preserve">5. Verification &amp; Testing Plan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900"/>
      </w:tblGrid>
      <w:tr>
        <w:tc>
          <w:tcPr>
            <w:tcW w:type="dxa" w:w="2200"/>
            <w:shd w:fill="1E293B" w:val="clear"/>
          </w:tcPr>
          <w:p>
            <w:r>
              <w:rPr>
                <w:b/>
                <w:bCs/>
                <w:color w:val="FFFFFF"/>
                <w:sz w:val="20"/>
                <w:szCs w:val="20"/>
              </w:rPr>
              <w:t xml:space="preserve">Area</w:t>
            </w:r>
          </w:p>
        </w:tc>
        <w:tc>
          <w:tcPr>
            <w:tcW w:type="dxa" w:w="5300"/>
            <w:shd w:fill="1E293B" w:val="clear"/>
          </w:tcPr>
          <w:p>
            <w:r>
              <w:rPr>
                <w:b/>
                <w:bCs/>
                <w:color w:val="FFFFFF"/>
                <w:sz w:val="20"/>
                <w:szCs w:val="20"/>
              </w:rPr>
              <w:t xml:space="preserve">What to Verify</w:t>
            </w:r>
          </w:p>
        </w:tc>
        <w:tc>
          <w:tcPr>
            <w:tcW w:type="dxa" w:w="1900"/>
            <w:shd w:fill="1E293B" w:val="clear"/>
          </w:tcPr>
          <w:p>
            <w:r>
              <w:rPr>
                <w:b/>
                <w:bCs/>
                <w:color w:val="FFFFFF"/>
                <w:sz w:val="20"/>
                <w:szCs w:val="20"/>
              </w:rPr>
              <w:t xml:space="preserve">Status</w:t>
            </w:r>
          </w:p>
        </w:tc>
      </w:tr>
      <w:tr>
        <w:tc>
          <w:tcPr>
            <w:tcW w:type="dxa" w:w="2200"/>
          </w:tcPr>
          <w:p>
            <w:r>
              <w:rPr>
                <w:b w:val="false"/>
                <w:bCs w:val="false"/>
                <w:sz w:val="20"/>
                <w:szCs w:val="20"/>
              </w:rPr>
              <w:t xml:space="preserve">OCR / Extraction</w:t>
            </w:r>
          </w:p>
        </w:tc>
        <w:tc>
          <w:tcPr>
            <w:tcW w:type="dxa" w:w="5300"/>
          </w:tcPr>
          <w:p>
            <w:r>
              <w:rPr>
                <w:b w:val="false"/>
                <w:bCs w:val="false"/>
                <w:sz w:val="20"/>
                <w:szCs w:val="20"/>
              </w:rPr>
              <w:t xml:space="preserve">Run against sample scanned geological reports; confirm field accuracy against a hand-labeled gold set.</w:t>
            </w:r>
          </w:p>
        </w:tc>
        <w:tc>
          <w:tcPr>
            <w:tcW w:type="dxa" w:w="1900"/>
          </w:tcPr>
          <w:p>
            <w:r>
              <w:rPr>
                <w:b w:val="false"/>
                <w:bCs w:val="false"/>
                <w:sz w:val="20"/>
                <w:szCs w:val="20"/>
              </w:rPr>
              <w:t xml:space="preserve">Pending</w:t>
            </w:r>
          </w:p>
        </w:tc>
      </w:tr>
      <w:tr>
        <w:tc>
          <w:tcPr>
            <w:tcW w:type="dxa" w:w="2200"/>
          </w:tcPr>
          <w:p>
            <w:r>
              <w:rPr>
                <w:b w:val="false"/>
                <w:bCs w:val="false"/>
                <w:sz w:val="20"/>
                <w:szCs w:val="20"/>
              </w:rPr>
              <w:t xml:space="preserve">Report Generator</w:t>
            </w:r>
          </w:p>
        </w:tc>
        <w:tc>
          <w:tcPr>
            <w:tcW w:type="dxa" w:w="5300"/>
          </w:tcPr>
          <w:p>
            <w:r>
              <w:rPr>
                <w:b w:val="false"/>
                <w:bCs w:val="false"/>
                <w:sz w:val="20"/>
                <w:szCs w:val="20"/>
              </w:rPr>
              <w:t xml:space="preserve">Confirm every figure in a generated report links to the correct source page and confidence score.</w:t>
            </w:r>
          </w:p>
        </w:tc>
        <w:tc>
          <w:tcPr>
            <w:tcW w:type="dxa" w:w="1900"/>
          </w:tcPr>
          <w:p>
            <w:r>
              <w:rPr>
                <w:b w:val="false"/>
                <w:bCs w:val="false"/>
                <w:sz w:val="20"/>
                <w:szCs w:val="20"/>
              </w:rPr>
              <w:t xml:space="preserve">Pending</w:t>
            </w:r>
          </w:p>
        </w:tc>
      </w:tr>
      <w:tr>
        <w:tc>
          <w:tcPr>
            <w:tcW w:type="dxa" w:w="2200"/>
          </w:tcPr>
          <w:p>
            <w:r>
              <w:rPr>
                <w:b w:val="false"/>
                <w:bCs w:val="false"/>
                <w:sz w:val="20"/>
                <w:szCs w:val="20"/>
              </w:rPr>
              <w:t xml:space="preserve">Consistency Checker</w:t>
            </w:r>
          </w:p>
        </w:tc>
        <w:tc>
          <w:tcPr>
            <w:tcW w:type="dxa" w:w="5300"/>
          </w:tcPr>
          <w:p>
            <w:r>
              <w:rPr>
                <w:b w:val="false"/>
                <w:bCs w:val="false"/>
                <w:sz w:val="20"/>
                <w:szCs w:val="20"/>
              </w:rPr>
              <w:t xml:space="preserve">Feed intentionally conflicting historical/new records; confirm flags trigger correctly.</w:t>
            </w:r>
          </w:p>
        </w:tc>
        <w:tc>
          <w:tcPr>
            <w:tcW w:type="dxa" w:w="1900"/>
          </w:tcPr>
          <w:p>
            <w:r>
              <w:rPr>
                <w:b w:val="false"/>
                <w:bCs w:val="false"/>
                <w:sz w:val="20"/>
                <w:szCs w:val="20"/>
              </w:rPr>
              <w:t xml:space="preserve">Pending</w:t>
            </w:r>
          </w:p>
        </w:tc>
      </w:tr>
      <w:tr>
        <w:tc>
          <w:tcPr>
            <w:tcW w:type="dxa" w:w="2200"/>
          </w:tcPr>
          <w:p>
            <w:r>
              <w:rPr>
                <w:b w:val="false"/>
                <w:bCs w:val="false"/>
                <w:sz w:val="20"/>
                <w:szCs w:val="20"/>
              </w:rPr>
              <w:t xml:space="preserve">AI Query System</w:t>
            </w:r>
          </w:p>
        </w:tc>
        <w:tc>
          <w:tcPr>
            <w:tcW w:type="dxa" w:w="5300"/>
          </w:tcPr>
          <w:p>
            <w:r>
              <w:rPr>
                <w:b w:val="false"/>
                <w:bCs w:val="false"/>
                <w:sz w:val="20"/>
                <w:szCs w:val="20"/>
              </w:rPr>
              <w:t xml:space="preserve">Test a fixed set of sample parliamentary-style questions; confirm citation accuracy and answer format.</w:t>
            </w:r>
          </w:p>
        </w:tc>
        <w:tc>
          <w:tcPr>
            <w:tcW w:type="dxa" w:w="1900"/>
          </w:tcPr>
          <w:p>
            <w:r>
              <w:rPr>
                <w:b w:val="false"/>
                <w:bCs w:val="false"/>
                <w:sz w:val="20"/>
                <w:szCs w:val="20"/>
              </w:rPr>
              <w:t xml:space="preserve">Pending</w:t>
            </w:r>
          </w:p>
        </w:tc>
      </w:tr>
      <w:tr>
        <w:tc>
          <w:tcPr>
            <w:tcW w:type="dxa" w:w="2200"/>
          </w:tcPr>
          <w:p>
            <w:r>
              <w:rPr>
                <w:b w:val="false"/>
                <w:bCs w:val="false"/>
                <w:sz w:val="20"/>
                <w:szCs w:val="20"/>
              </w:rPr>
              <w:t xml:space="preserve">Hindi Voice Query</w:t>
            </w:r>
          </w:p>
        </w:tc>
        <w:tc>
          <w:tcPr>
            <w:tcW w:type="dxa" w:w="5300"/>
          </w:tcPr>
          <w:p>
            <w:r>
              <w:rPr>
                <w:b w:val="false"/>
                <w:bCs w:val="false"/>
                <w:sz w:val="20"/>
                <w:szCs w:val="20"/>
              </w:rPr>
              <w:t xml:space="preserve">Test voice input across multiple sample questions in Hindi; confirm transcription and routing accuracy.</w:t>
            </w:r>
          </w:p>
        </w:tc>
        <w:tc>
          <w:tcPr>
            <w:tcW w:type="dxa" w:w="1900"/>
          </w:tcPr>
          <w:p>
            <w:r>
              <w:rPr>
                <w:b w:val="false"/>
                <w:bCs w:val="false"/>
                <w:sz w:val="20"/>
                <w:szCs w:val="20"/>
              </w:rPr>
              <w:t xml:space="preserve">Pending</w:t>
            </w:r>
          </w:p>
        </w:tc>
      </w:tr>
    </w:tbl>
    <w:p>
      <w:pPr>
        <w:pStyle w:val="Heading1"/>
        <w:spacing w:after="200" w:before="400"/>
      </w:pPr>
      <w:r>
        <w:t xml:space="preserve">6. Roadmap — Extended Features</w:t>
      </w:r>
    </w:p>
    <w:p>
      <w:pPr>
        <w:spacing w:after="120"/>
      </w:pPr>
      <w:r>
        <w:t xml:space="preserve">The following extend the core five-pillar architecture once the base pipeline is validated.</w:t>
      </w:r>
    </w:p>
    <w:p>
      <w:pPr>
        <w:pStyle w:val="Heading2"/>
        <w:spacing w:after="150" w:before="300"/>
      </w:pPr>
      <w:r>
        <w:t xml:space="preserve">6.1 Role-Based Dashboards</w:t>
      </w:r>
    </w:p>
    <w:p>
      <w:pPr>
        <w:spacing w:after="120"/>
      </w:pPr>
      <w:r>
        <w:t xml:space="preserve">Concept: Separate views for Geologist (raw structured data), Ministry Official (summaries + ready answers), and Auditor (traceability/confidence logs).</w:t>
      </w:r>
    </w:p>
    <w:p>
      <w:pPr>
        <w:spacing w:after="120"/>
      </w:pPr>
      <w:r>
        <w:t xml:space="preserve">Impact: Same underlying data, tailored presentation per user type — improves adoption without added backend complexity.</w:t>
      </w:r>
    </w:p>
    <w:p>
      <w:pPr>
        <w:pStyle w:val="Heading2"/>
        <w:spacing w:after="150" w:before="300"/>
      </w:pPr>
      <w:r>
        <w:t xml:space="preserve">6.2 Human-in-the-Loop Correction Flywheel</w:t>
      </w:r>
    </w:p>
    <w:p>
      <w:pPr>
        <w:spacing w:after="120"/>
      </w:pPr>
      <w:r>
        <w:t xml:space="preserve">Concept: Low-confidence extracted fields are flagged for manual review; corrections are logged and used to improve future extraction accuracy.</w:t>
      </w:r>
    </w:p>
    <w:p>
      <w:pPr>
        <w:spacing w:after="120"/>
      </w:pPr>
      <w:r>
        <w:t xml:space="preserve">Impact: Builds long-term accuracy improvement into the platform rather than treating extraction as a one-shot process.</w:t>
      </w:r>
    </w:p>
    <w:p>
      <w:pPr>
        <w:pStyle w:val="Heading2"/>
        <w:spacing w:after="150" w:before="300"/>
      </w:pPr>
      <w:r>
        <w:t xml:space="preserve">6.3 Digitization Prioritization Engine</w:t>
      </w:r>
    </w:p>
    <w:p>
      <w:pPr>
        <w:spacing w:after="120"/>
      </w:pPr>
      <w:r>
        <w:t xml:space="preserve">Concept: Scores undigitized archive documents by likely future query relevance (based on historical parliamentary question patterns), so high-value documents are digitized first.</w:t>
      </w:r>
    </w:p>
    <w:p>
      <w:pPr>
        <w:spacing w:after="120"/>
      </w:pPr>
      <w:r>
        <w:t xml:space="preserve">Impact: Turns the platform from a reactive tool into a proactive digitization strategy — directly supports the PS's phased, scalable rollout goal.</w:t>
      </w:r>
    </w:p>
    <w:p>
      <w:pPr>
        <w:pStyle w:val="Heading2"/>
        <w:spacing w:after="150" w:before="300"/>
      </w:pPr>
      <w:r>
        <w:t xml:space="preserve">6.4 Offline-Capable Query Mode</w:t>
      </w:r>
    </w:p>
    <w:p>
      <w:pPr>
        <w:spacing w:after="120"/>
      </w:pPr>
      <w:r>
        <w:t xml:space="preserve">Concept: A lightweight local-inference fallback for basic queries when cloud connectivity is unreliable at remote coalfield sites.</w:t>
      </w:r>
    </w:p>
    <w:p>
      <w:pPr>
        <w:spacing w:after="120"/>
      </w:pPr>
      <w:r>
        <w:t xml:space="preserve">Impact: Reflects real deployment conditions across CIL subsidiary locations.</w:t>
      </w:r>
    </w:p>
    <w:p>
      <w:pPr>
        <w:pStyle w:val="Heading1"/>
        <w:spacing w:after="200" w:before="400"/>
      </w:pPr>
      <w:r>
        <w:t xml:space="preserve">7. Technology Stack</w:t>
      </w:r>
    </w:p>
    <w:p>
      <w:pPr>
        <w:pStyle w:val="Heading2"/>
        <w:spacing w:after="150" w:before="300"/>
      </w:pPr>
      <w:r>
        <w:t xml:space="preserve">Frontend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c>
          <w:tcPr>
            <w:tcW w:type="dxa" w:w="3500"/>
            <w:shd w:fill="1E293B" w:val="clear"/>
          </w:tcPr>
          <w:p>
            <w:r>
              <w:rPr>
                <w:b/>
                <w:bCs/>
                <w:color w:val="FFFFFF"/>
                <w:sz w:val="20"/>
                <w:szCs w:val="20"/>
              </w:rPr>
              <w:t xml:space="preserve">Layer</w:t>
            </w:r>
          </w:p>
        </w:tc>
        <w:tc>
          <w:tcPr>
            <w:tcW w:type="dxa" w:w="5900"/>
            <w:shd w:fill="1E293B" w:val="clear"/>
          </w:tcPr>
          <w:p>
            <w:r>
              <w:rPr>
                <w:b/>
                <w:bCs/>
                <w:color w:val="FFFFFF"/>
                <w:sz w:val="20"/>
                <w:szCs w:val="20"/>
              </w:rPr>
              <w:t xml:space="preserve">Technology</w:t>
            </w:r>
          </w:p>
        </w:tc>
      </w:tr>
      <w:tr>
        <w:tc>
          <w:tcPr>
            <w:tcW w:type="dxa" w:w="3500"/>
          </w:tcPr>
          <w:p>
            <w:r>
              <w:rPr>
                <w:b w:val="false"/>
                <w:bCs w:val="false"/>
                <w:sz w:val="20"/>
                <w:szCs w:val="20"/>
              </w:rPr>
              <w:t xml:space="preserve">Framework</w:t>
            </w:r>
          </w:p>
        </w:tc>
        <w:tc>
          <w:tcPr>
            <w:tcW w:type="dxa" w:w="5900"/>
          </w:tcPr>
          <w:p>
            <w:r>
              <w:rPr>
                <w:b w:val="false"/>
                <w:bCs w:val="false"/>
                <w:sz w:val="20"/>
                <w:szCs w:val="20"/>
              </w:rPr>
              <w:t xml:space="preserve">React + TypeScript, Tailwind CSS</w:t>
            </w:r>
          </w:p>
        </w:tc>
      </w:tr>
      <w:tr>
        <w:tc>
          <w:tcPr>
            <w:tcW w:type="dxa" w:w="3500"/>
          </w:tcPr>
          <w:p>
            <w:r>
              <w:rPr>
                <w:b w:val="false"/>
                <w:bCs w:val="false"/>
                <w:sz w:val="20"/>
                <w:szCs w:val="20"/>
              </w:rPr>
              <w:t xml:space="preserve">Charts</w:t>
            </w:r>
          </w:p>
        </w:tc>
        <w:tc>
          <w:tcPr>
            <w:tcW w:type="dxa" w:w="5900"/>
          </w:tcPr>
          <w:p>
            <w:r>
              <w:rPr>
                <w:b w:val="false"/>
                <w:bCs w:val="false"/>
                <w:sz w:val="20"/>
                <w:szCs w:val="20"/>
              </w:rPr>
              <w:t xml:space="preserve">Recharts</w:t>
            </w:r>
          </w:p>
        </w:tc>
      </w:tr>
      <w:tr>
        <w:tc>
          <w:tcPr>
            <w:tcW w:type="dxa" w:w="3500"/>
          </w:tcPr>
          <w:p>
            <w:r>
              <w:rPr>
                <w:b w:val="false"/>
                <w:bCs w:val="false"/>
                <w:sz w:val="20"/>
                <w:szCs w:val="20"/>
              </w:rPr>
              <w:t xml:space="preserve">UI Components</w:t>
            </w:r>
          </w:p>
        </w:tc>
        <w:tc>
          <w:tcPr>
            <w:tcW w:type="dxa" w:w="5900"/>
          </w:tcPr>
          <w:p>
            <w:r>
              <w:rPr>
                <w:b w:val="false"/>
                <w:bCs w:val="false"/>
                <w:sz w:val="20"/>
                <w:szCs w:val="20"/>
              </w:rPr>
              <w:t xml:space="preserve">shadcn/ui (restyled)</w:t>
            </w:r>
          </w:p>
        </w:tc>
      </w:tr>
    </w:tbl>
    <w:p>
      <w:pPr>
        <w:spacing w:after="150"/>
      </w:pPr>
    </w:p>
    <w:p>
      <w:pPr>
        <w:pStyle w:val="Heading2"/>
        <w:spacing w:after="150" w:before="300"/>
      </w:pPr>
      <w:r>
        <w:t xml:space="preserve">Backend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c>
          <w:tcPr>
            <w:tcW w:type="dxa" w:w="3500"/>
            <w:shd w:fill="1E293B" w:val="clear"/>
          </w:tcPr>
          <w:p>
            <w:r>
              <w:rPr>
                <w:b/>
                <w:bCs/>
                <w:color w:val="FFFFFF"/>
                <w:sz w:val="20"/>
                <w:szCs w:val="20"/>
              </w:rPr>
              <w:t xml:space="preserve">Layer</w:t>
            </w:r>
          </w:p>
        </w:tc>
        <w:tc>
          <w:tcPr>
            <w:tcW w:type="dxa" w:w="5900"/>
            <w:shd w:fill="1E293B" w:val="clear"/>
          </w:tcPr>
          <w:p>
            <w:r>
              <w:rPr>
                <w:b/>
                <w:bCs/>
                <w:color w:val="FFFFFF"/>
                <w:sz w:val="20"/>
                <w:szCs w:val="20"/>
              </w:rPr>
              <w:t xml:space="preserve">Technology</w:t>
            </w:r>
          </w:p>
        </w:tc>
      </w:tr>
      <w:tr>
        <w:tc>
          <w:tcPr>
            <w:tcW w:type="dxa" w:w="3500"/>
          </w:tcPr>
          <w:p>
            <w:r>
              <w:rPr>
                <w:b w:val="false"/>
                <w:bCs w:val="false"/>
                <w:sz w:val="20"/>
                <w:szCs w:val="20"/>
              </w:rPr>
              <w:t xml:space="preserve">Runtime / Framework</w:t>
            </w:r>
          </w:p>
        </w:tc>
        <w:tc>
          <w:tcPr>
            <w:tcW w:type="dxa" w:w="5900"/>
          </w:tcPr>
          <w:p>
            <w:r>
              <w:rPr>
                <w:b w:val="false"/>
                <w:bCs w:val="false"/>
                <w:sz w:val="20"/>
                <w:szCs w:val="20"/>
              </w:rPr>
              <w:t xml:space="preserve">FastAPI (Python)</w:t>
            </w:r>
          </w:p>
        </w:tc>
      </w:tr>
      <w:tr>
        <w:tc>
          <w:tcPr>
            <w:tcW w:type="dxa" w:w="3500"/>
          </w:tcPr>
          <w:p>
            <w:r>
              <w:rPr>
                <w:b w:val="false"/>
                <w:bCs w:val="false"/>
                <w:sz w:val="20"/>
                <w:szCs w:val="20"/>
              </w:rPr>
              <w:t xml:space="preserve">Database</w:t>
            </w:r>
          </w:p>
        </w:tc>
        <w:tc>
          <w:tcPr>
            <w:tcW w:type="dxa" w:w="5900"/>
          </w:tcPr>
          <w:p>
            <w:r>
              <w:rPr>
                <w:b w:val="false"/>
                <w:bCs w:val="false"/>
                <w:sz w:val="20"/>
                <w:szCs w:val="20"/>
              </w:rPr>
              <w:t xml:space="preserve">PostgreSQL — structured data</w:t>
            </w:r>
          </w:p>
        </w:tc>
      </w:tr>
      <w:tr>
        <w:tc>
          <w:tcPr>
            <w:tcW w:type="dxa" w:w="3500"/>
          </w:tcPr>
          <w:p>
            <w:r>
              <w:rPr>
                <w:b w:val="false"/>
                <w:bCs w:val="false"/>
                <w:sz w:val="20"/>
                <w:szCs w:val="20"/>
              </w:rPr>
              <w:t xml:space="preserve">File Storage</w:t>
            </w:r>
          </w:p>
        </w:tc>
        <w:tc>
          <w:tcPr>
            <w:tcW w:type="dxa" w:w="5900"/>
          </w:tcPr>
          <w:p>
            <w:r>
              <w:rPr>
                <w:b w:val="false"/>
                <w:bCs w:val="false"/>
                <w:sz w:val="20"/>
                <w:szCs w:val="20"/>
              </w:rPr>
              <w:t xml:space="preserve">Local / object storage for raw documents</w:t>
            </w:r>
          </w:p>
        </w:tc>
      </w:tr>
    </w:tbl>
    <w:p>
      <w:pPr>
        <w:spacing w:after="150"/>
      </w:pPr>
    </w:p>
    <w:p>
      <w:pPr>
        <w:pStyle w:val="Heading2"/>
        <w:spacing w:after="150" w:before="300"/>
      </w:pPr>
      <w:r>
        <w:t xml:space="preserve">AI / ML Services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c>
          <w:tcPr>
            <w:tcW w:type="dxa" w:w="3500"/>
            <w:shd w:fill="1E293B" w:val="clear"/>
          </w:tcPr>
          <w:p>
            <w:r>
              <w:rPr>
                <w:b/>
                <w:bCs/>
                <w:color w:val="FFFFFF"/>
                <w:sz w:val="20"/>
                <w:szCs w:val="20"/>
              </w:rPr>
              <w:t xml:space="preserve">Purpose</w:t>
            </w:r>
          </w:p>
        </w:tc>
        <w:tc>
          <w:tcPr>
            <w:tcW w:type="dxa" w:w="5900"/>
            <w:shd w:fill="1E293B" w:val="clear"/>
          </w:tcPr>
          <w:p>
            <w:r>
              <w:rPr>
                <w:b/>
                <w:bCs/>
                <w:color w:val="FFFFFF"/>
                <w:sz w:val="20"/>
                <w:szCs w:val="20"/>
              </w:rPr>
              <w:t xml:space="preserve">Technology</w:t>
            </w:r>
          </w:p>
        </w:tc>
      </w:tr>
      <w:tr>
        <w:tc>
          <w:tcPr>
            <w:tcW w:type="dxa" w:w="3500"/>
          </w:tcPr>
          <w:p>
            <w:r>
              <w:rPr>
                <w:b w:val="false"/>
                <w:bCs w:val="false"/>
                <w:sz w:val="20"/>
                <w:szCs w:val="20"/>
              </w:rPr>
              <w:t xml:space="preserve">OCR / Layout Extraction</w:t>
            </w:r>
          </w:p>
        </w:tc>
        <w:tc>
          <w:tcPr>
            <w:tcW w:type="dxa" w:w="5900"/>
          </w:tcPr>
          <w:p>
            <w:r>
              <w:rPr>
                <w:b w:val="false"/>
                <w:bCs w:val="false"/>
                <w:sz w:val="20"/>
                <w:szCs w:val="20"/>
              </w:rPr>
              <w:t xml:space="preserve">Tesseract (MVP) → Donut / LayoutLMv3 (upgrade path)</w:t>
            </w:r>
          </w:p>
        </w:tc>
      </w:tr>
      <w:tr>
        <w:tc>
          <w:tcPr>
            <w:tcW w:type="dxa" w:w="3500"/>
          </w:tcPr>
          <w:p>
            <w:r>
              <w:rPr>
                <w:b w:val="false"/>
                <w:bCs w:val="false"/>
                <w:sz w:val="20"/>
                <w:szCs w:val="20"/>
              </w:rPr>
              <w:t xml:space="preserve">Structured Extraction</w:t>
            </w:r>
          </w:p>
        </w:tc>
        <w:tc>
          <w:tcPr>
            <w:tcW w:type="dxa" w:w="5900"/>
          </w:tcPr>
          <w:p>
            <w:r>
              <w:rPr>
                <w:b w:val="false"/>
                <w:bCs w:val="false"/>
                <w:sz w:val="20"/>
                <w:szCs w:val="20"/>
              </w:rPr>
              <w:t xml:space="preserve">LLM with schema-constrained prompting</w:t>
            </w:r>
          </w:p>
        </w:tc>
      </w:tr>
      <w:tr>
        <w:tc>
          <w:tcPr>
            <w:tcW w:type="dxa" w:w="3500"/>
          </w:tcPr>
          <w:p>
            <w:r>
              <w:rPr>
                <w:b w:val="false"/>
                <w:bCs w:val="false"/>
                <w:sz w:val="20"/>
                <w:szCs w:val="20"/>
              </w:rPr>
              <w:t xml:space="preserve">Retrieval (RAG)</w:t>
            </w:r>
          </w:p>
        </w:tc>
        <w:tc>
          <w:tcPr>
            <w:tcW w:type="dxa" w:w="5900"/>
          </w:tcPr>
          <w:p>
            <w:r>
              <w:rPr>
                <w:b w:val="false"/>
                <w:bCs w:val="false"/>
                <w:sz w:val="20"/>
                <w:szCs w:val="20"/>
              </w:rPr>
              <w:t xml:space="preserve">LangChain / LlamaIndex + ChromaDB or FAISS</w:t>
            </w:r>
          </w:p>
        </w:tc>
      </w:tr>
      <w:tr>
        <w:tc>
          <w:tcPr>
            <w:tcW w:type="dxa" w:w="3500"/>
          </w:tcPr>
          <w:p>
            <w:r>
              <w:rPr>
                <w:b w:val="false"/>
                <w:bCs w:val="false"/>
                <w:sz w:val="20"/>
                <w:szCs w:val="20"/>
              </w:rPr>
              <w:t xml:space="preserve">Topic Modeling</w:t>
            </w:r>
          </w:p>
        </w:tc>
        <w:tc>
          <w:tcPr>
            <w:tcW w:type="dxa" w:w="5900"/>
          </w:tcPr>
          <w:p>
            <w:r>
              <w:rPr>
                <w:b w:val="false"/>
                <w:bCs w:val="false"/>
                <w:sz w:val="20"/>
                <w:szCs w:val="20"/>
              </w:rPr>
              <w:t xml:space="preserve">BERTopic</w:t>
            </w:r>
          </w:p>
        </w:tc>
      </w:tr>
      <w:tr>
        <w:tc>
          <w:tcPr>
            <w:tcW w:type="dxa" w:w="3500"/>
          </w:tcPr>
          <w:p>
            <w:r>
              <w:rPr>
                <w:b w:val="false"/>
                <w:bCs w:val="false"/>
                <w:sz w:val="20"/>
                <w:szCs w:val="20"/>
              </w:rPr>
              <w:t xml:space="preserve">Voice (Hindi/English)</w:t>
            </w:r>
          </w:p>
        </w:tc>
        <w:tc>
          <w:tcPr>
            <w:tcW w:type="dxa" w:w="5900"/>
          </w:tcPr>
          <w:p>
            <w:r>
              <w:rPr>
                <w:b w:val="false"/>
                <w:bCs w:val="false"/>
                <w:sz w:val="20"/>
                <w:szCs w:val="20"/>
              </w:rPr>
              <w:t xml:space="preserve">Whisper (ASR) + translation layer</w:t>
            </w:r>
          </w:p>
        </w:tc>
      </w:tr>
    </w:tbl>
    <w:p>
      <w:pPr>
        <w:pStyle w:val="Heading1"/>
        <w:spacing w:after="200" w:before="400"/>
      </w:pPr>
      <w:r>
        <w:t xml:space="preserve">8. Key Differentiators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1E293B" w:val="clear"/>
          </w:tcPr>
          <w:p>
            <w:r>
              <w:rPr>
                <w:b/>
                <w:bCs/>
                <w:color w:val="FFFFFF"/>
                <w:sz w:val="20"/>
                <w:szCs w:val="20"/>
              </w:rPr>
              <w:t xml:space="preserve">Principle</w:t>
            </w:r>
          </w:p>
        </w:tc>
        <w:tc>
          <w:tcPr>
            <w:tcW w:type="dxa" w:w="6200"/>
            <w:shd w:fill="1E293B" w:val="clear"/>
          </w:tcPr>
          <w:p>
            <w:r>
              <w:rPr>
                <w:b/>
                <w:bCs/>
                <w:color w:val="FFFFFF"/>
                <w:sz w:val="20"/>
                <w:szCs w:val="20"/>
              </w:rPr>
              <w:t xml:space="preserve">What It Means</w:t>
            </w:r>
          </w:p>
        </w:tc>
      </w:tr>
      <w:tr>
        <w:tc>
          <w:tcPr>
            <w:tcW w:type="dxa" w:w="3200"/>
          </w:tcPr>
          <w:p>
            <w:r>
              <w:rPr>
                <w:b w:val="false"/>
                <w:bCs w:val="false"/>
                <w:sz w:val="20"/>
                <w:szCs w:val="20"/>
              </w:rPr>
              <w:t xml:space="preserve">Traceability-first, not an afterthought</w:t>
            </w:r>
          </w:p>
        </w:tc>
        <w:tc>
          <w:tcPr>
            <w:tcW w:type="dxa" w:w="6200"/>
          </w:tcPr>
          <w:p>
            <w:r>
              <w:rPr>
                <w:b w:val="false"/>
                <w:bCs w:val="false"/>
                <w:sz w:val="20"/>
                <w:szCs w:val="20"/>
              </w:rPr>
              <w:t xml:space="preserve">Every generated number links to its exact source page — trust is built into the core architecture, not bolted on.</w:t>
            </w:r>
          </w:p>
        </w:tc>
      </w:tr>
      <w:tr>
        <w:tc>
          <w:tcPr>
            <w:tcW w:type="dxa" w:w="3200"/>
          </w:tcPr>
          <w:p>
            <w:r>
              <w:rPr>
                <w:b w:val="false"/>
                <w:bCs w:val="false"/>
                <w:sz w:val="20"/>
                <w:szCs w:val="20"/>
              </w:rPr>
              <w:t xml:space="preserve">Official-format answers, not raw chat</w:t>
            </w:r>
          </w:p>
        </w:tc>
        <w:tc>
          <w:tcPr>
            <w:tcW w:type="dxa" w:w="6200"/>
          </w:tcPr>
          <w:p>
            <w:r>
              <w:rPr>
                <w:b w:val="false"/>
                <w:bCs w:val="false"/>
                <w:sz w:val="20"/>
                <w:szCs w:val="20"/>
              </w:rPr>
              <w:t xml:space="preserve">The query system outputs answers matching the actual parliamentary response style, ready for review and sending.</w:t>
            </w:r>
          </w:p>
        </w:tc>
      </w:tr>
      <w:tr>
        <w:tc>
          <w:tcPr>
            <w:tcW w:type="dxa" w:w="3200"/>
          </w:tcPr>
          <w:p>
            <w:r>
              <w:rPr>
                <w:b w:val="false"/>
                <w:bCs w:val="false"/>
                <w:sz w:val="20"/>
                <w:szCs w:val="20"/>
              </w:rPr>
              <w:t xml:space="preserve">Active consistency checking</w:t>
            </w:r>
          </w:p>
        </w:tc>
        <w:tc>
          <w:tcPr>
            <w:tcW w:type="dxa" w:w="6200"/>
          </w:tcPr>
          <w:p>
            <w:r>
              <w:rPr>
                <w:b w:val="false"/>
                <w:bCs w:val="false"/>
                <w:sz w:val="20"/>
                <w:szCs w:val="20"/>
              </w:rPr>
              <w:t xml:space="preserve">The platform doesn't just store historical data — it actively cross-checks new figures against it and flags conflicts.</w:t>
            </w:r>
          </w:p>
        </w:tc>
      </w:tr>
    </w:tbl>
    <w:p>
      <w:pPr>
        <w:spacing w:after="200"/>
      </w:pPr>
    </w:p>
    <w:p>
      <w:r>
        <w:rPr>
          <w:i/>
          <w:iCs/>
          <w:sz w:val="18"/>
          <w:szCs w:val="18"/>
        </w:rPr>
        <w:t xml:space="preserve">ShilpSetu-style plan adapted for CMPDI/CIL — Smart India Hackathon, Problem Statement 26023</w:t>
      </w:r>
    </w:p>
    <w:p>
      <w:r>
        <w:rPr>
          <w:i/>
          <w:iCs/>
          <w:sz w:val="18"/>
          <w:szCs w:val="18"/>
        </w:rPr>
        <w:t xml:space="preserve">Ministry of Coal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2026-09-11T07:53:27.104Z</dcterms:created>
  <dcterms:modified xsi:type="dcterms:W3CDTF">2026-09-11T07:53:27.113Z</dcterms:modified>
</cp:coreProperties>
</file>

<file path=docProps/custom.xml><?xml version="1.0" encoding="utf-8"?>
<Properties xmlns="http://schemas.openxmlformats.org/officeDocument/2006/custom-properties" xmlns:vt="http://schemas.openxmlformats.org/officeDocument/2006/docPropsVTypes"/>
</file>