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6302C"/>
          <w:sz w:val="40"/>
          <w:szCs w:val="40"/>
        </w:rPr>
        <w:t>IFC PS Screening Rule Set, version 1.2.0</w:t>
      </w:r>
    </w:p>
    <w:p>
      <w:pPr>
        <w:pBdr>
          <w:bottom w:val="single" w:color="0D6A60" w:sz="8" w:space="6"/>
        </w:pBdr>
        <w:spacing w:after="240"/>
      </w:pPr>
      <w:r>
        <w:rPr>
          <w:rFonts w:ascii="Calibri" w:cs="Calibri" w:eastAsia="Calibri" w:hAnsi="Calibri"/>
          <w:color w:val="566B66"/>
          <w:sz w:val="20"/>
          <w:szCs w:val="20"/>
        </w:rPr>
        <w:t>Phase 0 deliverable for the IFC PS Screening Connector. Environmental Management Centre (EMC), 29 October 2026. Internal. Replaces versions 1.0.0 and 1.1.0 (1.1.0 was issued earlier on 29 October 2026).</w:t>
      </w:r>
    </w:p>
    <w:p>
      <w:pPr>
        <w:pStyle w:val="Heading1"/>
      </w:pPr>
      <w:r>
        <w:rPr>
          <w:rFonts w:ascii="Calibri" w:cs="Calibri" w:eastAsia="Calibri" w:hAnsi="Calibri"/>
        </w:rPr>
        <w:t xml:space="preserve">1. What this is</w:t>
      </w:r>
    </w:p>
    <w:p>
      <w:pPr>
        <w:spacing w:after="120" w:line="276"/>
      </w:pPr>
      <w:r>
        <w:rPr>
          <w:rFonts w:ascii="Calibri" w:cs="Calibri" w:eastAsia="Calibri" w:hAnsi="Calibri"/>
          <w:sz w:val="22"/>
          <w:szCs w:val="22"/>
        </w:rPr>
        <w:t>The screening logic of the HTML checklist and the Skill, in one machine-readable rule set. This file is the single source of truth: the HTML checklist is now built from it (build_html.py), the Skill carries a copy and runs the same engine, and the connector’s screen_project tool should be generated from it, so the three layers always give the same answer.</w:t>
      </w:r>
    </w:p>
    <w:p>
      <w:pPr>
        <w:spacing w:after="120" w:line="276"/>
      </w:pPr>
      <w:r>
        <w:rPr>
          <w:rFonts w:ascii="Calibri" w:cs="Calibri" w:eastAsia="Calibri" w:hAnsi="Calibri"/>
          <w:sz w:val="22"/>
          <w:szCs w:val="22"/>
        </w:rPr>
        <w:t>Version 1.2.0 checks the category and FI rules against the IFC Sustainability Policy (1 January 2012) and the IFC Guidance Note on Financial Intermediaries (29 September 2023), and adds the IFC Exclusion List (amended 8 December 2025) and sector notes from the Policy as data. It builds on version 1.1.0, issued earlier today, which corrected wording against the 2012 Performance Standards text, adds three questions (dams, tailings and ash ponds; critical cultural heritage; scale of land loss), splits solar from wind, makes the Category C rule data-driven, adds a minimum-answers rule and sector sanity checks, and puts a paragraph citation on every action. The parity test now compares the complete output of the HTML tool and the engine (statuses, category, signals, watch items, actions, citations, warnings and error messages) on the reference cases, a set of invalid inputs and several thousand generated cases, and exits with an error if anything differs.</w:t>
      </w:r>
    </w:p>
    <w:p>
      <w:pPr>
        <w:pStyle w:val="Heading1"/>
      </w:pPr>
      <w:r>
        <w:rPr>
          <w:rFonts w:ascii="Calibri" w:cs="Calibri" w:eastAsia="Calibri" w:hAnsi="Calibri"/>
        </w:rPr>
        <w:t xml:space="preserve">2. Files in the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r>
              <w:rPr>
                <w:rFonts w:ascii="Calibri" w:cs="Calibri" w:eastAsia="Calibri" w:hAnsi="Calibri"/>
                <w:b/>
                <w:bCs/>
                <w:color w:val="FFFFFF"/>
                <w:sz w:val="19"/>
                <w:szCs w:val="19"/>
              </w:rPr>
              <w:t xml:space="preserve">File</w:t>
            </w:r>
          </w:p>
        </w:tc>
        <w:tc>
          <w:tcPr>
            <w:tcW w:type="dxa" w:w="6126"/>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r>
              <w:rPr>
                <w:rFonts w:ascii="Calibri" w:cs="Calibri" w:eastAsia="Calibri" w:hAnsi="Calibri"/>
                <w:b/>
                <w:bCs/>
                <w:color w:val="FFFFFF"/>
                <w:sz w:val="19"/>
                <w:szCs w:val="19"/>
              </w:rPr>
              <w:t xml:space="preserve">Purpose</w:t>
            </w:r>
          </w:p>
        </w:tc>
      </w:tr>
      <w:tr>
        <w:trPr>
          <w:tblHeader w:val="false"/>
        </w:trPr>
        <w:tc>
          <w:tcPr>
            <w:tcW w:type="dxa" w:w="29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ifc_ps_rules_v1.2.0.json</w:t>
            </w:r>
          </w:p>
        </w:tc>
        <w:tc>
          <w:tcPr>
            <w:tcW w:type="dxa" w:w="61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The rule set</w:t>
            </w:r>
          </w:p>
        </w:tc>
      </w:tr>
      <w:tr>
        <w:trPr>
          <w:tblHeader w:val="false"/>
        </w:trPr>
        <w:tc>
          <w:tcPr>
            <w:tcW w:type="dxa" w:w="29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screen.py</w:t>
            </w:r>
          </w:p>
        </w:tc>
        <w:tc>
          <w:tcPr>
            <w:tcW w:type="dxa" w:w="61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Reference engine in Python: reads the rule set, checks the input, and screens a case. Rejects unknown values instead of misreading them. --check lints a rule set</w:t>
            </w:r>
          </w:p>
        </w:tc>
      </w:tr>
      <w:tr>
        <w:trPr>
          <w:tblHeader w:val="false"/>
        </w:trPr>
        <w:tc>
          <w:tcPr>
            <w:tcW w:type="dxa" w:w="29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build_html.py and template.html</w:t>
            </w:r>
          </w:p>
        </w:tc>
        <w:tc>
          <w:tcPr>
            <w:tcW w:type="dxa" w:w="61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Build the HTML checklist from the rule set. The page embeds the rule set and carries no external fonts or network calls</w:t>
            </w:r>
          </w:p>
        </w:tc>
      </w:tr>
      <w:tr>
        <w:trPr>
          <w:tblHeader w:val="false"/>
        </w:trPr>
        <w:tc>
          <w:tcPr>
            <w:tcW w:type="dxa" w:w="29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ifc-ps-screening-tool.html</w:t>
            </w:r>
          </w:p>
        </w:tc>
        <w:tc>
          <w:tcPr>
            <w:tcW w:type="dxa" w:w="61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The built HTML checklist (regenerate it after every rule-set change)</w:t>
            </w:r>
          </w:p>
        </w:tc>
      </w:tr>
      <w:tr>
        <w:trPr>
          <w:tblHeader w:val="false"/>
        </w:trPr>
        <w:tc>
          <w:tcPr>
            <w:tcW w:type="dxa" w:w="29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test_cases.json</w:t>
            </w:r>
          </w:p>
        </w:tc>
        <w:tc>
          <w:tcPr>
            <w:tcW w:type="dxa" w:w="61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Reference cases with exact expected results (PS1 to PS8 statuses, category, signals, watch items, warnings)</w:t>
            </w:r>
          </w:p>
        </w:tc>
      </w:tr>
      <w:tr>
        <w:trPr>
          <w:tblHeader w:val="false"/>
        </w:trPr>
        <w:tc>
          <w:tcPr>
            <w:tcW w:type="dxa" w:w="29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run_tests.py</w:t>
            </w:r>
          </w:p>
        </w:tc>
        <w:tc>
          <w:tcPr>
            <w:tcW w:type="dxa" w:w="61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Lints the rule set, runs the reference cases for exact match, and tests input handling. Works from any folder; exits 1 on any failure. Run before every release</w:t>
            </w:r>
          </w:p>
        </w:tc>
      </w:tr>
      <w:tr>
        <w:trPr>
          <w:tblHeader w:val="false"/>
        </w:trPr>
        <w:tc>
          <w:tcPr>
            <w:tcW w:type="dxa" w:w="29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parity.js</w:t>
            </w:r>
          </w:p>
        </w:tc>
        <w:tc>
          <w:tcPr>
            <w:tcW w:type="dxa" w:w="61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Checks the built HTML against the engine on the full output (needs Node.js, Python 3 and the HTML file). Exits 1 on any difference</w:t>
            </w:r>
          </w:p>
        </w:tc>
      </w:tr>
    </w:tbl>
    <w:p>
      <w:pPr>
        <w:pStyle w:val="Heading1"/>
      </w:pPr>
      <w:r>
        <w:rPr>
          <w:rFonts w:ascii="Calibri" w:cs="Calibri" w:eastAsia="Calibri" w:hAnsi="Calibri"/>
        </w:rPr>
        <w:t xml:space="preserve">3. Structure of the rule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r>
              <w:rPr>
                <w:rFonts w:ascii="Calibri" w:cs="Calibri" w:eastAsia="Calibri" w:hAnsi="Calibri"/>
                <w:b/>
                <w:bCs/>
                <w:color w:val="FFFFFF"/>
                <w:sz w:val="19"/>
                <w:szCs w:val="19"/>
              </w:rPr>
              <w:t xml:space="preserve">Section</w:t>
            </w:r>
          </w:p>
        </w:tc>
        <w:tc>
          <w:tcPr>
            <w:tcW w:type="dxa" w:w="6726"/>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r>
              <w:rPr>
                <w:rFonts w:ascii="Calibri" w:cs="Calibri" w:eastAsia="Calibri" w:hAnsi="Calibri"/>
                <w:b/>
                <w:bCs/>
                <w:color w:val="FFFFFF"/>
                <w:sz w:val="19"/>
                <w:szCs w:val="19"/>
              </w:rPr>
              <w:t xml:space="preserve">Contents</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standard_basis</w:t>
            </w:r>
          </w:p>
        </w:tc>
        <w:tc>
          <w:tcPr>
            <w:tcW w:type="dxa" w:w="67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PS 2012 in force; Guidance Notes 2012 updated June 2021; the Sustainability Policy (2012) and the FI Guidance Note (2023); revision note; basis of the category rules; citation format</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status_rule</w:t>
            </w:r>
          </w:p>
        </w:tc>
        <w:tc>
          <w:tcPr>
            <w:tcW w:type="dxa" w:w="67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How a verdict is reached per standard: any yes gives Triggered; all no gives Not triggered; none answered gives Not screened; otherwise Needs review. PS1 always Triggered</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standards</w:t>
            </w:r>
          </w:p>
        </w:tc>
        <w:tc>
          <w:tcPr>
            <w:tcW w:type="dxa" w:w="67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For PS1 to PS8: name, the section headings to cite, base actions (each with a paragraph citation), documents normally expected, a note shown when PS8 is clear; for PS1, extra actions by category</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sectors and stages</w:t>
            </w:r>
          </w:p>
        </w:tc>
        <w:tc>
          <w:tcPr>
            <w:tcW w:type="dxa" w:w="67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18 sectors with risk class (high, medium, low, FI), India Environmental Clearance exemption flag, typical exposure note, any extra questions that block Category C, and for oil and gas, mining, power distribution and water a sector note from the Sustainability Policy; four project stages</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questions</w:t>
            </w:r>
          </w:p>
        </w:tc>
        <w:tc>
          <w:tcPr>
            <w:tcW w:type="dxa" w:w="67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33 questions, each with standard, section to cite, paragraph citations, basis (PS text or EMC judgement), A-signal flag, blocks-C flag, reason if yes, fact to confirm if open, who normally confirms it, and actions if yes</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category_rules</w:t>
            </w:r>
          </w:p>
        </w:tc>
        <w:tc>
          <w:tcPr>
            <w:tcW w:type="dxa" w:w="67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Ordered rules (FI, A, not categorised, C, B default), the minimum number of Yes or No answers for a category, the kinds of A-signal (question flags, sector and stage, answer combinations), and the watch list that shows when B or C could move to A</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exclusion_list</w:t>
            </w:r>
          </w:p>
        </w:tc>
        <w:tc>
          <w:tcPr>
            <w:tcW w:type="dxa" w:w="67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The IFC Exclusion List (amended 8 December 2025): the items and notes, the extra exclusions for FIs, the “substantially involved” test for FIs, and other restrictions. A reminder to check it is shown on every result</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sanity_checks</w:t>
            </w:r>
          </w:p>
        </w:tc>
        <w:tc>
          <w:tcPr>
            <w:tcW w:type="dxa" w:w="67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Sector-specific warnings for implausible answers, for example No to land on a solar park, or No to an ash pond on a coal plant</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national_law</w:t>
            </w:r>
          </w:p>
        </w:tc>
        <w:tc>
          <w:tcPr>
            <w:tcW w:type="dxa" w:w="67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India: one comparison line per standard, last-reviewed date, and the Environmental Clearance gate note</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disclaimer</w:t>
            </w:r>
          </w:p>
        </w:tc>
        <w:tc>
          <w:tcPr>
            <w:tcW w:type="dxa" w:w="67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The standard closing line for every output</w:t>
            </w:r>
          </w:p>
        </w:tc>
      </w:tr>
    </w:tbl>
    <w:p>
      <w:pPr>
        <w:pStyle w:val="Heading1"/>
      </w:pPr>
      <w:r>
        <w:rPr>
          <w:rFonts w:ascii="Calibri" w:cs="Calibri" w:eastAsia="Calibri" w:hAnsi="Calibri"/>
        </w:rPr>
        <w:t xml:space="preserve">4.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226"/>
      </w:tblGrid>
      <w:tr>
        <w:trPr>
          <w:tblHeader/>
        </w:trPr>
        <w:tc>
          <w:tcPr>
            <w:tcW w:type="dxa" w:w="4200"/>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r>
              <w:rPr>
                <w:rFonts w:ascii="Calibri" w:cs="Calibri" w:eastAsia="Calibri" w:hAnsi="Calibri"/>
                <w:b/>
                <w:bCs/>
                <w:color w:val="FFFFFF"/>
                <w:sz w:val="19"/>
                <w:szCs w:val="19"/>
              </w:rPr>
              <w:t xml:space="preserve">Reference case</w:t>
            </w:r>
          </w:p>
        </w:tc>
        <w:tc>
          <w:tcPr>
            <w:tcW w:type="dxa" w:w="1600"/>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r>
              <w:rPr>
                <w:rFonts w:ascii="Calibri" w:cs="Calibri" w:eastAsia="Calibri" w:hAnsi="Calibri"/>
                <w:b/>
                <w:bCs/>
                <w:color w:val="FFFFFF"/>
                <w:sz w:val="19"/>
                <w:szCs w:val="19"/>
              </w:rPr>
              <w:t xml:space="preserve">Result</w:t>
            </w:r>
          </w:p>
        </w:tc>
        <w:tc>
          <w:tcPr>
            <w:tcW w:type="dxa" w:w="3226"/>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r>
              <w:rPr>
                <w:rFonts w:ascii="Calibri" w:cs="Calibri" w:eastAsia="Calibri" w:hAnsi="Calibri"/>
                <w:b/>
                <w:bCs/>
                <w:color w:val="FFFFFF"/>
                <w:sz w:val="19"/>
                <w:szCs w:val="19"/>
              </w:rPr>
              <w:t xml:space="preserve">Category</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150 MW solar park, Jaisalmer</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B, with A watch items (scale of land loss, species, FPIC)</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IT services office, Pune: e-waste and guards</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C (PS3 and PS4 triggered at low intensity)</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IT services office, Pune: no pollution, no guards</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C (PS3 and PS4 not triggered)</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120 MW run-of-river hydro, Kinnaur</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A (dam, FPIC and high-risk greenfield signals)</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Fund (financial intermediary)</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FI (FI actions under PS1; FI wording of the Exclusion List check)</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Blank form</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Not categorised</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Cement expansion with household relocation</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A</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Sector chosen, nothing answered</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Not categorised</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Solar park, every answer No</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B, with sanity warnings (land, workforce)</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Thermal power, greenfield, every answer No</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A (high-risk greenfield signal), with four sanity warnings</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Natural habitat altered near a protected area</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A (combination signal)</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Commercial use of Indigenous Peoples’ heritage</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A (combination signal)</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Healthcare with medical waste</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B (pollution blocks C for healthcare)</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Services, ten Yes or No answers</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C, with open-question note</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Services, nine Yes or No answers</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Not categorised (below the minimum)</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Services, new land required</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B (land blocks C)</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Services, two Not sure answers among ten</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Not categorised (Not sure does not count)</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Solar park in another country</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B; no national-law lines, no EC gate note</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Gold mine, greenfield, tailings dam</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A (dam and high-risk greenfield signals); extractive-industry note</w:t>
            </w:r>
          </w:p>
        </w:tc>
      </w:tr>
      <w:tr>
        <w:trPr>
          <w:tblHeader w:val="false"/>
        </w:trPr>
        <w:tc>
          <w:tcPr>
            <w:tcW w:type="dxa" w:w="42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Water utility, expansion</w:t>
            </w:r>
          </w:p>
        </w:tc>
        <w:tc>
          <w:tcPr>
            <w:tcW w:type="dxa" w:w="1600"/>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Pass</w:t>
            </w:r>
          </w:p>
        </w:tc>
        <w:tc>
          <w:tcPr>
            <w:tcW w:type="dxa" w:w="3226"/>
            <w:tcBorders>
              <w:top w:val="single" w:color="B7C4C0" w:sz="4"/>
              <w:left w:val="single" w:color="B7C4C0" w:sz="4"/>
              <w:bottom w:val="single" w:color="B7C4C0" w:sz="4"/>
              <w:right w:val="single" w:color="B7C4C0" w:sz="4"/>
            </w:tcBorders>
            <w:tcMar>
              <w:top w:type="dxa" w:w="70"/>
              <w:left w:type="dxa" w:w="100"/>
              <w:bottom w:type="dxa" w:w="70"/>
              <w:right w:type="dxa" w:w="100"/>
            </w:tcMar>
          </w:tcPr>
          <w:p>
            <w:r>
              <w:rPr>
                <w:rFonts w:ascii="Calibri" w:cs="Calibri" w:eastAsia="Calibri" w:hAnsi="Calibri"/>
                <w:b w:val="false"/>
                <w:bCs w:val="false"/>
                <w:sz w:val="19"/>
                <w:szCs w:val="19"/>
              </w:rPr>
              <w:t>B; retail-distribution note</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rPr>
        <w:t xml:space="preserve">5. Points for EMC review</w:t>
      </w:r>
    </w:p>
    <w:p>
      <w:pPr>
        <w:spacing w:after="120" w:line="276"/>
      </w:pPr>
      <w:r>
        <w:rPr>
          <w:rFonts w:ascii="Calibri" w:cs="Calibri" w:eastAsia="Calibri" w:hAnsi="Calibri"/>
          <w:sz w:val="22"/>
          <w:szCs w:val="22"/>
        </w:rPr>
        <w:t xml:space="preserve">Extracting the rules makes a few judgement calls visible. Each is a one-line change in the JSON if you want it different.</w:t>
      </w:r>
    </w:p>
    <w:p>
      <w:pPr>
        <w:pStyle w:val="ListParagraph"/>
        <w:numPr>
          <w:ilvl w:val="0"/>
          <w:numId w:val="2"/>
        </w:numPr>
        <w:spacing w:after="60"/>
      </w:pPr>
      <w:r>
        <w:rPr>
          <w:rFonts w:ascii="Calibri" w:cs="Calibri" w:eastAsia="Calibri" w:hAnsi="Calibri"/>
          <w:b/>
          <w:bCs/>
          <w:sz w:val="22"/>
          <w:szCs w:val="22"/>
        </w:rPr>
        <w:t xml:space="preserve">High-risk sector on a greenfield site counts as an A-signal. </w:t>
      </w:r>
      <w:r>
        <w:rPr>
          <w:rFonts w:ascii="Calibri" w:cs="Calibri" w:eastAsia="Calibri" w:hAnsi="Calibri"/>
          <w:sz w:val="22"/>
          <w:szCs w:val="22"/>
        </w:rPr>
        <w:t>Some funds treat this only as “leans A”. Sustainability Policy paras 42–43 ask for the inherent risk of the sector and the setting to be weighed but name no sectors, so this is EMC’s reading. Option: move it to the watch list.</w:t>
      </w:r>
    </w:p>
    <w:p>
      <w:pPr>
        <w:pStyle w:val="ListParagraph"/>
        <w:numPr>
          <w:ilvl w:val="0"/>
          <w:numId w:val="2"/>
        </w:numPr>
        <w:spacing w:after="60"/>
      </w:pPr>
      <w:r>
        <w:rPr>
          <w:rFonts w:ascii="Calibri" w:cs="Calibri" w:eastAsia="Calibri" w:hAnsi="Calibri"/>
          <w:b/>
          <w:bCs/>
          <w:sz w:val="22"/>
          <w:szCs w:val="22"/>
        </w:rPr>
        <w:t xml:space="preserve">Category C </w:t>
      </w:r>
      <w:r>
        <w:rPr>
          <w:rFonts w:ascii="Calibri" w:cs="Calibri" w:eastAsia="Calibri" w:hAnsi="Calibri"/>
          <w:sz w:val="22"/>
          <w:szCs w:val="22"/>
        </w:rPr>
        <w:t>is limited to low-risk sectors (healthcare or education; services, IT or retail), and each question carries a blocks_c flag. Ordinary waste and e-waste, nearby communities, building safety, contractors and security guards do not block C; land, biodiversity, Indigenous Peoples, heritage, camps, water stress, pesticides, heavy traffic and labour influx do. Healthcare also loses C on the pollution question (medical waste). Option: allow C for some medium-risk sectors.</w:t>
      </w:r>
    </w:p>
    <w:p>
      <w:pPr>
        <w:pStyle w:val="ListParagraph"/>
        <w:numPr>
          <w:ilvl w:val="0"/>
          <w:numId w:val="2"/>
        </w:numPr>
        <w:spacing w:after="60"/>
      </w:pPr>
      <w:r>
        <w:rPr>
          <w:rFonts w:ascii="Calibri" w:cs="Calibri" w:eastAsia="Calibri" w:hAnsi="Calibri"/>
          <w:b/>
          <w:bCs/>
          <w:sz w:val="22"/>
          <w:szCs w:val="22"/>
        </w:rPr>
        <w:t xml:space="preserve">“Not sure” and unanswered </w:t>
      </w:r>
      <w:r>
        <w:rPr>
          <w:rFonts w:ascii="Calibri" w:cs="Calibri" w:eastAsia="Calibri" w:hAnsi="Calibri"/>
          <w:sz w:val="22"/>
          <w:szCs w:val="22"/>
        </w:rPr>
        <w:t>both keep a standard at Needs review (a standard where every question is unanswered shows Not screened). Only Yes and No count towards the minimum for a category.</w:t>
      </w:r>
    </w:p>
    <w:p>
      <w:pPr>
        <w:pStyle w:val="ListParagraph"/>
        <w:numPr>
          <w:ilvl w:val="0"/>
          <w:numId w:val="2"/>
        </w:numPr>
        <w:spacing w:after="60"/>
      </w:pPr>
      <w:r>
        <w:rPr>
          <w:rFonts w:ascii="Calibri" w:cs="Calibri" w:eastAsia="Calibri" w:hAnsi="Calibri"/>
          <w:b/>
          <w:bCs/>
          <w:sz w:val="22"/>
          <w:szCs w:val="22"/>
        </w:rPr>
        <w:t xml:space="preserve">Minimum answers. </w:t>
      </w:r>
      <w:r>
        <w:rPr>
          <w:rFonts w:ascii="Calibri" w:cs="Calibri" w:eastAsia="Calibri" w:hAnsi="Calibri"/>
          <w:sz w:val="22"/>
          <w:szCs w:val="22"/>
        </w:rPr>
        <w:t>A category needs a sector and at least 10 Yes or No answers (a Category A signal can appear sooner). This stops a near-empty form giving a confident B or C. Change min_informative_answers in the JSON to adjust it.</w:t>
      </w:r>
    </w:p>
    <w:p>
      <w:pPr>
        <w:pStyle w:val="ListParagraph"/>
        <w:numPr>
          <w:ilvl w:val="0"/>
          <w:numId w:val="2"/>
        </w:numPr>
        <w:spacing w:after="60"/>
      </w:pPr>
      <w:r>
        <w:rPr>
          <w:rFonts w:ascii="Calibri" w:cs="Calibri" w:eastAsia="Calibri" w:hAnsi="Calibri"/>
          <w:b/>
          <w:bCs/>
          <w:sz w:val="22"/>
          <w:szCs w:val="22"/>
        </w:rPr>
        <w:t xml:space="preserve">A-signal questions are now six: </w:t>
      </w:r>
      <w:r>
        <w:rPr>
          <w:rFonts w:ascii="Calibri" w:cs="Calibri" w:eastAsia="Calibri" w:hAnsi="Calibri"/>
          <w:sz w:val="22"/>
          <w:szCs w:val="22"/>
        </w:rPr>
        <w:t>household relocation, scale of land loss (EMC judgement), possible critical habitat (species), FPIC circumstances, a dam, tailings dam or ash pond whose failure could threaten communities, and critical cultural heritage. Combination signals: natural habitat near a protected area; Indigenous Peoples present with commercial use of heritage; high-risk sector on a greenfield site.</w:t>
      </w:r>
    </w:p>
    <w:p>
      <w:pPr>
        <w:pStyle w:val="ListParagraph"/>
        <w:numPr>
          <w:ilvl w:val="0"/>
          <w:numId w:val="2"/>
        </w:numPr>
        <w:spacing w:after="60"/>
      </w:pPr>
      <w:r>
        <w:rPr>
          <w:rFonts w:ascii="Calibri" w:cs="Calibri" w:eastAsia="Calibri" w:hAnsi="Calibri"/>
          <w:b/>
          <w:bCs/>
          <w:sz w:val="22"/>
          <w:szCs w:val="22"/>
        </w:rPr>
        <w:t xml:space="preserve">Basis of the rules. </w:t>
      </w:r>
      <w:r>
        <w:rPr>
          <w:rFonts w:ascii="Calibri" w:cs="Calibri" w:eastAsia="Calibri" w:hAnsi="Calibri"/>
          <w:sz w:val="22"/>
          <w:szCs w:val="22"/>
        </w:rPr>
        <w:t>Wording, actions and paragraph citations were checked against the 2012 Performance Standards and Guidance Notes (June 2021), the Sustainability Policy (2012) and the FI Guidance Note (September 2023). The meaning of Categories A, B, C and FI-1 to FI-3 follows Policy para 40. The Policy defines the categories in words and has no sector list or scoring rule, so the sector risk classes, the way answers become a category, the minimum-answers rule and the sanity checks remain EMC judgement. The India-law lines are general knowledge to be verified. The December 2025 Great Indian Bustard judgment is known only from a news report.</w:t>
      </w:r>
    </w:p>
    <w:p>
      <w:pPr>
        <w:pStyle w:val="ListParagraph"/>
        <w:numPr>
          <w:ilvl w:val="0"/>
          <w:numId w:val="2"/>
        </w:numPr>
        <w:spacing w:after="60"/>
      </w:pPr>
      <w:r>
        <w:rPr>
          <w:rFonts w:ascii="Calibri" w:cs="Calibri" w:eastAsia="Calibri" w:hAnsi="Calibri"/>
          <w:b/>
          <w:bCs/>
          <w:sz w:val="22"/>
          <w:szCs w:val="22"/>
        </w:rPr>
        <w:t xml:space="preserve">PS5 land question. </w:t>
      </w:r>
      <w:r>
        <w:rPr>
          <w:rFonts w:ascii="Calibri" w:cs="Calibri" w:eastAsia="Calibri" w:hAnsi="Calibri"/>
          <w:sz w:val="22"/>
          <w:szCs w:val="22"/>
        </w:rPr>
        <w:t>A Yes on “needs land” triggers PS5 as a conservative screen, although PS5 para 6 excludes voluntary transactions. The action asks the client to show each parcel was voluntary. Option: ask a separate voluntariness question.</w:t>
      </w:r>
    </w:p>
    <w:p>
      <w:pPr>
        <w:pStyle w:val="ListParagraph"/>
        <w:numPr>
          <w:ilvl w:val="0"/>
          <w:numId w:val="2"/>
        </w:numPr>
        <w:spacing w:after="60"/>
      </w:pPr>
      <w:r>
        <w:rPr>
          <w:rFonts w:ascii="Calibri" w:cs="Calibri" w:eastAsia="Calibri" w:hAnsi="Calibri"/>
          <w:b/>
          <w:bCs/>
          <w:sz w:val="22"/>
          <w:szCs w:val="22"/>
        </w:rPr>
        <w:t xml:space="preserve">Changes made after reading the Policy and the FI note. </w:t>
      </w:r>
      <w:r>
        <w:rPr>
          <w:rFonts w:ascii="Calibri" w:cs="Calibri" w:eastAsia="Calibri" w:hAnsi="Calibri"/>
          <w:sz w:val="22"/>
          <w:szCs w:val="22"/>
        </w:rPr>
        <w:t>ESAP wording (Category C projects often have none, Policy fn 10); the category definitions are quoted in the result with the Policy paragraph; FI actions are rewritten from the FI note (ESMS, Exclusion List and national law, PS2 for the FI’s own staff, Higher Risk Transactions, scope of application, reporting, coal restrictions); the Exclusion List is shown on every result; sector notes from Policy paras 49–53 appear for oil and gas, mining, power distribution and water; Broad Community Support and the FPIC review (Policy paras 30–31) are added as investor expectations.</w:t>
      </w:r>
    </w:p>
    <w:p>
      <w:pPr>
        <w:pStyle w:val="ListParagraph"/>
        <w:numPr>
          <w:ilvl w:val="0"/>
          <w:numId w:val="2"/>
        </w:numPr>
        <w:spacing w:after="60"/>
      </w:pPr>
      <w:r>
        <w:rPr>
          <w:rFonts w:ascii="Calibri" w:cs="Calibri" w:eastAsia="Calibri" w:hAnsi="Calibri"/>
          <w:b/>
          <w:bCs/>
          <w:sz w:val="22"/>
          <w:szCs w:val="22"/>
        </w:rPr>
        <w:t xml:space="preserve">FI sub-category. </w:t>
      </w:r>
      <w:r>
        <w:rPr>
          <w:rFonts w:ascii="Calibri" w:cs="Calibri" w:eastAsia="Calibri" w:hAnsi="Calibri"/>
          <w:sz w:val="22"/>
          <w:szCs w:val="22"/>
        </w:rPr>
        <w:t>The checklist cannot choose between FI-1, FI-2 and FI-3 because it does not collect the portfolio. Option: add a short portfolio questionnaire (share of exposure to high-risk sectors, tenor, product types).</w:t>
      </w:r>
    </w:p>
    <w:p>
      <w:pPr>
        <w:pStyle w:val="ListParagraph"/>
        <w:numPr>
          <w:ilvl w:val="0"/>
          <w:numId w:val="2"/>
        </w:numPr>
        <w:spacing w:after="60"/>
      </w:pPr>
      <w:r>
        <w:rPr>
          <w:rFonts w:ascii="Calibri" w:cs="Calibri" w:eastAsia="Calibri" w:hAnsi="Calibri"/>
          <w:b/>
          <w:bCs/>
          <w:sz w:val="22"/>
          <w:szCs w:val="22"/>
        </w:rPr>
        <w:t xml:space="preserve">The Skill goes further </w:t>
      </w:r>
      <w:r>
        <w:rPr>
          <w:rFonts w:ascii="Calibri" w:cs="Calibri" w:eastAsia="Calibri" w:hAnsi="Calibri"/>
          <w:sz w:val="22"/>
          <w:szCs w:val="22"/>
        </w:rPr>
        <w:t>than the rule set on regional red flags, sector intensity and the full conformance library. These are guidance for Claude’s judgement rather than deterministic rules; a later version can add the India regional flags as data for the regional_risk_flags tool.</w:t>
      </w:r>
    </w:p>
    <w:p>
      <w:pPr>
        <w:pStyle w:val="Heading1"/>
      </w:pPr>
      <w:r>
        <w:rPr>
          <w:rFonts w:ascii="Calibri" w:cs="Calibri" w:eastAsia="Calibri" w:hAnsi="Calibri"/>
        </w:rPr>
        <w:t xml:space="preserve">6. Change control</w:t>
      </w:r>
    </w:p>
    <w:p>
      <w:pPr>
        <w:pStyle w:val="ListParagraph"/>
        <w:numPr>
          <w:ilvl w:val="0"/>
          <w:numId w:val="2"/>
        </w:numPr>
        <w:spacing w:after="60"/>
      </w:pPr>
      <w:r>
        <w:rPr>
          <w:rFonts w:ascii="Calibri" w:cs="Calibri" w:eastAsia="Calibri" w:hAnsi="Calibri"/>
          <w:sz w:val="22"/>
          <w:szCs w:val="22"/>
        </w:rPr>
        <w:t xml:space="preserve">Every change is approved by an EMC E&amp;S lead and recorded with a reason.</w:t>
      </w:r>
    </w:p>
    <w:p>
      <w:pPr>
        <w:pStyle w:val="ListParagraph"/>
        <w:numPr>
          <w:ilvl w:val="0"/>
          <w:numId w:val="2"/>
        </w:numPr>
        <w:spacing w:after="60"/>
      </w:pPr>
      <w:r>
        <w:rPr>
          <w:rFonts w:ascii="Calibri" w:cs="Calibri" w:eastAsia="Calibri" w:hAnsi="Calibri"/>
          <w:sz w:val="22"/>
          <w:szCs w:val="22"/>
        </w:rPr>
        <w:t>Increase the version: patch (1.2.1) for wording, minor (1.3.0) for new questions or flags, major (2.0.0) for a new framework such as the revised IFC Performance Standards.</w:t>
      </w:r>
    </w:p>
    <w:p>
      <w:pPr>
        <w:pStyle w:val="ListParagraph"/>
        <w:numPr>
          <w:ilvl w:val="0"/>
          <w:numId w:val="2"/>
        </w:numPr>
        <w:spacing w:after="60"/>
      </w:pPr>
      <w:r>
        <w:rPr>
          <w:rFonts w:ascii="Calibri" w:cs="Calibri" w:eastAsia="Calibri" w:hAnsi="Calibri"/>
          <w:sz w:val="22"/>
          <w:szCs w:val="22"/>
        </w:rPr>
        <w:t>Rebuild the HTML first, then run run_tests.py and parity.js before release; add a test case for every rule change.</w:t>
      </w:r>
    </w:p>
    <w:p>
      <w:pPr>
        <w:pStyle w:val="ListParagraph"/>
        <w:numPr>
          <w:ilvl w:val="0"/>
          <w:numId w:val="2"/>
        </w:numPr>
        <w:spacing w:after="60"/>
      </w:pPr>
      <w:r>
        <w:rPr>
          <w:rFonts w:ascii="Calibri" w:cs="Calibri" w:eastAsia="Calibri" w:hAnsi="Calibri"/>
          <w:sz w:val="22"/>
          <w:szCs w:val="22"/>
        </w:rPr>
        <w:t>Rebuild the HTML checklist with build_html.py, regenerate the Skill’s triggers.md, and copy the rule set and screen.py into the Skill folder.</w:t>
      </w:r>
    </w:p>
    <w:p>
      <w:pPr>
        <w:pStyle w:val="Heading1"/>
      </w:pPr>
      <w:r>
        <w:rPr>
          <w:rFonts w:ascii="Calibri" w:cs="Calibri" w:eastAsia="Calibri" w:hAnsi="Calibri"/>
        </w:rPr>
        <w:t xml:space="preserve">7. Next steps</w:t>
      </w:r>
    </w:p>
    <w:p>
      <w:pPr>
        <w:pStyle w:val="ListParagraph"/>
        <w:numPr>
          <w:ilvl w:val="0"/>
          <w:numId w:val="2"/>
        </w:numPr>
        <w:spacing w:after="60"/>
      </w:pPr>
      <w:r>
        <w:rPr>
          <w:rFonts w:ascii="Calibri" w:cs="Calibri" w:eastAsia="Calibri" w:hAnsi="Calibri"/>
          <w:b/>
          <w:bCs/>
          <w:sz w:val="22"/>
          <w:szCs w:val="22"/>
        </w:rPr>
        <w:t xml:space="preserve">Expand the test suite </w:t>
      </w:r>
      <w:r>
        <w:rPr>
          <w:rFonts w:ascii="Calibri" w:cs="Calibri" w:eastAsia="Calibri" w:hAnsi="Calibri"/>
          <w:sz w:val="22"/>
          <w:szCs w:val="22"/>
        </w:rPr>
        <w:t xml:space="preserve">with 20 to 30 anonymised cases from EMC’s ESDD record across sectors, with the verdicts EMC actually reached. This is the most valuable next input and only EMC can supply it.</w:t>
      </w:r>
    </w:p>
    <w:p>
      <w:pPr>
        <w:pStyle w:val="ListParagraph"/>
        <w:numPr>
          <w:ilvl w:val="0"/>
          <w:numId w:val="2"/>
        </w:numPr>
        <w:spacing w:after="60"/>
      </w:pPr>
      <w:r>
        <w:rPr>
          <w:rFonts w:ascii="Calibri" w:cs="Calibri" w:eastAsia="Calibri" w:hAnsi="Calibri"/>
          <w:b/>
          <w:bCs/>
          <w:sz w:val="22"/>
          <w:szCs w:val="22"/>
        </w:rPr>
        <w:t>Have an EMC E&amp;S lead review the items marked EMC judgement in section 5, and have a lawyer review the India-law lines. These are the main open verification gaps.</w:t>
      </w:r>
      <w:r>
        <w:rPr>
          <w:rFonts w:ascii="Calibri" w:cs="Calibri" w:eastAsia="Calibri" w:hAnsi="Calibri"/>
          <w:sz w:val="22"/>
          <w:szCs w:val="22"/>
        </w:rPr>
      </w:r>
    </w:p>
    <w:p>
      <w:pPr>
        <w:pStyle w:val="ListParagraph"/>
        <w:numPr>
          <w:ilvl w:val="0"/>
          <w:numId w:val="2"/>
        </w:numPr>
        <w:spacing w:after="60"/>
      </w:pPr>
      <w:r>
        <w:rPr>
          <w:rFonts w:ascii="Calibri" w:cs="Calibri" w:eastAsia="Calibri" w:hAnsi="Calibri"/>
          <w:b/>
          <w:bCs/>
          <w:sz w:val="22"/>
          <w:szCs w:val="22"/>
        </w:rPr>
        <w:t>Version 1.3: India regional flags as data, a short portfolio questionnaire to choose FI-1, FI-2 or FI-3, and fund-configuration fields for the connector.</w:t>
      </w:r>
      <w:r>
        <w:rPr>
          <w:rFonts w:ascii="Calibri" w:cs="Calibri" w:eastAsia="Calibri" w:hAnsi="Calibri"/>
          <w:sz w:val="22"/>
          <w:szCs w:val="22"/>
        </w:rPr>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66B66"/>
        <w:sz w:val="16"/>
        <w:szCs w:val="16"/>
      </w:rPr>
      <w:t xml:space="preserve">IFC PS Screening Rule Set 1.2.0   </w:t>
    </w:r>
    <w:r>
      <w:rPr>
        <w:rFonts w:ascii="Calibri" w:cs="Calibri" w:eastAsia="Calibri" w:hAnsi="Calibri"/>
        <w:color w:val="56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6302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2026-10-28T06:05:53.998Z</dcterms:created>
  <dcterms:modified xsi:type="dcterms:W3CDTF">2026-10-28T06:05:53.999Z</dcterms:modified>
</cp:coreProperties>
</file>

<file path=docProps/custom.xml><?xml version="1.0" encoding="utf-8"?>
<Properties xmlns="http://schemas.openxmlformats.org/officeDocument/2006/custom-properties" xmlns:vt="http://schemas.openxmlformats.org/officeDocument/2006/docPropsVTypes"/>
</file>