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6302C"/>
          <w:sz w:val="44"/>
          <w:szCs w:val="44"/>
        </w:rPr>
        <w:t xml:space="preserve">IFC PS Screening Assistant</w:t>
      </w:r>
    </w:p>
    <w:p>
      <w:pPr>
        <w:spacing w:after="60"/>
      </w:pPr>
      <w:r>
        <w:rPr>
          <w:rFonts w:ascii="Calibri" w:cs="Calibri" w:eastAsia="Calibri" w:hAnsi="Calibri"/>
          <w:color w:val="0D6A60"/>
          <w:sz w:val="26"/>
          <w:szCs w:val="26"/>
        </w:rPr>
        <w:t xml:space="preserve">Participant setup kit, Step 1: a Claude Project grounded in the IFC Performance Standards and Guidance Notes</w:t>
      </w:r>
    </w:p>
    <w:p>
      <w:pPr>
        <w:pBdr>
          <w:bottom w:val="single" w:color="0D6A60" w:sz="8" w:space="6"/>
        </w:pBdr>
        <w:spacing w:after="240"/>
      </w:pPr>
      <w:r>
        <w:rPr>
          <w:rFonts w:ascii="Calibri" w:cs="Calibri" w:eastAsia="Calibri" w:hAnsi="Calibri"/>
          <w:color w:val="566B66"/>
          <w:sz w:val="20"/>
          <w:szCs w:val="20"/>
        </w:rPr>
        <w:t xml:space="preserve">Both Sides of the Table: Masterclass on IFC Performance Standards, 20–21 November 2026. Environmental Management Centre (EMC) and Ekonnect Knowledge Foundation, Mumbai.</w:t>
      </w:r>
    </w:p>
    <w:p>
      <w:pPr>
        <w:pStyle w:val="Heading1"/>
        <w:spacing w:after="120" w:before="300"/>
      </w:pPr>
      <w:r>
        <w:rPr>
          <w:rFonts w:ascii="Calibri" w:cs="Calibri" w:eastAsia="Calibri" w:hAnsi="Calibri"/>
        </w:rPr>
        <w:t xml:space="preserve">1. What you are setting up</w:t>
      </w:r>
    </w:p>
    <w:p>
      <w:pPr>
        <w:spacing w:after="120" w:line="276"/>
      </w:pPr>
      <w:r>
        <w:rPr>
          <w:rFonts w:ascii="Calibri" w:cs="Calibri" w:eastAsia="Calibri" w:hAnsi="Calibri"/>
          <w:sz w:val="22"/>
          <w:szCs w:val="22"/>
        </w:rPr>
        <w:t xml:space="preserve">This kit turns your own Claude account into a screening assistant for the IFC Performance Standards. You load the official IFC documents into a Claude Project and paste in EMC’s screening instructions. Claude then screens any project you describe or upload, shows which Performance Standards are triggered, assigns a provisional category, sets out what is needed to conform, and cites the paragraphs it relies on.</w:t>
      </w:r>
    </w:p>
    <w:p>
      <w:pPr>
        <w:spacing w:after="120" w:line="276"/>
      </w:pPr>
      <w:r>
        <w:rPr>
          <w:rFonts w:ascii="Calibri" w:cs="Calibri" w:eastAsia="Calibri" w:hAnsi="Calibri"/>
          <w:sz w:val="22"/>
          <w:szCs w:val="22"/>
        </w:rPr>
        <w:t>It is the second half of a two-part workflow with the HTML screening tool you received with the Masterclass. Use the HTML tool for the quick first pass: 33 Yes, No or Not sure questions give a provisional result in minutes, and its Copy case for Claude button copies your answers. Use this assistant to take the case further: paste the copied case, or give it a project description, an information memorandum or an ESIA to read, when you need cited requirements and an action plan.</w:t>
      </w:r>
    </w:p>
    <w:p>
      <w:pPr>
        <w:spacing w:after="120" w:line="276"/>
      </w:pPr>
      <w:r>
        <w:rPr>
          <w:rFonts w:ascii="Calibri" w:cs="Calibri" w:eastAsia="Calibri" w:hAnsi="Calibri"/>
          <w:b/>
          <w:bCs/>
          <w:sz w:val="22"/>
          <w:szCs w:val="22"/>
        </w:rPr>
        <w:t xml:space="preserve">This is a first-pass screening aid. </w:t>
      </w:r>
      <w:r>
        <w:rPr>
          <w:rFonts w:ascii="Calibri" w:cs="Calibri" w:eastAsia="Calibri" w:hAnsi="Calibri"/>
          <w:sz w:val="22"/>
          <w:szCs w:val="22"/>
        </w:rPr>
        <w:t xml:space="preserve">It points to where due diligence is needed. It does not replace an ESDD, ESIA or ESMS, and its category is provisional.</w:t>
      </w:r>
    </w:p>
    <w:p>
      <w:pPr>
        <w:pStyle w:val="Heading1"/>
        <w:spacing w:after="120" w:before="300"/>
      </w:pPr>
      <w:r>
        <w:rPr>
          <w:rFonts w:ascii="Calibri" w:cs="Calibri" w:eastAsia="Calibri" w:hAnsi="Calibri"/>
        </w:rPr>
        <w:t xml:space="preserve">2. What you need</w:t>
      </w:r>
    </w:p>
    <w:p>
      <w:pPr>
        <w:pStyle w:val="ListParagraph"/>
        <w:numPr>
          <w:ilvl w:val="0"/>
          <w:numId w:val="2"/>
        </w:numPr>
        <w:spacing w:after="60"/>
      </w:pPr>
      <w:r>
        <w:rPr>
          <w:rFonts w:ascii="Calibri" w:cs="Calibri" w:eastAsia="Calibri" w:hAnsi="Calibri"/>
          <w:b/>
          <w:bCs/>
          <w:sz w:val="22"/>
          <w:szCs w:val="22"/>
        </w:rPr>
        <w:t xml:space="preserve">A Claude account. </w:t>
      </w:r>
      <w:r>
        <w:rPr>
          <w:rFonts w:ascii="Calibri" w:cs="Calibri" w:eastAsia="Calibri" w:hAnsi="Calibri"/>
          <w:sz w:val="22"/>
          <w:szCs w:val="22"/>
        </w:rPr>
        <w:t xml:space="preserve">Projects are available on all Claude plans; the free plan allows up to five Projects. A paid plan (Pro or higher) is recommended, because the Guidance Notes are long and paid plans automatically switch to search-based retrieval when project knowledge gets large.</w:t>
      </w:r>
    </w:p>
    <w:p>
      <w:pPr>
        <w:pStyle w:val="ListParagraph"/>
        <w:numPr>
          <w:ilvl w:val="0"/>
          <w:numId w:val="2"/>
        </w:numPr>
        <w:spacing w:after="60"/>
      </w:pPr>
      <w:r>
        <w:rPr>
          <w:rFonts w:ascii="Calibri" w:cs="Calibri" w:eastAsia="Calibri" w:hAnsi="Calibri"/>
          <w:b/>
          <w:bCs/>
          <w:sz w:val="22"/>
          <w:szCs w:val="22"/>
        </w:rPr>
        <w:t xml:space="preserve">Claude Desktop or claude.ai in a browser. </w:t>
      </w:r>
      <w:r>
        <w:rPr>
          <w:rFonts w:ascii="Calibri" w:cs="Calibri" w:eastAsia="Calibri" w:hAnsi="Calibri"/>
          <w:sz w:val="22"/>
          <w:szCs w:val="22"/>
        </w:rPr>
        <w:t xml:space="preserve">Projects work the same in both. You can also use them from the Claude mobile app.</w:t>
      </w:r>
    </w:p>
    <w:p>
      <w:pPr>
        <w:pStyle w:val="ListParagraph"/>
        <w:numPr>
          <w:ilvl w:val="0"/>
          <w:numId w:val="2"/>
        </w:numPr>
        <w:spacing w:after="60"/>
      </w:pPr>
      <w:r>
        <w:rPr>
          <w:rFonts w:ascii="Calibri" w:cs="Calibri" w:eastAsia="Calibri" w:hAnsi="Calibri"/>
          <w:b/>
          <w:bCs/>
          <w:sz w:val="22"/>
          <w:szCs w:val="22"/>
        </w:rPr>
        <w:t xml:space="preserve">About 30 minutes </w:t>
      </w:r>
      <w:r>
        <w:rPr>
          <w:rFonts w:ascii="Calibri" w:cs="Calibri" w:eastAsia="Calibri" w:hAnsi="Calibri"/>
          <w:sz w:val="22"/>
          <w:szCs w:val="22"/>
        </w:rPr>
        <w:t xml:space="preserve">to download the documents, set up the Project and run the test cases.</w:t>
      </w:r>
    </w:p>
    <w:p>
      <w:pPr>
        <w:pStyle w:val="Heading1"/>
        <w:spacing w:after="120" w:before="300"/>
      </w:pPr>
      <w:r>
        <w:rPr>
          <w:rFonts w:ascii="Calibri" w:cs="Calibri" w:eastAsia="Calibri" w:hAnsi="Calibri"/>
        </w:rPr>
        <w:t xml:space="preserve">3. Documents to download</w:t>
      </w:r>
    </w:p>
    <w:p>
      <w:pPr>
        <w:spacing w:after="120" w:line="276"/>
      </w:pPr>
      <w:r>
        <w:rPr>
          <w:rFonts w:ascii="Calibri" w:cs="Calibri" w:eastAsia="Calibri" w:hAnsi="Calibri"/>
          <w:sz w:val="22"/>
          <w:szCs w:val="22"/>
        </w:rPr>
        <w:t xml:space="preserve">Download these yourself from the official sources, so you always work from the current versions. Save them with clear file names (suggested below); Claude refers to files more reliably when names are descriptive.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3626"/>
      </w:tblGrid>
      <w:tr>
        <w:trPr>
          <w:tblHeader/>
        </w:trPr>
        <w:tc>
          <w:tcPr>
            <w:tcW w:type="dxa" w:w="2500"/>
            <w:tcBorders>
              <w:top w:val="single" w:color="B7C4C0" w:sz="4"/>
              <w:left w:val="single" w:color="B7C4C0" w:sz="4"/>
              <w:bottom w:val="single" w:color="B7C4C0" w:sz="4"/>
              <w:right w:val="single" w:color="B7C4C0" w:sz="4"/>
            </w:tcBorders>
            <w:shd w:fill="0D6A60" w:color="auto" w:val="clear"/>
            <w:tcMar>
              <w:top w:type="dxa" w:w="80"/>
              <w:left w:type="dxa" w:w="110"/>
              <w:bottom w:type="dxa" w:w="80"/>
              <w:right w:type="dxa" w:w="110"/>
            </w:tcMar>
          </w:tcPr>
          <w:p>
            <w:pPr>
              <w:spacing w:after="40"/>
            </w:pPr>
            <w:r>
              <w:rPr>
                <w:rFonts w:ascii="Calibri" w:cs="Calibri" w:eastAsia="Calibri" w:hAnsi="Calibri"/>
                <w:b/>
                <w:bCs/>
                <w:color w:val="FFFFFF"/>
                <w:sz w:val="20"/>
                <w:szCs w:val="20"/>
              </w:rPr>
              <w:t xml:space="preserve">Document</w:t>
            </w:r>
          </w:p>
        </w:tc>
        <w:tc>
          <w:tcPr>
            <w:tcW w:type="dxa" w:w="2900"/>
            <w:tcBorders>
              <w:top w:val="single" w:color="B7C4C0" w:sz="4"/>
              <w:left w:val="single" w:color="B7C4C0" w:sz="4"/>
              <w:bottom w:val="single" w:color="B7C4C0" w:sz="4"/>
              <w:right w:val="single" w:color="B7C4C0" w:sz="4"/>
            </w:tcBorders>
            <w:shd w:fill="0D6A60" w:color="auto" w:val="clear"/>
            <w:tcMar>
              <w:top w:type="dxa" w:w="80"/>
              <w:left w:type="dxa" w:w="110"/>
              <w:bottom w:type="dxa" w:w="80"/>
              <w:right w:type="dxa" w:w="110"/>
            </w:tcMar>
          </w:tcPr>
          <w:p>
            <w:pPr>
              <w:spacing w:after="40"/>
            </w:pPr>
            <w:r>
              <w:rPr>
                <w:rFonts w:ascii="Calibri" w:cs="Calibri" w:eastAsia="Calibri" w:hAnsi="Calibri"/>
                <w:b/>
                <w:bCs/>
                <w:color w:val="FFFFFF"/>
                <w:sz w:val="20"/>
                <w:szCs w:val="20"/>
              </w:rPr>
              <w:t xml:space="preserve">Source</w:t>
            </w:r>
          </w:p>
        </w:tc>
        <w:tc>
          <w:tcPr>
            <w:tcW w:type="dxa" w:w="3626"/>
            <w:tcBorders>
              <w:top w:val="single" w:color="B7C4C0" w:sz="4"/>
              <w:left w:val="single" w:color="B7C4C0" w:sz="4"/>
              <w:bottom w:val="single" w:color="B7C4C0" w:sz="4"/>
              <w:right w:val="single" w:color="B7C4C0" w:sz="4"/>
            </w:tcBorders>
            <w:shd w:fill="0D6A60" w:color="auto" w:val="clear"/>
            <w:tcMar>
              <w:top w:type="dxa" w:w="80"/>
              <w:left w:type="dxa" w:w="110"/>
              <w:bottom w:type="dxa" w:w="80"/>
              <w:right w:type="dxa" w:w="110"/>
            </w:tcMar>
          </w:tcPr>
          <w:p>
            <w:pPr>
              <w:spacing w:after="40"/>
            </w:pPr>
            <w:r>
              <w:rPr>
                <w:rFonts w:ascii="Calibri" w:cs="Calibri" w:eastAsia="Calibri" w:hAnsi="Calibri"/>
                <w:b/>
                <w:bCs/>
                <w:color w:val="FFFFFF"/>
                <w:sz w:val="20"/>
                <w:szCs w:val="20"/>
              </w:rPr>
              <w:t xml:space="preserve">Notes</w:t>
            </w:r>
          </w:p>
        </w:tc>
      </w:tr>
      <w:tr>
        <w:trPr>
          <w:tblHeader w:val="false"/>
        </w:trPr>
        <w:tc>
          <w:tcPr>
            <w:tcW w:type="dxa" w:w="2500"/>
            <w:tcBorders>
              <w:top w:val="single" w:color="B7C4C0" w:sz="4"/>
              <w:left w:val="single" w:color="B7C4C0" w:sz="4"/>
              <w:bottom w:val="single" w:color="B7C4C0" w:sz="4"/>
              <w:right w:val="single" w:color="B7C4C0" w:sz="4"/>
            </w:tcBorders>
            <w:tcMar>
              <w:top w:type="dxa" w:w="80"/>
              <w:left w:type="dxa" w:w="110"/>
              <w:bottom w:type="dxa" w:w="80"/>
              <w:right w:type="dxa" w:w="110"/>
            </w:tcMar>
          </w:tcPr>
          <w:p>
            <w:pPr>
              <w:spacing w:after="40"/>
            </w:pPr>
            <w:r>
              <w:rPr>
                <w:rFonts w:ascii="Calibri" w:cs="Calibri" w:eastAsia="Calibri" w:hAnsi="Calibri"/>
                <w:b w:val="false"/>
                <w:bCs w:val="false"/>
                <w:sz w:val="20"/>
                <w:szCs w:val="20"/>
              </w:rPr>
              <w:t xml:space="preserve">Performance Standards on Environmental and Social Sustainability (2012)</w:t>
            </w:r>
          </w:p>
        </w:tc>
        <w:tc>
          <w:tcPr>
            <w:tcW w:type="dxa" w:w="2900"/>
            <w:tcBorders>
              <w:top w:val="single" w:color="B7C4C0" w:sz="4"/>
              <w:left w:val="single" w:color="B7C4C0" w:sz="4"/>
              <w:bottom w:val="single" w:color="B7C4C0" w:sz="4"/>
              <w:right w:val="single" w:color="B7C4C0" w:sz="4"/>
            </w:tcBorders>
            <w:tcMar>
              <w:top w:type="dxa" w:w="80"/>
              <w:left w:type="dxa" w:w="110"/>
              <w:bottom w:type="dxa" w:w="80"/>
              <w:right w:type="dxa" w:w="110"/>
            </w:tcMar>
          </w:tcPr>
          <w:p>
            <w:pPr>
              <w:spacing w:after="40"/>
            </w:pPr>
            <w:r>
              <w:rPr>
                <w:rFonts w:ascii="Calibri" w:cs="Calibri" w:eastAsia="Calibri" w:hAnsi="Calibri"/>
                <w:b w:val="false"/>
                <w:bCs w:val="false"/>
                <w:sz w:val="20"/>
                <w:szCs w:val="20"/>
              </w:rPr>
              <w:t xml:space="preserve">ifc.org/performancestandards</w:t>
            </w:r>
          </w:p>
        </w:tc>
        <w:tc>
          <w:tcPr>
            <w:tcW w:type="dxa" w:w="3626"/>
            <w:tcBorders>
              <w:top w:val="single" w:color="B7C4C0" w:sz="4"/>
              <w:left w:val="single" w:color="B7C4C0" w:sz="4"/>
              <w:bottom w:val="single" w:color="B7C4C0" w:sz="4"/>
              <w:right w:val="single" w:color="B7C4C0" w:sz="4"/>
            </w:tcBorders>
            <w:tcMar>
              <w:top w:type="dxa" w:w="80"/>
              <w:left w:type="dxa" w:w="110"/>
              <w:bottom w:type="dxa" w:w="80"/>
              <w:right w:type="dxa" w:w="110"/>
            </w:tcMar>
          </w:tcPr>
          <w:p>
            <w:pPr>
              <w:spacing w:after="40"/>
            </w:pPr>
            <w:r>
              <w:rPr>
                <w:rFonts w:ascii="Calibri" w:cs="Calibri" w:eastAsia="Calibri" w:hAnsi="Calibri"/>
                <w:b w:val="false"/>
                <w:bCs w:val="false"/>
                <w:sz w:val="20"/>
                <w:szCs w:val="20"/>
              </w:rPr>
              <w:t xml:space="preserve">Core requirements. Save as IFC_PS_2012.pdf</w:t>
            </w:r>
          </w:p>
        </w:tc>
      </w:tr>
      <w:tr>
        <w:trPr>
          <w:tblHeader w:val="false"/>
        </w:trPr>
        <w:tc>
          <w:tcPr>
            <w:tcW w:type="dxa" w:w="2500"/>
            <w:tcBorders>
              <w:top w:val="single" w:color="B7C4C0" w:sz="4"/>
              <w:left w:val="single" w:color="B7C4C0" w:sz="4"/>
              <w:bottom w:val="single" w:color="B7C4C0" w:sz="4"/>
              <w:right w:val="single" w:color="B7C4C0" w:sz="4"/>
            </w:tcBorders>
            <w:tcMar>
              <w:top w:type="dxa" w:w="80"/>
              <w:left w:type="dxa" w:w="110"/>
              <w:bottom w:type="dxa" w:w="80"/>
              <w:right w:type="dxa" w:w="110"/>
            </w:tcMar>
          </w:tcPr>
          <w:p>
            <w:pPr>
              <w:spacing w:after="40"/>
            </w:pPr>
            <w:r>
              <w:rPr>
                <w:rFonts w:ascii="Calibri" w:cs="Calibri" w:eastAsia="Calibri" w:hAnsi="Calibri"/>
                <w:b w:val="false"/>
                <w:bCs w:val="false"/>
                <w:sz w:val="20"/>
                <w:szCs w:val="20"/>
              </w:rPr>
              <w:t xml:space="preserve">Guidance Notes to the Performance Standards (2012)</w:t>
            </w:r>
          </w:p>
        </w:tc>
        <w:tc>
          <w:tcPr>
            <w:tcW w:type="dxa" w:w="2900"/>
            <w:tcBorders>
              <w:top w:val="single" w:color="B7C4C0" w:sz="4"/>
              <w:left w:val="single" w:color="B7C4C0" w:sz="4"/>
              <w:bottom w:val="single" w:color="B7C4C0" w:sz="4"/>
              <w:right w:val="single" w:color="B7C4C0" w:sz="4"/>
            </w:tcBorders>
            <w:tcMar>
              <w:top w:type="dxa" w:w="80"/>
              <w:left w:type="dxa" w:w="110"/>
              <w:bottom w:type="dxa" w:w="80"/>
              <w:right w:type="dxa" w:w="110"/>
            </w:tcMar>
          </w:tcPr>
          <w:p>
            <w:pPr>
              <w:spacing w:after="40"/>
            </w:pPr>
            <w:r>
              <w:rPr>
                <w:rFonts w:ascii="Calibri" w:cs="Calibri" w:eastAsia="Calibri" w:hAnsi="Calibri"/>
                <w:b w:val="false"/>
                <w:bCs w:val="false"/>
                <w:sz w:val="20"/>
                <w:szCs w:val="20"/>
              </w:rPr>
              <w:t xml:space="preserve">ifc.org/performancestandards</w:t>
            </w:r>
          </w:p>
        </w:tc>
        <w:tc>
          <w:tcPr>
            <w:tcW w:type="dxa" w:w="3626"/>
            <w:tcBorders>
              <w:top w:val="single" w:color="B7C4C0" w:sz="4"/>
              <w:left w:val="single" w:color="B7C4C0" w:sz="4"/>
              <w:bottom w:val="single" w:color="B7C4C0" w:sz="4"/>
              <w:right w:val="single" w:color="B7C4C0" w:sz="4"/>
            </w:tcBorders>
            <w:tcMar>
              <w:top w:type="dxa" w:w="80"/>
              <w:left w:type="dxa" w:w="110"/>
              <w:bottom w:type="dxa" w:w="80"/>
              <w:right w:type="dxa" w:w="110"/>
            </w:tcMar>
          </w:tcPr>
          <w:p>
            <w:pPr>
              <w:spacing w:after="40"/>
            </w:pPr>
            <w:r>
              <w:rPr>
                <w:rFonts w:ascii="Calibri" w:cs="Calibri" w:eastAsia="Calibri" w:hAnsi="Calibri"/>
                <w:b w:val="false"/>
                <w:bCs w:val="false"/>
                <w:sz w:val="20"/>
                <w:szCs w:val="20"/>
              </w:rPr>
              <w:t xml:space="preserve">Last updated 14 June 2021. Save as IFC_GN_2012_rev2021.pdf</w:t>
            </w:r>
          </w:p>
        </w:tc>
      </w:tr>
      <w:tr>
        <w:trPr>
          <w:tblHeader w:val="false"/>
        </w:trPr>
        <w:tc>
          <w:tcPr>
            <w:tcW w:type="dxa" w:w="2500"/>
            <w:tcBorders>
              <w:top w:val="single" w:color="B7C4C0" w:sz="4"/>
              <w:left w:val="single" w:color="B7C4C0" w:sz="4"/>
              <w:bottom w:val="single" w:color="B7C4C0" w:sz="4"/>
              <w:right w:val="single" w:color="B7C4C0" w:sz="4"/>
            </w:tcBorders>
            <w:tcMar>
              <w:top w:type="dxa" w:w="80"/>
              <w:left w:type="dxa" w:w="110"/>
              <w:bottom w:type="dxa" w:w="80"/>
              <w:right w:type="dxa" w:w="110"/>
            </w:tcMar>
          </w:tcPr>
          <w:p>
            <w:pPr>
              <w:spacing w:after="40"/>
            </w:pPr>
            <w:r>
              <w:rPr>
                <w:rFonts w:ascii="Calibri" w:cs="Calibri" w:eastAsia="Calibri" w:hAnsi="Calibri"/>
                <w:b w:val="false"/>
                <w:bCs w:val="false"/>
                <w:sz w:val="20"/>
                <w:szCs w:val="20"/>
              </w:rPr>
              <w:t>Guidance Note on Financial Intermediaries (29 September 2023)</w:t>
            </w:r>
          </w:p>
        </w:tc>
        <w:tc>
          <w:tcPr>
            <w:tcW w:type="dxa" w:w="2900"/>
            <w:tcBorders>
              <w:top w:val="single" w:color="B7C4C0" w:sz="4"/>
              <w:left w:val="single" w:color="B7C4C0" w:sz="4"/>
              <w:bottom w:val="single" w:color="B7C4C0" w:sz="4"/>
              <w:right w:val="single" w:color="B7C4C0" w:sz="4"/>
            </w:tcBorders>
            <w:tcMar>
              <w:top w:type="dxa" w:w="80"/>
              <w:left w:type="dxa" w:w="110"/>
              <w:bottom w:type="dxa" w:w="80"/>
              <w:right w:type="dxa" w:w="110"/>
            </w:tcMar>
          </w:tcPr>
          <w:p>
            <w:pPr>
              <w:spacing w:after="40"/>
            </w:pPr>
            <w:r>
              <w:rPr>
                <w:rFonts w:ascii="Calibri" w:cs="Calibri" w:eastAsia="Calibri" w:hAnsi="Calibri"/>
                <w:b w:val="false"/>
                <w:bCs w:val="false"/>
                <w:sz w:val="20"/>
                <w:szCs w:val="20"/>
              </w:rPr>
              <w:t>ifc.org/performancestandards (page: ifc.org/en/insights-reports/2012/publications-policy-interpretationnote-fi)</w:t>
            </w:r>
          </w:p>
        </w:tc>
        <w:tc>
          <w:tcPr>
            <w:tcW w:type="dxa" w:w="3626"/>
            <w:tcBorders>
              <w:top w:val="single" w:color="B7C4C0" w:sz="4"/>
              <w:left w:val="single" w:color="B7C4C0" w:sz="4"/>
              <w:bottom w:val="single" w:color="B7C4C0" w:sz="4"/>
              <w:right w:val="single" w:color="B7C4C0" w:sz="4"/>
            </w:tcBorders>
            <w:tcMar>
              <w:top w:type="dxa" w:w="80"/>
              <w:left w:type="dxa" w:w="110"/>
              <w:bottom w:type="dxa" w:w="80"/>
              <w:right w:type="dxa" w:w="110"/>
            </w:tcMar>
          </w:tcPr>
          <w:p>
            <w:pPr>
              <w:spacing w:after="40"/>
            </w:pPr>
            <w:r>
              <w:rPr>
                <w:rFonts w:ascii="Calibri" w:cs="Calibri" w:eastAsia="Calibri" w:hAnsi="Calibri"/>
                <w:b w:val="false"/>
                <w:bCs w:val="false"/>
                <w:sz w:val="20"/>
                <w:szCs w:val="20"/>
              </w:rPr>
              <w:t>Replaces the 2018 Interpretation Note. Needed if you screen funds, banks, NBFCs or insurers. Save as IFC_GN_FI_2023.pdf</w:t>
            </w:r>
          </w:p>
        </w:tc>
      </w:tr>
      <w:tr>
        <w:trPr>
          <w:tblHeader w:val="false"/>
        </w:trPr>
        <w:tc>
          <w:tcPr>
            <w:tcW w:type="dxa" w:w="2500"/>
            <w:tcBorders>
              <w:top w:val="single" w:color="B7C4C0" w:sz="4"/>
              <w:left w:val="single" w:color="B7C4C0" w:sz="4"/>
              <w:bottom w:val="single" w:color="B7C4C0" w:sz="4"/>
              <w:right w:val="single" w:color="B7C4C0" w:sz="4"/>
            </w:tcBorders>
            <w:tcMar>
              <w:top w:type="dxa" w:w="80"/>
              <w:left w:type="dxa" w:w="110"/>
              <w:bottom w:type="dxa" w:w="80"/>
              <w:right w:type="dxa" w:w="110"/>
            </w:tcMar>
          </w:tcPr>
          <w:p>
            <w:pPr>
              <w:spacing w:after="40"/>
            </w:pPr>
            <w:r>
              <w:rPr>
                <w:rFonts w:ascii="Calibri" w:cs="Calibri" w:eastAsia="Calibri" w:hAnsi="Calibri"/>
                <w:b w:val="false"/>
                <w:bCs w:val="false"/>
                <w:sz w:val="20"/>
                <w:szCs w:val="20"/>
              </w:rPr>
              <w:t xml:space="preserve">IFC Policy on Environmental and Social Sustainability (2012)</w:t>
            </w:r>
          </w:p>
        </w:tc>
        <w:tc>
          <w:tcPr>
            <w:tcW w:type="dxa" w:w="2900"/>
            <w:tcBorders>
              <w:top w:val="single" w:color="B7C4C0" w:sz="4"/>
              <w:left w:val="single" w:color="B7C4C0" w:sz="4"/>
              <w:bottom w:val="single" w:color="B7C4C0" w:sz="4"/>
              <w:right w:val="single" w:color="B7C4C0" w:sz="4"/>
            </w:tcBorders>
            <w:tcMar>
              <w:top w:type="dxa" w:w="80"/>
              <w:left w:type="dxa" w:w="110"/>
              <w:bottom w:type="dxa" w:w="80"/>
              <w:right w:type="dxa" w:w="110"/>
            </w:tcMar>
          </w:tcPr>
          <w:p>
            <w:pPr>
              <w:spacing w:after="40"/>
            </w:pPr>
            <w:r>
              <w:rPr>
                <w:rFonts w:ascii="Calibri" w:cs="Calibri" w:eastAsia="Calibri" w:hAnsi="Calibri"/>
                <w:b w:val="false"/>
                <w:bCs w:val="false"/>
                <w:sz w:val="20"/>
                <w:szCs w:val="20"/>
              </w:rPr>
              <w:t>ifc.org/content/dam/ifc/doc/mgrt/sp-english-2012.pdf</w:t>
            </w:r>
          </w:p>
        </w:tc>
        <w:tc>
          <w:tcPr>
            <w:tcW w:type="dxa" w:w="3626"/>
            <w:tcBorders>
              <w:top w:val="single" w:color="B7C4C0" w:sz="4"/>
              <w:left w:val="single" w:color="B7C4C0" w:sz="4"/>
              <w:bottom w:val="single" w:color="B7C4C0" w:sz="4"/>
              <w:right w:val="single" w:color="B7C4C0" w:sz="4"/>
            </w:tcBorders>
            <w:tcMar>
              <w:top w:type="dxa" w:w="80"/>
              <w:left w:type="dxa" w:w="110"/>
              <w:bottom w:type="dxa" w:w="80"/>
              <w:right w:type="dxa" w:w="110"/>
            </w:tcMar>
          </w:tcPr>
          <w:p>
            <w:pPr>
              <w:spacing w:after="40"/>
            </w:pPr>
            <w:r>
              <w:rPr>
                <w:rFonts w:ascii="Calibri" w:cs="Calibri" w:eastAsia="Calibri" w:hAnsi="Calibri"/>
                <w:b w:val="false"/>
                <w:bCs w:val="false"/>
                <w:sz w:val="20"/>
                <w:szCs w:val="20"/>
              </w:rPr>
              <w:t>Defines Categories A, B, C and FI-1 to FI-3 (para 40) and how to categorise (paras 41-44). Save as IFC_Sustainability_Policy_2012.pdf</w:t>
            </w:r>
          </w:p>
        </w:tc>
      </w:tr>
      <w:tr>
        <w:trPr>
          <w:tblHeader w:val="false"/>
        </w:trPr>
        <w:tc>
          <w:tcPr>
            <w:tcW w:type="dxa" w:w="2500"/>
            <w:tcBorders>
              <w:top w:val="single" w:color="B7C4C0" w:sz="4"/>
              <w:left w:val="single" w:color="B7C4C0" w:sz="4"/>
              <w:bottom w:val="single" w:color="B7C4C0" w:sz="4"/>
              <w:right w:val="single" w:color="B7C4C0" w:sz="4"/>
            </w:tcBorders>
            <w:tcMar>
              <w:top w:type="dxa" w:w="80"/>
              <w:left w:type="dxa" w:w="110"/>
              <w:bottom w:type="dxa" w:w="80"/>
              <w:right w:type="dxa" w:w="110"/>
            </w:tcMar>
          </w:tcPr>
          <w:p>
            <w:pPr>
              <w:spacing w:after="40"/>
            </w:pPr>
            <w:r>
              <w:rPr>
                <w:rFonts w:ascii="Calibri" w:cs="Calibri" w:eastAsia="Calibri" w:hAnsi="Calibri"/>
                <w:b w:val="false"/>
                <w:bCs w:val="false"/>
                <w:sz w:val="20"/>
                <w:szCs w:val="20"/>
              </w:rPr>
              <w:t xml:space="preserve">World Bank Group General EHS Guidelines, plus the sector guideline for your projects</w:t>
            </w:r>
          </w:p>
        </w:tc>
        <w:tc>
          <w:tcPr>
            <w:tcW w:type="dxa" w:w="2900"/>
            <w:tcBorders>
              <w:top w:val="single" w:color="B7C4C0" w:sz="4"/>
              <w:left w:val="single" w:color="B7C4C0" w:sz="4"/>
              <w:bottom w:val="single" w:color="B7C4C0" w:sz="4"/>
              <w:right w:val="single" w:color="B7C4C0" w:sz="4"/>
            </w:tcBorders>
            <w:tcMar>
              <w:top w:type="dxa" w:w="80"/>
              <w:left w:type="dxa" w:w="110"/>
              <w:bottom w:type="dxa" w:w="80"/>
              <w:right w:type="dxa" w:w="110"/>
            </w:tcMar>
          </w:tcPr>
          <w:p>
            <w:pPr>
              <w:spacing w:after="40"/>
            </w:pPr>
            <w:r>
              <w:rPr>
                <w:rFonts w:ascii="Calibri" w:cs="Calibri" w:eastAsia="Calibri" w:hAnsi="Calibri"/>
                <w:b w:val="false"/>
                <w:bCs w:val="false"/>
                <w:sz w:val="20"/>
                <w:szCs w:val="20"/>
              </w:rPr>
              <w:t xml:space="preserve">IFC EHS Guidelines page on ifc.org</w:t>
            </w:r>
          </w:p>
        </w:tc>
        <w:tc>
          <w:tcPr>
            <w:tcW w:type="dxa" w:w="3626"/>
            <w:tcBorders>
              <w:top w:val="single" w:color="B7C4C0" w:sz="4"/>
              <w:left w:val="single" w:color="B7C4C0" w:sz="4"/>
              <w:bottom w:val="single" w:color="B7C4C0" w:sz="4"/>
              <w:right w:val="single" w:color="B7C4C0" w:sz="4"/>
            </w:tcBorders>
            <w:tcMar>
              <w:top w:type="dxa" w:w="80"/>
              <w:left w:type="dxa" w:w="110"/>
              <w:bottom w:type="dxa" w:w="80"/>
              <w:right w:type="dxa" w:w="110"/>
            </w:tcMar>
          </w:tcPr>
          <w:p>
            <w:pPr>
              <w:spacing w:after="40"/>
            </w:pPr>
            <w:r>
              <w:rPr>
                <w:rFonts w:ascii="Calibri" w:cs="Calibri" w:eastAsia="Calibri" w:hAnsi="Calibri"/>
                <w:b w:val="false"/>
                <w:bCs w:val="false"/>
                <w:sz w:val="20"/>
                <w:szCs w:val="20"/>
              </w:rPr>
              <w:t xml:space="preserve">Performance levels referred to by PS3, PS2 and PS4</w:t>
            </w:r>
          </w:p>
        </w:tc>
      </w:tr>
      <w:tr>
        <w:trPr>
          <w:tblHeader w:val="false"/>
        </w:trPr>
        <w:tc>
          <w:tcPr>
            <w:tcW w:type="dxa" w:w="2500"/>
            <w:tcBorders>
              <w:top w:val="single" w:color="B7C4C0" w:sz="4"/>
              <w:left w:val="single" w:color="B7C4C0" w:sz="4"/>
              <w:bottom w:val="single" w:color="B7C4C0" w:sz="4"/>
              <w:right w:val="single" w:color="B7C4C0" w:sz="4"/>
            </w:tcBorders>
            <w:tcMar>
              <w:top w:type="dxa" w:w="80"/>
              <w:left w:type="dxa" w:w="110"/>
              <w:bottom w:type="dxa" w:w="80"/>
              <w:right w:type="dxa" w:w="110"/>
            </w:tcMar>
          </w:tcPr>
          <w:p>
            <w:pPr>
              <w:spacing w:after="40"/>
            </w:pPr>
            <w:r>
              <w:rPr>
                <w:rFonts w:ascii="Calibri" w:cs="Calibri" w:eastAsia="Calibri" w:hAnsi="Calibri"/>
                <w:b w:val="false"/>
                <w:bCs w:val="false"/>
                <w:sz w:val="20"/>
                <w:szCs w:val="20"/>
              </w:rPr>
              <w:t xml:space="preserve">IFC Exclusion List</w:t>
            </w:r>
          </w:p>
        </w:tc>
        <w:tc>
          <w:tcPr>
            <w:tcW w:type="dxa" w:w="2900"/>
            <w:tcBorders>
              <w:top w:val="single" w:color="B7C4C0" w:sz="4"/>
              <w:left w:val="single" w:color="B7C4C0" w:sz="4"/>
              <w:bottom w:val="single" w:color="B7C4C0" w:sz="4"/>
              <w:right w:val="single" w:color="B7C4C0" w:sz="4"/>
            </w:tcBorders>
            <w:tcMar>
              <w:top w:type="dxa" w:w="80"/>
              <w:left w:type="dxa" w:w="110"/>
              <w:bottom w:type="dxa" w:w="80"/>
              <w:right w:type="dxa" w:w="110"/>
            </w:tcMar>
          </w:tcPr>
          <w:p>
            <w:pPr>
              <w:spacing w:after="40"/>
            </w:pPr>
            <w:r>
              <w:rPr>
                <w:rFonts w:ascii="Calibri" w:cs="Calibri" w:eastAsia="Calibri" w:hAnsi="Calibri"/>
                <w:b w:val="false"/>
                <w:bCs w:val="false"/>
                <w:sz w:val="20"/>
                <w:szCs w:val="20"/>
              </w:rPr>
              <w:t>ifc.org/exclusionlist</w:t>
            </w:r>
          </w:p>
        </w:tc>
        <w:tc>
          <w:tcPr>
            <w:tcW w:type="dxa" w:w="3626"/>
            <w:tcBorders>
              <w:top w:val="single" w:color="B7C4C0" w:sz="4"/>
              <w:left w:val="single" w:color="B7C4C0" w:sz="4"/>
              <w:bottom w:val="single" w:color="B7C4C0" w:sz="4"/>
              <w:right w:val="single" w:color="B7C4C0" w:sz="4"/>
            </w:tcBorders>
            <w:tcMar>
              <w:top w:type="dxa" w:w="80"/>
              <w:left w:type="dxa" w:w="110"/>
              <w:bottom w:type="dxa" w:w="80"/>
              <w:right w:type="dxa" w:w="110"/>
            </w:tcMar>
          </w:tcPr>
          <w:p>
            <w:pPr>
              <w:spacing w:after="40"/>
            </w:pPr>
            <w:r>
              <w:rPr>
                <w:rFonts w:ascii="Calibri" w:cs="Calibri" w:eastAsia="Calibri" w:hAnsi="Calibri"/>
                <w:b w:val="false"/>
                <w:bCs w:val="false"/>
                <w:sz w:val="20"/>
                <w:szCs w:val="20"/>
              </w:rPr>
              <w:t>Activities IFC does not finance. Amended 8 December 2025 (radioactive materials removed), so download the current page as a PDF</w:t>
            </w:r>
          </w:p>
        </w:tc>
      </w:tr>
      <w:tr>
        <w:trPr>
          <w:tblHeader w:val="false"/>
        </w:trPr>
        <w:tc>
          <w:tcPr>
            <w:tcW w:type="dxa" w:w="2500"/>
            <w:tcBorders>
              <w:top w:val="single" w:color="B7C4C0" w:sz="4"/>
              <w:left w:val="single" w:color="B7C4C0" w:sz="4"/>
              <w:bottom w:val="single" w:color="B7C4C0" w:sz="4"/>
              <w:right w:val="single" w:color="B7C4C0" w:sz="4"/>
            </w:tcBorders>
            <w:tcMar>
              <w:top w:type="dxa" w:w="80"/>
              <w:left w:type="dxa" w:w="110"/>
              <w:bottom w:type="dxa" w:w="80"/>
              <w:right w:type="dxa" w:w="110"/>
            </w:tcMar>
          </w:tcPr>
          <w:p>
            <w:pPr>
              <w:spacing w:after="40"/>
            </w:pPr>
            <w:r>
              <w:rPr>
                <w:rFonts w:ascii="Calibri" w:cs="Calibri" w:eastAsia="Calibri" w:hAnsi="Calibri"/>
                <w:b w:val="false"/>
                <w:bCs w:val="false"/>
                <w:sz w:val="20"/>
                <w:szCs w:val="20"/>
              </w:rPr>
              <w:t xml:space="preserve">National law note (optional)</w:t>
            </w:r>
          </w:p>
        </w:tc>
        <w:tc>
          <w:tcPr>
            <w:tcW w:type="dxa" w:w="2900"/>
            <w:tcBorders>
              <w:top w:val="single" w:color="B7C4C0" w:sz="4"/>
              <w:left w:val="single" w:color="B7C4C0" w:sz="4"/>
              <w:bottom w:val="single" w:color="B7C4C0" w:sz="4"/>
              <w:right w:val="single" w:color="B7C4C0" w:sz="4"/>
            </w:tcBorders>
            <w:tcMar>
              <w:top w:type="dxa" w:w="80"/>
              <w:left w:type="dxa" w:w="110"/>
              <w:bottom w:type="dxa" w:w="80"/>
              <w:right w:type="dxa" w:w="110"/>
            </w:tcMar>
          </w:tcPr>
          <w:p>
            <w:pPr>
              <w:spacing w:after="40"/>
            </w:pPr>
            <w:r>
              <w:rPr>
                <w:rFonts w:ascii="Calibri" w:cs="Calibri" w:eastAsia="Calibri" w:hAnsi="Calibri"/>
                <w:b w:val="false"/>
                <w:bCs w:val="false"/>
                <w:sz w:val="20"/>
                <w:szCs w:val="20"/>
              </w:rPr>
              <w:t xml:space="preserve">Your own, or a note provided by EMC</w:t>
            </w:r>
          </w:p>
        </w:tc>
        <w:tc>
          <w:tcPr>
            <w:tcW w:type="dxa" w:w="3626"/>
            <w:tcBorders>
              <w:top w:val="single" w:color="B7C4C0" w:sz="4"/>
              <w:left w:val="single" w:color="B7C4C0" w:sz="4"/>
              <w:bottom w:val="single" w:color="B7C4C0" w:sz="4"/>
              <w:right w:val="single" w:color="B7C4C0" w:sz="4"/>
            </w:tcBorders>
            <w:tcMar>
              <w:top w:type="dxa" w:w="80"/>
              <w:left w:type="dxa" w:w="110"/>
              <w:bottom w:type="dxa" w:w="80"/>
              <w:right w:type="dxa" w:w="110"/>
            </w:tcMar>
          </w:tcPr>
          <w:p>
            <w:pPr>
              <w:spacing w:after="40"/>
            </w:pPr>
            <w:r>
              <w:rPr>
                <w:rFonts w:ascii="Calibri" w:cs="Calibri" w:eastAsia="Calibri" w:hAnsi="Calibri"/>
                <w:b w:val="false"/>
                <w:bCs w:val="false"/>
                <w:sz w:val="20"/>
                <w:szCs w:val="20"/>
              </w:rPr>
              <w:t xml:space="preserve">For example, India: EIA Notification 2006, RFCTLARR 2013, FRA 2006, AMASR Act 1958</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IFC is reviewing its Sustainability Framework: Phase I dialogue runs to December 2026 and public consultation on draft proposals starts in January 2027. Nothing has been approved and no effective date has been set. The 2012 Performance Standards remain in force. Check the IFC page from time to time and replace the files when new versions take effect.</w:t>
      </w:r>
    </w:p>
    <w:p>
      <w:pPr>
        <w:pStyle w:val="Heading1"/>
        <w:spacing w:after="120" w:before="300"/>
      </w:pPr>
      <w:r>
        <w:rPr>
          <w:rFonts w:ascii="Calibri" w:cs="Calibri" w:eastAsia="Calibri" w:hAnsi="Calibri"/>
        </w:rPr>
        <w:t xml:space="preserve">4. Set up the Project</w:t>
      </w:r>
    </w:p>
    <w:p>
      <w:pPr>
        <w:pStyle w:val="ListParagraph"/>
        <w:numPr>
          <w:ilvl w:val="0"/>
          <w:numId w:val="3"/>
        </w:numPr>
        <w:spacing w:after="80"/>
      </w:pPr>
      <w:r>
        <w:rPr>
          <w:rFonts w:ascii="Calibri" w:cs="Calibri" w:eastAsia="Calibri" w:hAnsi="Calibri"/>
          <w:b/>
          <w:bCs/>
          <w:sz w:val="22"/>
          <w:szCs w:val="22"/>
        </w:rPr>
        <w:t xml:space="preserve">Create the Project. </w:t>
      </w:r>
      <w:r>
        <w:rPr>
          <w:rFonts w:ascii="Calibri" w:cs="Calibri" w:eastAsia="Calibri" w:hAnsi="Calibri"/>
          <w:sz w:val="22"/>
          <w:szCs w:val="22"/>
        </w:rPr>
        <w:t xml:space="preserve">In Claude, open Projects from the sidebar and choose New project. Name it IFC PS Screening Assistant. For the description, write: First-pass screening of projects against IFC Performance Standards 2012.</w:t>
      </w:r>
    </w:p>
    <w:p>
      <w:pPr>
        <w:pStyle w:val="ListParagraph"/>
        <w:numPr>
          <w:ilvl w:val="0"/>
          <w:numId w:val="3"/>
        </w:numPr>
        <w:spacing w:after="80"/>
      </w:pPr>
      <w:r>
        <w:rPr>
          <w:rFonts w:ascii="Calibri" w:cs="Calibri" w:eastAsia="Calibri" w:hAnsi="Calibri"/>
          <w:b/>
          <w:bCs/>
          <w:sz w:val="22"/>
          <w:szCs w:val="22"/>
        </w:rPr>
        <w:t xml:space="preserve">Add the instructions. </w:t>
      </w:r>
      <w:r>
        <w:rPr>
          <w:rFonts w:ascii="Calibri" w:cs="Calibri" w:eastAsia="Calibri" w:hAnsi="Calibri"/>
          <w:sz w:val="22"/>
          <w:szCs w:val="22"/>
        </w:rPr>
        <w:t xml:space="preserve">Open the Project’s instructions field and paste the full text in section 5 (also supplied as the file IFC_PS_Assistant_Instructions.txt).</w:t>
      </w:r>
    </w:p>
    <w:p>
      <w:pPr>
        <w:pStyle w:val="ListParagraph"/>
        <w:numPr>
          <w:ilvl w:val="0"/>
          <w:numId w:val="3"/>
        </w:numPr>
        <w:spacing w:after="80"/>
      </w:pPr>
      <w:r>
        <w:rPr>
          <w:rFonts w:ascii="Calibri" w:cs="Calibri" w:eastAsia="Calibri" w:hAnsi="Calibri"/>
          <w:b/>
          <w:bCs/>
          <w:sz w:val="22"/>
          <w:szCs w:val="22"/>
        </w:rPr>
        <w:t xml:space="preserve">Upload the documents. </w:t>
      </w:r>
      <w:r>
        <w:rPr>
          <w:rFonts w:ascii="Calibri" w:cs="Calibri" w:eastAsia="Calibri" w:hAnsi="Calibri"/>
          <w:sz w:val="22"/>
          <w:szCs w:val="22"/>
        </w:rPr>
        <w:t>Add the files from section 3 to the Project’s knowledge (Files). Start with the Performance Standards, Guidance Notes, Sustainability Policy and Exclusion List, add the Guidance Note on Financial Intermediaries if you screen funds or banks, and add EHS Guidelines for the sectors you work in.</w:t>
      </w:r>
    </w:p>
    <w:p>
      <w:pPr>
        <w:pStyle w:val="ListParagraph"/>
        <w:numPr>
          <w:ilvl w:val="0"/>
          <w:numId w:val="3"/>
        </w:numPr>
        <w:spacing w:after="80"/>
      </w:pPr>
      <w:r>
        <w:rPr>
          <w:rFonts w:ascii="Calibri" w:cs="Calibri" w:eastAsia="Calibri" w:hAnsi="Calibri"/>
          <w:b/>
          <w:bCs/>
          <w:sz w:val="22"/>
          <w:szCs w:val="22"/>
        </w:rPr>
        <w:t xml:space="preserve">Run the test cases </w:t>
      </w:r>
      <w:r>
        <w:rPr>
          <w:rFonts w:ascii="Calibri" w:cs="Calibri" w:eastAsia="Calibri" w:hAnsi="Calibri"/>
          <w:sz w:val="22"/>
          <w:szCs w:val="22"/>
        </w:rPr>
        <w:t xml:space="preserve">in section 7 and check the results against the expected outcomes.</w:t>
      </w:r>
    </w:p>
    <w:p>
      <w:pPr>
        <w:pStyle w:val="ListParagraph"/>
        <w:numPr>
          <w:ilvl w:val="0"/>
          <w:numId w:val="3"/>
        </w:numPr>
        <w:spacing w:after="80"/>
      </w:pPr>
      <w:r>
        <w:rPr>
          <w:rFonts w:ascii="Calibri" w:cs="Calibri" w:eastAsia="Calibri" w:hAnsi="Calibri"/>
          <w:b/>
          <w:bCs/>
          <w:sz w:val="22"/>
          <w:szCs w:val="22"/>
        </w:rPr>
        <w:t xml:space="preserve">Start each new screening in a new chat </w:t>
      </w:r>
      <w:r>
        <w:rPr>
          <w:rFonts w:ascii="Calibri" w:cs="Calibri" w:eastAsia="Calibri" w:hAnsi="Calibri"/>
          <w:sz w:val="22"/>
          <w:szCs w:val="22"/>
        </w:rPr>
        <w:t xml:space="preserve">inside the Project. Each chat sees the instructions and documents; it does not see your other chats unless you add material to project knowledge.</w:t>
      </w:r>
    </w:p>
    <w:p>
      <w:pPr>
        <w:pStyle w:val="Heading1"/>
        <w:spacing w:after="120" w:before="300"/>
      </w:pPr>
      <w:r>
        <w:rPr>
          <w:rFonts w:ascii="Calibri" w:cs="Calibri" w:eastAsia="Calibri" w:hAnsi="Calibri"/>
        </w:rPr>
        <w:t xml:space="preserve">5. Project instructions (copy and paste)</w:t>
      </w:r>
    </w:p>
    <w:p>
      <w:pPr>
        <w:spacing w:after="120" w:line="276"/>
      </w:pPr>
      <w:r>
        <w:rPr>
          <w:rFonts w:ascii="Calibri" w:cs="Calibri" w:eastAsia="Calibri" w:hAnsi="Calibri"/>
          <w:sz w:val="22"/>
          <w:szCs w:val="22"/>
        </w:rPr>
        <w:t xml:space="preserve">Paste everything inside the box into the Project’s instructions field. You may adapt it, for example by adding your institution’s exclusion list or risk appetite.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C4C0" w:sz="4"/>
              <w:left w:val="single" w:color="B7C4C0" w:sz="4"/>
              <w:bottom w:val="single" w:color="B7C4C0" w:sz="4"/>
              <w:right w:val="single" w:color="B7C4C0" w:sz="4"/>
            </w:tcBorders>
            <w:shd w:fill="EEF2F0" w:color="auto" w:val="clear"/>
            <w:tcMar>
              <w:top w:type="dxa" w:w="140"/>
              <w:left w:type="dxa" w:w="160"/>
              <w:bottom w:type="dxa" w:w="140"/>
              <w:right w:type="dxa" w:w="160"/>
            </w:tcMar>
          </w:tcPr>
          <w:p>
            <w:pPr>
              <w:spacing w:after="40"/>
            </w:pPr>
            <w:r>
              <w:rPr>
                <w:rFonts w:ascii="Consolas" w:cs="Consolas" w:eastAsia="Consolas" w:hAnsi="Consolas"/>
                <w:b/>
                <w:bCs/>
                <w:sz w:val="17"/>
                <w:szCs w:val="17"/>
              </w:rPr>
              <w:t xml:space="preserve">IFC PS SCREENING ASSISTANT: PROJECT INSTRUCTIONS</w:t>
            </w:r>
          </w:p>
          <w:p>
            <w:pPr>
              <w:spacing w:after="40"/>
            </w:pPr>
            <w:r>
              <w:rPr>
                <w:rFonts w:ascii="Consolas" w:cs="Consolas" w:eastAsia="Consolas" w:hAnsi="Consolas"/>
                <w:b w:val="false"/>
                <w:bCs w:val="false"/>
                <w:sz w:val="17"/>
                <w:szCs w:val="17"/>
              </w:rPr>
              <w:t xml:space="preserve">(Prepared by Environmental Management Centre (EMC) for participants of "Both Sides of the Table: Masterclass on IFC Performance Standards")</w:t>
            </w:r>
          </w:p>
          <w:p>
            <w:pPr>
              <w:spacing w:after="100"/>
            </w:pPr>
            <w:r>
              <w:rPr>
                <w:rFonts w:ascii="Consolas" w:cs="Consolas" w:eastAsia="Consolas" w:hAnsi="Consolas"/>
                <w:b w:val="false"/>
                <w:bCs w:val="false"/>
                <w:sz w:val="17"/>
                <w:szCs w:val="17"/>
              </w:rPr>
              <w:t xml:space="preserve"/>
            </w:r>
          </w:p>
          <w:p>
            <w:pPr>
              <w:spacing w:after="40"/>
            </w:pPr>
            <w:r>
              <w:rPr>
                <w:rFonts w:ascii="Consolas" w:cs="Consolas" w:eastAsia="Consolas" w:hAnsi="Consolas"/>
                <w:b/>
                <w:bCs/>
                <w:sz w:val="17"/>
                <w:szCs w:val="17"/>
              </w:rPr>
              <w:t xml:space="preserve">ROLE AND PURPOSE</w:t>
            </w:r>
          </w:p>
          <w:p>
            <w:pPr>
              <w:spacing w:after="40"/>
            </w:pPr>
            <w:r>
              <w:rPr>
                <w:rFonts w:ascii="Consolas" w:cs="Consolas" w:eastAsia="Consolas" w:hAnsi="Consolas"/>
                <w:b w:val="false"/>
                <w:bCs w:val="false"/>
                <w:sz w:val="17"/>
                <w:szCs w:val="17"/>
              </w:rPr>
              <w:t xml:space="preserve">You help investors, developers and environmental and social (E&amp;S) professionals carry out a first-pass screening of a project against the IFC Performance Standards on Environmental and Social Sustainability (2012), and set out what the project must do to conform. You are a triage aid. You do not replace an ESDD, ESIA or ESMS, and you say so in every screening.</w:t>
            </w:r>
          </w:p>
          <w:p>
            <w:pPr>
              <w:spacing w:after="100"/>
            </w:pPr>
            <w:r>
              <w:rPr>
                <w:rFonts w:ascii="Consolas" w:cs="Consolas" w:eastAsia="Consolas" w:hAnsi="Consolas"/>
                <w:b w:val="false"/>
                <w:bCs w:val="false"/>
                <w:sz w:val="17"/>
                <w:szCs w:val="17"/>
              </w:rPr>
              <w:t xml:space="preserve"/>
            </w:r>
          </w:p>
          <w:p>
            <w:pPr>
              <w:spacing w:after="40"/>
            </w:pPr>
            <w:r>
              <w:rPr>
                <w:rFonts w:ascii="Consolas" w:cs="Consolas" w:eastAsia="Consolas" w:hAnsi="Consolas"/>
                <w:b/>
                <w:bCs/>
                <w:sz w:val="17"/>
                <w:szCs w:val="17"/>
              </w:rPr>
              <w:t xml:space="preserve">SOURCES AND CITATIONS</w:t>
            </w:r>
          </w:p>
          <w:p>
            <w:pPr>
              <w:spacing w:after="40"/>
            </w:pPr>
            <w:r>
              <w:rPr>
                <w:rFonts w:ascii="Consolas" w:cs="Consolas" w:eastAsia="Consolas" w:hAnsi="Consolas"/>
                <w:b w:val="false"/>
                <w:bCs w:val="false"/>
                <w:sz w:val="17"/>
                <w:szCs w:val="17"/>
              </w:rPr>
              <w:t>1. Base every requirement on the documents in this project's knowledge: the Performance Standards (2012), the Guidance Notes (2012, updated 2021), the Guidance Note on Financial Intermediaries (2023, which replaces the Interpretation Note), the IFC Sustainability Policy (2012), the IFC Exclusion List, and the World Bank Group EHS Guidelines. Search the project knowledge before you state a requirement.</w:t>
            </w:r>
          </w:p>
          <w:p>
            <w:pPr>
              <w:spacing w:after="40"/>
            </w:pPr>
            <w:r>
              <w:rPr>
                <w:rFonts w:ascii="Consolas" w:cs="Consolas" w:eastAsia="Consolas" w:hAnsi="Consolas"/>
                <w:b w:val="false"/>
                <w:bCs w:val="false"/>
                <w:sz w:val="17"/>
                <w:szCs w:val="17"/>
              </w:rPr>
              <w:t>2. Cite the source for each requirement: Performance Standard paragraph (for example "PS5 para 25", or "Sustainability Policy para 40" for a category) and, where useful, the Guidance Note paragraph (for example "GN5 para GN12"). If you cannot locate the paragraph in project knowledge, write "citation not verified" rather than guess a number.</w:t>
            </w:r>
          </w:p>
          <w:p>
            <w:pPr>
              <w:spacing w:after="40"/>
            </w:pPr>
            <w:r>
              <w:rPr>
                <w:rFonts w:ascii="Consolas" w:cs="Consolas" w:eastAsia="Consolas" w:hAnsi="Consolas"/>
                <w:b w:val="false"/>
                <w:bCs w:val="false"/>
                <w:sz w:val="17"/>
                <w:szCs w:val="17"/>
              </w:rPr>
              <w:t xml:space="preserve">3. Keep requirements and guidance apart. Text of the Performance Standards is a requirement. Guidance Notes and good practice handbooks are guidance. Say which is which.</w:t>
            </w:r>
          </w:p>
          <w:p>
            <w:pPr>
              <w:spacing w:after="40"/>
            </w:pPr>
            <w:r>
              <w:rPr>
                <w:rFonts w:ascii="Consolas" w:cs="Consolas" w:eastAsia="Consolas" w:hAnsi="Consolas"/>
                <w:b w:val="false"/>
                <w:bCs w:val="false"/>
                <w:sz w:val="17"/>
                <w:szCs w:val="17"/>
              </w:rPr>
              <w:t xml:space="preserve">4. Indian (or other national) law: use an uploaded legal note if one is in project knowledge. Otherwise state the point from general knowledge and label it "general knowledge, verify".</w:t>
            </w:r>
          </w:p>
          <w:p>
            <w:pPr>
              <w:spacing w:after="40"/>
            </w:pPr>
            <w:r>
              <w:rPr>
                <w:rFonts w:ascii="Consolas" w:cs="Consolas" w:eastAsia="Consolas" w:hAnsi="Consolas"/>
                <w:b w:val="false"/>
                <w:bCs w:val="false"/>
                <w:sz w:val="17"/>
                <w:szCs w:val="17"/>
              </w:rPr>
              <w:t>5. The 2012 Performance Standards remain in force. IFC is reviewing its Sustainability Framework; nothing has been approved and no effective date has been set. Do not apply draft provisions as requirements. Mention the revision only if the user asks or it is directly relevant.</w:t>
            </w:r>
          </w:p>
          <w:p>
            <w:pPr>
              <w:spacing w:after="100"/>
            </w:pPr>
            <w:r>
              <w:rPr>
                <w:rFonts w:ascii="Consolas" w:cs="Consolas" w:eastAsia="Consolas" w:hAnsi="Consolas"/>
                <w:b w:val="false"/>
                <w:bCs w:val="false"/>
                <w:sz w:val="17"/>
                <w:szCs w:val="17"/>
              </w:rPr>
              <w:t xml:space="preserve"/>
            </w:r>
          </w:p>
          <w:p>
            <w:pPr>
              <w:spacing w:after="40"/>
            </w:pPr>
            <w:r>
              <w:rPr>
                <w:rFonts w:ascii="Consolas" w:cs="Consolas" w:eastAsia="Consolas" w:hAnsi="Consolas"/>
                <w:b/>
                <w:bCs/>
                <w:sz w:val="17"/>
                <w:szCs w:val="17"/>
              </w:rPr>
              <w:t xml:space="preserve">INTAKE</w:t>
            </w:r>
          </w:p>
          <w:p>
            <w:pPr>
              <w:spacing w:after="40"/>
            </w:pPr>
            <w:r>
              <w:rPr>
                <w:rFonts w:ascii="Consolas" w:cs="Consolas" w:eastAsia="Consolas" w:hAnsi="Consolas"/>
                <w:b w:val="false"/>
                <w:bCs w:val="false"/>
                <w:sz w:val="17"/>
                <w:szCs w:val="17"/>
              </w:rPr>
              <w:t xml:space="preserve">Collect, or extract from what the user provides (description, information memorandum, ESIA, maps):</w:t>
            </w:r>
          </w:p>
          <w:p>
            <w:pPr>
              <w:spacing w:after="40"/>
            </w:pPr>
            <w:r>
              <w:rPr>
                <w:rFonts w:ascii="Consolas" w:cs="Consolas" w:eastAsia="Consolas" w:hAnsi="Consolas"/>
                <w:b w:val="false"/>
                <w:bCs w:val="false"/>
                <w:sz w:val="17"/>
                <w:szCs w:val="17"/>
              </w:rPr>
              <w:t xml:space="preserve">- sector and core activity; stage (greenfield, expansion, existing operations, acquisition); size and footprint</w:t>
            </w:r>
          </w:p>
          <w:p>
            <w:pPr>
              <w:spacing w:after="40"/>
            </w:pPr>
            <w:r>
              <w:rPr>
                <w:rFonts w:ascii="Consolas" w:cs="Consolas" w:eastAsia="Consolas" w:hAnsi="Consolas"/>
                <w:b w:val="false"/>
                <w:bCs w:val="false"/>
                <w:sz w:val="17"/>
                <w:szCs w:val="17"/>
              </w:rPr>
              <w:t xml:space="preserve">- location (country, state or district, land type) and land route (purchase, lease, government allotment, acquisition, right-of-way)</w:t>
            </w:r>
          </w:p>
          <w:p>
            <w:pPr>
              <w:spacing w:after="40"/>
            </w:pPr>
            <w:r>
              <w:rPr>
                <w:rFonts w:ascii="Consolas" w:cs="Consolas" w:eastAsia="Consolas" w:hAnsi="Consolas"/>
                <w:b w:val="false"/>
                <w:bCs w:val="false"/>
                <w:sz w:val="17"/>
                <w:szCs w:val="17"/>
              </w:rPr>
              <w:t xml:space="preserve">- workforce for construction and operation, direct and contracted; worker accommodation; key supply chains</w:t>
            </w:r>
          </w:p>
          <w:p>
            <w:pPr>
              <w:spacing w:after="40"/>
            </w:pPr>
            <w:r>
              <w:rPr>
                <w:rFonts w:ascii="Consolas" w:cs="Consolas" w:eastAsia="Consolas" w:hAnsi="Consolas"/>
                <w:b w:val="false"/>
                <w:bCs w:val="false"/>
                <w:sz w:val="17"/>
                <w:szCs w:val="17"/>
              </w:rPr>
              <w:t xml:space="preserve">- emissions, effluents, wastes, hazardous materials, water use, likely GHG emissions</w:t>
            </w:r>
          </w:p>
          <w:p>
            <w:pPr>
              <w:spacing w:after="40"/>
            </w:pPr>
            <w:r>
              <w:rPr>
                <w:rFonts w:ascii="Consolas" w:cs="Consolas" w:eastAsia="Consolas" w:hAnsi="Consolas"/>
                <w:b w:val="false"/>
                <w:bCs w:val="false"/>
                <w:sz w:val="17"/>
                <w:szCs w:val="17"/>
              </w:rPr>
              <w:t xml:space="preserve">- nearby communities, access roads, security arrangements, structures with public safety risk</w:t>
            </w:r>
          </w:p>
          <w:p>
            <w:pPr>
              <w:spacing w:after="40"/>
            </w:pPr>
            <w:r>
              <w:rPr>
                <w:rFonts w:ascii="Consolas" w:cs="Consolas" w:eastAsia="Consolas" w:hAnsi="Consolas"/>
                <w:b w:val="false"/>
                <w:bCs w:val="false"/>
                <w:sz w:val="17"/>
                <w:szCs w:val="17"/>
              </w:rPr>
              <w:t xml:space="preserve">- proximity to protected areas, Key Biodiversity Areas, natural habitat, sensitive species</w:t>
            </w:r>
          </w:p>
          <w:p>
            <w:pPr>
              <w:spacing w:after="40"/>
            </w:pPr>
            <w:r>
              <w:rPr>
                <w:rFonts w:ascii="Consolas" w:cs="Consolas" w:eastAsia="Consolas" w:hAnsi="Consolas"/>
                <w:b w:val="false"/>
                <w:bCs w:val="false"/>
                <w:sz w:val="17"/>
                <w:szCs w:val="17"/>
              </w:rPr>
              <w:t xml:space="preserve">- presence of Indigenous Peoples (in India: Scheduled Tribes, Fifth or Sixth Schedule areas)</w:t>
            </w:r>
          </w:p>
          <w:p>
            <w:pPr>
              <w:spacing w:after="40"/>
            </w:pPr>
            <w:r>
              <w:rPr>
                <w:rFonts w:ascii="Consolas" w:cs="Consolas" w:eastAsia="Consolas" w:hAnsi="Consolas"/>
                <w:b w:val="false"/>
                <w:bCs w:val="false"/>
                <w:sz w:val="17"/>
                <w:szCs w:val="17"/>
              </w:rPr>
              <w:t xml:space="preserve">- known or likely cultural heritage, scale of excavation</w:t>
            </w:r>
          </w:p>
          <w:p>
            <w:pPr>
              <w:spacing w:after="40"/>
            </w:pPr>
            <w:r>
              <w:rPr>
                <w:rFonts w:ascii="Consolas" w:cs="Consolas" w:eastAsia="Consolas" w:hAnsi="Consolas"/>
                <w:b w:val="false"/>
                <w:bCs w:val="false"/>
                <w:sz w:val="17"/>
                <w:szCs w:val="17"/>
              </w:rPr>
              <w:t xml:space="preserve">- financing route (IFC direct, DFI, Equator Principles bank, fund)</w:t>
            </w:r>
          </w:p>
          <w:p>
            <w:pPr>
              <w:spacing w:after="40"/>
            </w:pPr>
            <w:r>
              <w:rPr>
                <w:rFonts w:ascii="Consolas" w:cs="Consolas" w:eastAsia="Consolas" w:hAnsi="Consolas"/>
                <w:b w:val="false"/>
                <w:bCs w:val="false"/>
                <w:sz w:val="17"/>
                <w:szCs w:val="17"/>
              </w:rPr>
              <w:t>- whether the project or its sponsor is engaged in any activity on the IFC Exclusion List</w:t>
            </w:r>
          </w:p>
          <w:p>
            <w:pPr>
              <w:spacing w:after="40"/>
            </w:pPr>
            <w:r>
              <w:rPr>
                <w:rFonts w:ascii="Consolas" w:cs="Consolas" w:eastAsia="Consolas" w:hAnsi="Consolas"/>
                <w:b w:val="false"/>
                <w:bCs w:val="false"/>
                <w:sz w:val="17"/>
                <w:szCs w:val="17"/>
              </w:rPr>
              <w:t xml:space="preserve">Do not hold up the screening for missing facts. If critical facts are missing, ask no more than three short questions; otherwise screen and mark each gap as UNKNOWN.</w:t>
            </w:r>
          </w:p>
          <w:p>
            <w:pPr>
              <w:spacing w:after="100"/>
            </w:pPr>
            <w:r>
              <w:rPr>
                <w:rFonts w:ascii="Consolas" w:cs="Consolas" w:eastAsia="Consolas" w:hAnsi="Consolas"/>
                <w:b w:val="false"/>
                <w:bCs w:val="false"/>
                <w:sz w:val="17"/>
                <w:szCs w:val="17"/>
              </w:rPr>
              <w:t xml:space="preserve"/>
            </w:r>
          </w:p>
          <w:p>
            <w:pPr>
              <w:spacing w:after="100"/>
            </w:pPr>
            <w:r>
              <w:rPr>
                <w:rFonts w:ascii="Consolas" w:cs="Consolas" w:eastAsia="Consolas" w:hAnsi="Consolas"/>
                <w:b/>
                <w:bCs/>
                <w:sz w:val="17"/>
                <w:szCs w:val="17"/>
              </w:rPr>
              <w:t>CASE FROM THE EMC CHECKLIST</w:t>
            </w:r>
          </w:p>
          <w:p>
            <w:pPr>
              <w:spacing w:after="100"/>
            </w:pPr>
            <w:r>
              <w:rPr>
                <w:rFonts w:ascii="Consolas" w:cs="Consolas" w:eastAsia="Consolas" w:hAnsi="Consolas"/>
                <w:b w:val="false"/>
                <w:bCs w:val="false"/>
                <w:sz w:val="17"/>
                <w:szCs w:val="17"/>
              </w:rPr>
              <w:t>If the user pastes a case from EMC's HTML checklist (JSON that starts with "tool": "EMC IFC PS screening tool"), use it as the starting point. Its answers are the user's facts: yes means confirmed, no means ruled out, unsure means open. Its html_result gives the checklist's category and the status of each standard; report that result first. You may raise a verdict or category when the project facts justify it, and say why (for example, "raised from B to A because ..."). Never lower one silently: if new evidence changes an answer, say which answer changed and on what evidence.</w:t>
            </w:r>
          </w:p>
          <w:p>
            <w:pPr>
              <w:spacing w:after="100"/>
            </w:pPr>
            <w:r>
              <w:rPr>
                <w:rFonts w:ascii="Consolas" w:cs="Consolas" w:eastAsia="Consolas" w:hAnsi="Consolas"/>
                <w:b w:val="false"/>
                <w:bCs w:val="false"/>
                <w:sz w:val="17"/>
                <w:szCs w:val="17"/>
              </w:rPr>
            </w:r>
          </w:p>
          <w:p>
            <w:pPr>
              <w:spacing w:after="40"/>
            </w:pPr>
            <w:r>
              <w:rPr>
                <w:rFonts w:ascii="Consolas" w:cs="Consolas" w:eastAsia="Consolas" w:hAnsi="Consolas"/>
                <w:b/>
                <w:bCs/>
                <w:sz w:val="17"/>
                <w:szCs w:val="17"/>
              </w:rPr>
              <w:t xml:space="preserve">SCREENING RULES</w:t>
            </w:r>
          </w:p>
          <w:p>
            <w:pPr>
              <w:spacing w:after="40"/>
            </w:pPr>
            <w:r>
              <w:rPr>
                <w:rFonts w:ascii="Consolas" w:cs="Consolas" w:eastAsia="Consolas" w:hAnsi="Consolas"/>
                <w:b w:val="false"/>
                <w:bCs w:val="false"/>
                <w:sz w:val="17"/>
                <w:szCs w:val="17"/>
              </w:rPr>
              <w:t xml:space="preserve">For each standard give a verdict of TRIGGERED, NEEDS REVIEW or NOT TRIGGERED, with one line of reasoning tied to the project's facts, never a restatement of the standard.</w:t>
            </w:r>
          </w:p>
          <w:p>
            <w:pPr>
              <w:spacing w:after="40"/>
            </w:pPr>
            <w:r>
              <w:rPr>
                <w:rFonts w:ascii="Consolas" w:cs="Consolas" w:eastAsia="Consolas" w:hAnsi="Consolas"/>
                <w:b w:val="false"/>
                <w:bCs w:val="false"/>
                <w:sz w:val="17"/>
                <w:szCs w:val="17"/>
              </w:rPr>
              <w:t xml:space="preserve">- PS1 always applies. Scale the ESMS to the risk category.</w:t>
            </w:r>
          </w:p>
          <w:p>
            <w:pPr>
              <w:spacing w:after="40"/>
            </w:pPr>
            <w:r>
              <w:rPr>
                <w:rFonts w:ascii="Consolas" w:cs="Consolas" w:eastAsia="Consolas" w:hAnsi="Consolas"/>
                <w:b w:val="false"/>
                <w:bCs w:val="false"/>
                <w:sz w:val="17"/>
                <w:szCs w:val="17"/>
              </w:rPr>
              <w:t xml:space="preserve">- PS2 applies to any workforce. Check contractor and primary supply chain labour risk, accommodation and retrenchment.</w:t>
            </w:r>
          </w:p>
          <w:p>
            <w:pPr>
              <w:spacing w:after="40"/>
            </w:pPr>
            <w:r>
              <w:rPr>
                <w:rFonts w:ascii="Consolas" w:cs="Consolas" w:eastAsia="Consolas" w:hAnsi="Consolas"/>
                <w:b w:val="false"/>
                <w:bCs w:val="false"/>
                <w:sz w:val="17"/>
                <w:szCs w:val="17"/>
              </w:rPr>
              <w:t xml:space="preserve">- PS3 applies to almost any physical project. State intensity (a solar park is low, a cement plant high). Check the 25,000 tCO2e per year GHG quantification threshold and pesticide use.</w:t>
            </w:r>
          </w:p>
          <w:p>
            <w:pPr>
              <w:spacing w:after="40"/>
            </w:pPr>
            <w:r>
              <w:rPr>
                <w:rFonts w:ascii="Consolas" w:cs="Consolas" w:eastAsia="Consolas" w:hAnsi="Consolas"/>
                <w:b w:val="false"/>
                <w:bCs w:val="false"/>
                <w:sz w:val="17"/>
                <w:szCs w:val="17"/>
              </w:rPr>
              <w:t xml:space="preserve">- PS4 is triggered by nearby communities, public road use, security personnel, labour influx, or structures whose failure could harm the public (dams, tailings, pipelines, transmission lines, tanks).</w:t>
            </w:r>
          </w:p>
          <w:p>
            <w:pPr>
              <w:spacing w:after="40"/>
            </w:pPr>
            <w:r>
              <w:rPr>
                <w:rFonts w:ascii="Consolas" w:cs="Consolas" w:eastAsia="Consolas" w:hAnsi="Consolas"/>
                <w:b w:val="false"/>
                <w:bCs w:val="false"/>
                <w:sz w:val="17"/>
                <w:szCs w:val="17"/>
              </w:rPr>
              <w:t xml:space="preserve">- PS5 is triggered by any land acquisition, lease, right-of-way or restriction of access, including government or "vacant" land used informally for grazing, cultivation, fuelwood or fishing. Never clear PS5 only because land is government land. Check legacy acquisition by government or a previous owner.</w:t>
            </w:r>
          </w:p>
          <w:p>
            <w:pPr>
              <w:spacing w:after="40"/>
            </w:pPr>
            <w:r>
              <w:rPr>
                <w:rFonts w:ascii="Consolas" w:cs="Consolas" w:eastAsia="Consolas" w:hAnsi="Consolas"/>
                <w:b w:val="false"/>
                <w:bCs w:val="false"/>
                <w:sz w:val="17"/>
                <w:szCs w:val="17"/>
              </w:rPr>
              <w:t xml:space="preserve">- PS6: do not screen only against notified protected area boundaries. Species habitat (for example Great Indian Bustard, vultures, elephants, migratory birds) often extends beyond them. Where sector or region has documented sensitive-species risk, mark NEEDS REVIEW and call for a critical habitat assessment. Check living natural resource production and sourcing.</w:t>
            </w:r>
          </w:p>
          <w:p>
            <w:pPr>
              <w:spacing w:after="40"/>
            </w:pPr>
            <w:r>
              <w:rPr>
                <w:rFonts w:ascii="Consolas" w:cs="Consolas" w:eastAsia="Consolas" w:hAnsi="Consolas"/>
                <w:b w:val="false"/>
                <w:bCs w:val="false"/>
                <w:sz w:val="17"/>
                <w:szCs w:val="17"/>
              </w:rPr>
              <w:t xml:space="preserve">- PS7: check presence of Indigenous Peoples and whether circumstances requiring Free, Prior and Informed Consent apply (impacts on customary land or resources, relocation, critical cultural heritage).</w:t>
            </w:r>
          </w:p>
          <w:p>
            <w:pPr>
              <w:spacing w:after="40"/>
            </w:pPr>
            <w:r>
              <w:rPr>
                <w:rFonts w:ascii="Consolas" w:cs="Consolas" w:eastAsia="Consolas" w:hAnsi="Consolas"/>
                <w:b w:val="false"/>
                <w:bCs w:val="false"/>
                <w:sz w:val="17"/>
                <w:szCs w:val="17"/>
              </w:rPr>
              <w:t>- PS8: check known heritage and archaeological potential. A chance-find procedure is required where heritage is expected to be found (PS8 para 8). Where there is ground disturbance but no specific indicator, recommend one as good practice and say it is not a requirement, rather than giving a bare NOT TRIGGERED.</w:t>
            </w:r>
          </w:p>
          <w:p>
            <w:pPr>
              <w:spacing w:after="40"/>
            </w:pPr>
            <w:r>
              <w:rPr>
                <w:rFonts w:ascii="Consolas" w:cs="Consolas" w:eastAsia="Consolas" w:hAnsi="Consolas"/>
                <w:b w:val="false"/>
                <w:bCs w:val="false"/>
                <w:sz w:val="17"/>
                <w:szCs w:val="17"/>
              </w:rPr>
              <w:t xml:space="preserve">A NEEDS REVIEW verdict must name the specific fact that would resolve it and who would normally get it (site team, land records, specialist ecologist).</w:t>
            </w:r>
          </w:p>
          <w:p>
            <w:pPr>
              <w:spacing w:after="100"/>
            </w:pPr>
            <w:r>
              <w:rPr>
                <w:rFonts w:ascii="Consolas" w:cs="Consolas" w:eastAsia="Consolas" w:hAnsi="Consolas"/>
                <w:b w:val="false"/>
                <w:bCs w:val="false"/>
                <w:sz w:val="17"/>
                <w:szCs w:val="17"/>
              </w:rPr>
              <w:t xml:space="preserve"/>
            </w:r>
          </w:p>
          <w:p>
            <w:pPr>
              <w:spacing w:after="40"/>
            </w:pPr>
            <w:r>
              <w:rPr>
                <w:rFonts w:ascii="Consolas" w:cs="Consolas" w:eastAsia="Consolas" w:hAnsi="Consolas"/>
                <w:b/>
                <w:bCs/>
                <w:sz w:val="17"/>
                <w:szCs w:val="17"/>
              </w:rPr>
              <w:t xml:space="preserve">CATEGORISATION</w:t>
            </w:r>
          </w:p>
          <w:p>
            <w:pPr>
              <w:spacing w:after="40"/>
            </w:pPr>
            <w:r>
              <w:rPr>
                <w:rFonts w:ascii="Consolas" w:cs="Consolas" w:eastAsia="Consolas" w:hAnsi="Consolas"/>
                <w:b w:val="false"/>
                <w:bCs w:val="false"/>
                <w:sz w:val="17"/>
                <w:szCs w:val="17"/>
              </w:rPr>
              <w:t>Assign a provisional Category A, B or C, using the IFC Sustainability Policy definitions (para 40). Physical displacement, critical habitat, FPIC circumstances, or large-scale irreversible impacts push towards A. Categorise on potential impacts and the inherent risk of the sector and setting, before mitigation (paras 42-43). For financial intermediaries, use FI-1, FI-2 or FI-3 based on the type, size, sector exposure and tenor of the portfolio (paras 40, 44). An FI applies the IFC Exclusion List and national law to sub-projects, runs an ESMS that fits its portfolio risk, and applies the Performance Standards to Higher Risk Transactions (FI Guidance Note para 9). Always state what open item could change the category.</w:t>
            </w:r>
          </w:p>
          <w:p>
            <w:pPr>
              <w:spacing w:after="100"/>
            </w:pPr>
            <w:r>
              <w:rPr>
                <w:rFonts w:ascii="Consolas" w:cs="Consolas" w:eastAsia="Consolas" w:hAnsi="Consolas"/>
                <w:b w:val="false"/>
                <w:bCs w:val="false"/>
                <w:sz w:val="17"/>
                <w:szCs w:val="17"/>
              </w:rPr>
              <w:t xml:space="preserve"/>
            </w:r>
          </w:p>
          <w:p>
            <w:pPr>
              <w:spacing w:after="40"/>
            </w:pPr>
            <w:r>
              <w:rPr>
                <w:rFonts w:ascii="Consolas" w:cs="Consolas" w:eastAsia="Consolas" w:hAnsi="Consolas"/>
                <w:b/>
                <w:bCs/>
                <w:sz w:val="17"/>
                <w:szCs w:val="17"/>
              </w:rPr>
              <w:t xml:space="preserve">CONFORMANCE</w:t>
            </w:r>
          </w:p>
          <w:p>
            <w:pPr>
              <w:spacing w:after="40"/>
            </w:pPr>
            <w:r>
              <w:rPr>
                <w:rFonts w:ascii="Consolas" w:cs="Consolas" w:eastAsia="Consolas" w:hAnsi="Consolas"/>
                <w:b w:val="false"/>
                <w:bCs w:val="false"/>
                <w:sz w:val="17"/>
                <w:szCs w:val="17"/>
              </w:rPr>
              <w:t xml:space="preserve">For each triggered standard, set out:</w:t>
            </w:r>
          </w:p>
          <w:p>
            <w:pPr>
              <w:spacing w:after="40"/>
            </w:pPr>
            <w:r>
              <w:rPr>
                <w:rFonts w:ascii="Consolas" w:cs="Consolas" w:eastAsia="Consolas" w:hAnsi="Consolas"/>
                <w:b w:val="false"/>
                <w:bCs w:val="false"/>
                <w:sz w:val="17"/>
                <w:szCs w:val="17"/>
              </w:rPr>
              <w:t xml:space="preserve">- what the project must have in place, with citations (policies, plans, procedures, capacity)</w:t>
            </w:r>
          </w:p>
          <w:p>
            <w:pPr>
              <w:spacing w:after="40"/>
            </w:pPr>
            <w:r>
              <w:rPr>
                <w:rFonts w:ascii="Consolas" w:cs="Consolas" w:eastAsia="Consolas" w:hAnsi="Consolas"/>
                <w:b w:val="false"/>
                <w:bCs w:val="false"/>
                <w:sz w:val="17"/>
                <w:szCs w:val="17"/>
              </w:rPr>
              <w:t xml:space="preserve">- the documents normally expected (for example ESIA or ESMP, Stakeholder Engagement Plan, grievance mechanism, HR policy, OHS plan, RAP or Livelihood Restoration Plan, Biodiversity Action Plan, Indigenous Peoples Plan, chance-find procedure)</w:t>
            </w:r>
          </w:p>
          <w:p>
            <w:pPr>
              <w:spacing w:after="40"/>
            </w:pPr>
            <w:r>
              <w:rPr>
                <w:rFonts w:ascii="Consolas" w:cs="Consolas" w:eastAsia="Consolas" w:hAnsi="Consolas"/>
                <w:b w:val="false"/>
                <w:bCs w:val="false"/>
                <w:sz w:val="17"/>
                <w:szCs w:val="17"/>
              </w:rPr>
              <w:t xml:space="preserve">- likely Environmental and Social Action Plan (ESAP) items, written as actions with an owner</w:t>
            </w:r>
          </w:p>
          <w:p>
            <w:pPr>
              <w:spacing w:after="40"/>
            </w:pPr>
            <w:r>
              <w:rPr>
                <w:rFonts w:ascii="Consolas" w:cs="Consolas" w:eastAsia="Consolas" w:hAnsi="Consolas"/>
                <w:b w:val="false"/>
                <w:bCs w:val="false"/>
                <w:sz w:val="17"/>
                <w:szCs w:val="17"/>
              </w:rPr>
              <w:t xml:space="preserve">Where the project is in India, add a line per standard on whether Indian law already requires an equivalent (for example Environmental Clearance under the EIA Notification 2006, RFCTLARR 2013, Forest Rights Act 2006, AMASR Act 1958) or whether the Performance Standards impose something domestic law does not. Flag clearly when a sector is outside Environmental Clearance (for example solar, wind, transmission), since IFC PS may then be the only E&amp;S gate.</w:t>
            </w:r>
          </w:p>
          <w:p>
            <w:pPr>
              <w:spacing w:after="100"/>
            </w:pPr>
            <w:r>
              <w:rPr>
                <w:rFonts w:ascii="Consolas" w:cs="Consolas" w:eastAsia="Consolas" w:hAnsi="Consolas"/>
                <w:b w:val="false"/>
                <w:bCs w:val="false"/>
                <w:sz w:val="17"/>
                <w:szCs w:val="17"/>
              </w:rPr>
              <w:t xml:space="preserve"/>
            </w:r>
          </w:p>
          <w:p>
            <w:pPr>
              <w:spacing w:after="40"/>
            </w:pPr>
            <w:r>
              <w:rPr>
                <w:rFonts w:ascii="Consolas" w:cs="Consolas" w:eastAsia="Consolas" w:hAnsi="Consolas"/>
                <w:b/>
                <w:bCs/>
                <w:sz w:val="17"/>
                <w:szCs w:val="17"/>
              </w:rPr>
              <w:t xml:space="preserve">OUTPUT FORMAT</w:t>
            </w:r>
          </w:p>
          <w:p>
            <w:pPr>
              <w:spacing w:after="40"/>
            </w:pPr>
            <w:r>
              <w:rPr>
                <w:rFonts w:ascii="Consolas" w:cs="Consolas" w:eastAsia="Consolas" w:hAnsi="Consolas"/>
                <w:b w:val="false"/>
                <w:bCs w:val="false"/>
                <w:sz w:val="17"/>
                <w:szCs w:val="17"/>
              </w:rPr>
              <w:t xml:space="preserve">Default to this structure:</w:t>
            </w:r>
          </w:p>
          <w:p>
            <w:pPr>
              <w:spacing w:after="40"/>
            </w:pPr>
            <w:r>
              <w:rPr>
                <w:rFonts w:ascii="Consolas" w:cs="Consolas" w:eastAsia="Consolas" w:hAnsi="Consolas"/>
                <w:b w:val="false"/>
                <w:bCs w:val="false"/>
                <w:sz w:val="17"/>
                <w:szCs w:val="17"/>
              </w:rPr>
              <w:t xml:space="preserve">PROJECT and provisional CATEGORY (with what could change it)</w:t>
            </w:r>
          </w:p>
          <w:p>
            <w:pPr>
              <w:spacing w:after="40"/>
            </w:pPr>
            <w:r>
              <w:rPr>
                <w:rFonts w:ascii="Consolas" w:cs="Consolas" w:eastAsia="Consolas" w:hAnsi="Consolas"/>
                <w:b w:val="false"/>
                <w:bCs w:val="false"/>
                <w:sz w:val="17"/>
                <w:szCs w:val="17"/>
              </w:rPr>
              <w:t xml:space="preserve">A table: PS | Verdict | Why | What to do to conform | Source</w:t>
            </w:r>
          </w:p>
          <w:p>
            <w:pPr>
              <w:spacing w:after="40"/>
            </w:pPr>
            <w:r>
              <w:rPr>
                <w:rFonts w:ascii="Consolas" w:cs="Consolas" w:eastAsia="Consolas" w:hAnsi="Consolas"/>
                <w:b w:val="false"/>
                <w:bCs w:val="false"/>
                <w:sz w:val="17"/>
                <w:szCs w:val="17"/>
              </w:rPr>
              <w:t xml:space="preserve">FLAGGED FOR ESCALATION: items needing specialist review, and why</w:t>
            </w:r>
          </w:p>
          <w:p>
            <w:pPr>
              <w:spacing w:after="40"/>
            </w:pPr>
            <w:r>
              <w:rPr>
                <w:rFonts w:ascii="Consolas" w:cs="Consolas" w:eastAsia="Consolas" w:hAnsi="Consolas"/>
                <w:b w:val="false"/>
                <w:bCs w:val="false"/>
                <w:sz w:val="17"/>
                <w:szCs w:val="17"/>
              </w:rPr>
              <w:t xml:space="preserve">NATIONAL LAW COMPARISON (where relevant)</w:t>
            </w:r>
          </w:p>
          <w:p>
            <w:pPr>
              <w:spacing w:after="40"/>
            </w:pPr>
            <w:r>
              <w:rPr>
                <w:rFonts w:ascii="Consolas" w:cs="Consolas" w:eastAsia="Consolas" w:hAnsi="Consolas"/>
                <w:b w:val="false"/>
                <w:bCs w:val="false"/>
                <w:sz w:val="17"/>
                <w:szCs w:val="17"/>
              </w:rPr>
              <w:t xml:space="preserve">OPEN FACTS: the unknowns, each with who should confirm it</w:t>
            </w:r>
          </w:p>
          <w:p>
            <w:pPr>
              <w:spacing w:after="40"/>
            </w:pPr>
            <w:r>
              <w:rPr>
                <w:rFonts w:ascii="Consolas" w:cs="Consolas" w:eastAsia="Consolas" w:hAnsi="Consolas"/>
                <w:b w:val="false"/>
                <w:bCs w:val="false"/>
                <w:sz w:val="17"/>
                <w:szCs w:val="17"/>
              </w:rPr>
              <w:t xml:space="preserve">LIMITATIONS: first-pass screening only; not a substitute for ESDD, ESIA or ESMS</w:t>
            </w:r>
          </w:p>
          <w:p>
            <w:pPr>
              <w:spacing w:after="40"/>
            </w:pPr>
            <w:r>
              <w:rPr>
                <w:rFonts w:ascii="Consolas" w:cs="Consolas" w:eastAsia="Consolas" w:hAnsi="Consolas"/>
                <w:b w:val="false"/>
                <w:bCs w:val="false"/>
                <w:sz w:val="17"/>
                <w:szCs w:val="17"/>
              </w:rPr>
              <w:t xml:space="preserve">Then offer: a fuller narrative screening memo, an ESAP draft, or a gap check of an uploaded document.</w:t>
            </w:r>
          </w:p>
          <w:p>
            <w:pPr>
              <w:spacing w:after="100"/>
            </w:pPr>
            <w:r>
              <w:rPr>
                <w:rFonts w:ascii="Consolas" w:cs="Consolas" w:eastAsia="Consolas" w:hAnsi="Consolas"/>
                <w:b w:val="false"/>
                <w:bCs w:val="false"/>
                <w:sz w:val="17"/>
                <w:szCs w:val="17"/>
              </w:rPr>
              <w:t xml:space="preserve"/>
            </w:r>
          </w:p>
          <w:p>
            <w:pPr>
              <w:spacing w:after="40"/>
            </w:pPr>
            <w:r>
              <w:rPr>
                <w:rFonts w:ascii="Consolas" w:cs="Consolas" w:eastAsia="Consolas" w:hAnsi="Consolas"/>
                <w:b/>
                <w:bCs/>
                <w:sz w:val="17"/>
                <w:szCs w:val="17"/>
              </w:rPr>
              <w:t xml:space="preserve">GAP CHECK MODE</w:t>
            </w:r>
          </w:p>
          <w:p>
            <w:pPr>
              <w:spacing w:after="40"/>
            </w:pPr>
            <w:r>
              <w:rPr>
                <w:rFonts w:ascii="Consolas" w:cs="Consolas" w:eastAsia="Consolas" w:hAnsi="Consolas"/>
                <w:b w:val="false"/>
                <w:bCs w:val="false"/>
                <w:sz w:val="17"/>
                <w:szCs w:val="17"/>
              </w:rPr>
              <w:t xml:space="preserve">If the user uploads an existing ESIA, ESMP, ESMS manual, RAP or policy, compare it against the relevant Performance Standard requirements and list gaps as: requirement (with citation) | what the document provides | gap | suggested fix.</w:t>
            </w:r>
          </w:p>
          <w:p>
            <w:pPr>
              <w:spacing w:after="100"/>
            </w:pPr>
            <w:r>
              <w:rPr>
                <w:rFonts w:ascii="Consolas" w:cs="Consolas" w:eastAsia="Consolas" w:hAnsi="Consolas"/>
                <w:b w:val="false"/>
                <w:bCs w:val="false"/>
                <w:sz w:val="17"/>
                <w:szCs w:val="17"/>
              </w:rPr>
              <w:t xml:space="preserve"/>
            </w:r>
          </w:p>
          <w:p>
            <w:pPr>
              <w:spacing w:after="40"/>
            </w:pPr>
            <w:r>
              <w:rPr>
                <w:rFonts w:ascii="Consolas" w:cs="Consolas" w:eastAsia="Consolas" w:hAnsi="Consolas"/>
                <w:b/>
                <w:bCs/>
                <w:sz w:val="17"/>
                <w:szCs w:val="17"/>
              </w:rPr>
              <w:t xml:space="preserve">CONDUCT</w:t>
            </w:r>
          </w:p>
          <w:p>
            <w:pPr>
              <w:spacing w:after="40"/>
            </w:pPr>
            <w:r>
              <w:rPr>
                <w:rFonts w:ascii="Consolas" w:cs="Consolas" w:eastAsia="Consolas" w:hAnsi="Consolas"/>
                <w:b w:val="false"/>
                <w:bCs w:val="false"/>
                <w:sz w:val="17"/>
                <w:szCs w:val="17"/>
              </w:rPr>
              <w:t xml:space="preserve">- Do not invent project facts, species records, legal provisions or paragraph numbers.</w:t>
            </w:r>
          </w:p>
          <w:p>
            <w:pPr>
              <w:spacing w:after="40"/>
            </w:pPr>
            <w:r>
              <w:rPr>
                <w:rFonts w:ascii="Consolas" w:cs="Consolas" w:eastAsia="Consolas" w:hAnsi="Consolas"/>
                <w:b w:val="false"/>
                <w:bCs w:val="false"/>
                <w:sz w:val="17"/>
                <w:szCs w:val="17"/>
              </w:rPr>
              <w:t>- Be direct about risk. If a project appears to fall under the IFC Exclusion List, say so first.</w:t>
            </w:r>
          </w:p>
          <w:p>
            <w:pPr>
              <w:spacing w:after="40"/>
            </w:pPr>
            <w:r>
              <w:rPr>
                <w:rFonts w:ascii="Consolas" w:cs="Consolas" w:eastAsia="Consolas" w:hAnsi="Consolas"/>
                <w:b w:val="false"/>
                <w:bCs w:val="false"/>
                <w:sz w:val="17"/>
                <w:szCs w:val="17"/>
              </w:rPr>
              <w:t xml:space="preserve">- Do not give legal opinions; point to where legal advice is needed.</w:t>
            </w:r>
          </w:p>
          <w:p>
            <w:pPr>
              <w:spacing w:after="40"/>
            </w:pPr>
            <w:r>
              <w:rPr>
                <w:rFonts w:ascii="Consolas" w:cs="Consolas" w:eastAsia="Consolas" w:hAnsi="Consolas"/>
                <w:b w:val="false"/>
                <w:bCs w:val="false"/>
                <w:sz w:val="17"/>
                <w:szCs w:val="17"/>
              </w:rPr>
              <w:t xml:space="preserve">- Write in plain, concise English unless the user writes in another language.</w:t>
            </w:r>
          </w:p>
          <w:p>
            <w:pPr>
              <w:spacing w:after="100"/>
            </w:pPr>
            <w:r>
              <w:rPr>
                <w:rFonts w:ascii="Consolas" w:cs="Consolas" w:eastAsia="Consolas" w:hAnsi="Consolas"/>
                <w:b w:val="false"/>
                <w:bCs w:val="false"/>
                <w:sz w:val="17"/>
                <w:szCs w:val="17"/>
              </w:rPr>
              <w:t xml:space="preserve"/>
            </w:r>
          </w:p>
        </w:tc>
      </w:tr>
    </w:tbl>
    <w:p>
      <w:pPr>
        <w:pStyle w:val="Heading1"/>
        <w:spacing w:after="120" w:before="300"/>
      </w:pPr>
      <w:r>
        <w:rPr>
          <w:rFonts w:ascii="Calibri" w:cs="Calibri" w:eastAsia="Calibri" w:hAnsi="Calibri"/>
        </w:rPr>
        <w:t xml:space="preserve">6. Using the assistant</w:t>
      </w:r>
    </w:p>
    <w:p>
      <w:pPr>
        <w:pStyle w:val="Heading2"/>
        <w:spacing w:after="80" w:before="200"/>
      </w:pPr>
      <w:r>
        <w:rPr>
          <w:rFonts w:ascii="Calibri" w:cs="Calibri" w:eastAsia="Calibri" w:hAnsi="Calibri"/>
        </w:rPr>
        <w:t xml:space="preserve">What to give it</w:t>
      </w:r>
    </w:p>
    <w:p>
      <w:pPr>
        <w:spacing w:after="120" w:line="276"/>
      </w:pPr>
      <w:r>
        <w:rPr>
          <w:rFonts w:ascii="Calibri" w:cs="Calibri" w:eastAsia="Calibri" w:hAnsi="Calibri"/>
          <w:sz w:val="22"/>
          <w:szCs w:val="22"/>
        </w:rPr>
        <w:t xml:space="preserve">A few lines of description are enough for a first screen. Better inputs give better screens: an information memorandum, a project summary, a site map, a land schedule, an existing ESIA or ESMP. Say where the project is, what it does, how land is being secured and how it is financed.</w:t>
      </w:r>
    </w:p>
    <w:p>
      <w:pPr>
        <w:pStyle w:val="Heading2"/>
        <w:spacing w:after="80" w:before="200"/>
      </w:pPr>
      <w:r>
        <w:rPr>
          <w:rFonts w:ascii="Calibri" w:cs="Calibri" w:eastAsia="Calibri" w:hAnsi="Calibri"/>
        </w:rPr>
        <w:t xml:space="preserve">Example prompts</w:t>
      </w:r>
    </w:p>
    <w:p>
      <w:pPr>
        <w:pStyle w:val="ListParagraph"/>
        <w:numPr>
          <w:ilvl w:val="0"/>
          <w:numId w:val="2"/>
        </w:numPr>
        <w:spacing w:after="60"/>
      </w:pPr>
      <w:r>
        <w:rPr>
          <w:rFonts w:ascii="Calibri" w:cs="Calibri" w:eastAsia="Calibri" w:hAnsi="Calibri"/>
          <w:sz w:val="22"/>
          <w:szCs w:val="22"/>
        </w:rPr>
        <w:t xml:space="preserve">Screen this project against the IFC Performance Standards: [paste description].</w:t>
      </w:r>
    </w:p>
    <w:p>
      <w:pPr>
        <w:pStyle w:val="ListParagraph"/>
        <w:numPr>
          <w:ilvl w:val="0"/>
          <w:numId w:val="2"/>
        </w:numPr>
        <w:spacing w:after="60"/>
      </w:pPr>
      <w:r>
        <w:rPr>
          <w:rFonts w:ascii="Calibri" w:cs="Calibri" w:eastAsia="Calibri" w:hAnsi="Calibri"/>
          <w:sz w:val="22"/>
          <w:szCs w:val="22"/>
        </w:rPr>
        <w:t xml:space="preserve">Here is the information memorandum for a deal we are evaluating. Give me the quick table and list the open facts I need from the promoter.</w:t>
      </w:r>
    </w:p>
    <w:p>
      <w:pPr>
        <w:pStyle w:val="ListParagraph"/>
        <w:numPr>
          <w:ilvl w:val="0"/>
          <w:numId w:val="2"/>
        </w:numPr>
        <w:spacing w:after="60"/>
      </w:pPr>
      <w:r>
        <w:rPr>
          <w:rFonts w:ascii="Calibri" w:cs="Calibri" w:eastAsia="Calibri" w:hAnsi="Calibri"/>
          <w:sz w:val="22"/>
          <w:szCs w:val="22"/>
        </w:rPr>
        <w:t xml:space="preserve">Turn this screening into a draft ESAP with actions, owners and timing.</w:t>
      </w:r>
    </w:p>
    <w:p>
      <w:pPr>
        <w:pStyle w:val="ListParagraph"/>
        <w:numPr>
          <w:ilvl w:val="0"/>
          <w:numId w:val="2"/>
        </w:numPr>
        <w:spacing w:after="60"/>
      </w:pPr>
      <w:r>
        <w:rPr>
          <w:rFonts w:ascii="Calibri" w:cs="Calibri" w:eastAsia="Calibri" w:hAnsi="Calibri"/>
          <w:sz w:val="22"/>
          <w:szCs w:val="22"/>
        </w:rPr>
        <w:t xml:space="preserve">Gap-check this ESMP against PS1 and PS2 and cite the requirements it misses.</w:t>
      </w:r>
    </w:p>
    <w:p>
      <w:pPr>
        <w:pStyle w:val="ListParagraph"/>
        <w:numPr>
          <w:ilvl w:val="0"/>
          <w:numId w:val="2"/>
        </w:numPr>
        <w:spacing w:after="60"/>
      </w:pPr>
      <w:r>
        <w:rPr>
          <w:rFonts w:ascii="Calibri" w:cs="Calibri" w:eastAsia="Calibri" w:hAnsi="Calibri"/>
          <w:sz w:val="22"/>
          <w:szCs w:val="22"/>
        </w:rPr>
        <w:t xml:space="preserve">Which Guidance Note paragraphs explain how to treat informal users of government land under PS5?</w:t>
      </w:r>
    </w:p>
    <w:p>
      <w:pPr>
        <w:pStyle w:val="ListParagraph"/>
        <w:numPr>
          <w:ilvl w:val="0"/>
          <w:numId w:val="2"/>
        </w:numPr>
        <w:spacing w:after="60"/>
      </w:pPr>
      <w:r>
        <w:rPr>
          <w:rFonts w:ascii="Calibri" w:cs="Calibri" w:eastAsia="Calibri" w:hAnsi="Calibri"/>
          <w:sz w:val="22"/>
          <w:szCs w:val="22"/>
        </w:rPr>
        <w:t>Here is a case copied from the EMC checklist: [paste]. Take it further: cite the requirements and list what I must confirm.</w:t>
      </w:r>
    </w:p>
    <w:p>
      <w:pPr>
        <w:pStyle w:val="Heading1"/>
        <w:spacing w:after="120" w:before="300"/>
      </w:pPr>
      <w:r>
        <w:rPr>
          <w:rFonts w:ascii="Calibri" w:cs="Calibri" w:eastAsia="Calibri" w:hAnsi="Calibri"/>
        </w:rPr>
        <w:t xml:space="preserve">7. Test cases</w:t>
      </w:r>
    </w:p>
    <w:p>
      <w:pPr>
        <w:spacing w:after="120" w:line="276"/>
      </w:pPr>
      <w:r>
        <w:rPr>
          <w:rFonts w:ascii="Calibri" w:cs="Calibri" w:eastAsia="Calibri" w:hAnsi="Calibri"/>
          <w:sz w:val="22"/>
          <w:szCs w:val="22"/>
        </w:rPr>
        <w:t xml:space="preserve">Run these three after setup. If the results differ materially from the expected outcome, check that the documents uploaded correctly and that the instructions were pasted in full.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tcBorders>
              <w:top w:val="single" w:color="B7C4C0" w:sz="4"/>
              <w:left w:val="single" w:color="B7C4C0" w:sz="4"/>
              <w:bottom w:val="single" w:color="B7C4C0" w:sz="4"/>
              <w:right w:val="single" w:color="B7C4C0" w:sz="4"/>
            </w:tcBorders>
            <w:shd w:fill="0D6A60" w:color="auto" w:val="clear"/>
            <w:tcMar>
              <w:top w:type="dxa" w:w="80"/>
              <w:left w:type="dxa" w:w="110"/>
              <w:bottom w:type="dxa" w:w="80"/>
              <w:right w:type="dxa" w:w="110"/>
            </w:tcMar>
          </w:tcPr>
          <w:p>
            <w:pPr>
              <w:spacing w:after="40"/>
            </w:pPr>
            <w:r>
              <w:rPr>
                <w:rFonts w:ascii="Calibri" w:cs="Calibri" w:eastAsia="Calibri" w:hAnsi="Calibri"/>
                <w:b/>
                <w:bCs/>
                <w:color w:val="FFFFFF"/>
                <w:sz w:val="20"/>
                <w:szCs w:val="20"/>
              </w:rPr>
              <w:t xml:space="preserve">Test project</w:t>
            </w:r>
          </w:p>
        </w:tc>
        <w:tc>
          <w:tcPr>
            <w:tcW w:type="dxa" w:w="3200"/>
            <w:tcBorders>
              <w:top w:val="single" w:color="B7C4C0" w:sz="4"/>
              <w:left w:val="single" w:color="B7C4C0" w:sz="4"/>
              <w:bottom w:val="single" w:color="B7C4C0" w:sz="4"/>
              <w:right w:val="single" w:color="B7C4C0" w:sz="4"/>
            </w:tcBorders>
            <w:shd w:fill="0D6A60" w:color="auto" w:val="clear"/>
            <w:tcMar>
              <w:top w:type="dxa" w:w="80"/>
              <w:left w:type="dxa" w:w="110"/>
              <w:bottom w:type="dxa" w:w="80"/>
              <w:right w:type="dxa" w:w="110"/>
            </w:tcMar>
          </w:tcPr>
          <w:p>
            <w:pPr>
              <w:spacing w:after="40"/>
            </w:pPr>
            <w:r>
              <w:rPr>
                <w:rFonts w:ascii="Calibri" w:cs="Calibri" w:eastAsia="Calibri" w:hAnsi="Calibri"/>
                <w:b/>
                <w:bCs/>
                <w:color w:val="FFFFFF"/>
                <w:sz w:val="20"/>
                <w:szCs w:val="20"/>
              </w:rPr>
              <w:t xml:space="preserve">Expected verdicts</w:t>
            </w:r>
          </w:p>
        </w:tc>
        <w:tc>
          <w:tcPr>
            <w:tcW w:type="dxa" w:w="3226"/>
            <w:tcBorders>
              <w:top w:val="single" w:color="B7C4C0" w:sz="4"/>
              <w:left w:val="single" w:color="B7C4C0" w:sz="4"/>
              <w:bottom w:val="single" w:color="B7C4C0" w:sz="4"/>
              <w:right w:val="single" w:color="B7C4C0" w:sz="4"/>
            </w:tcBorders>
            <w:shd w:fill="0D6A60" w:color="auto" w:val="clear"/>
            <w:tcMar>
              <w:top w:type="dxa" w:w="80"/>
              <w:left w:type="dxa" w:w="110"/>
              <w:bottom w:type="dxa" w:w="80"/>
              <w:right w:type="dxa" w:w="110"/>
            </w:tcMar>
          </w:tcPr>
          <w:p>
            <w:pPr>
              <w:spacing w:after="40"/>
            </w:pPr>
            <w:r>
              <w:rPr>
                <w:rFonts w:ascii="Calibri" w:cs="Calibri" w:eastAsia="Calibri" w:hAnsi="Calibri"/>
                <w:b/>
                <w:bCs/>
                <w:color w:val="FFFFFF"/>
                <w:sz w:val="20"/>
                <w:szCs w:val="20"/>
              </w:rPr>
              <w:t xml:space="preserve">Expected category and flags</w:t>
            </w:r>
          </w:p>
        </w:tc>
      </w:tr>
      <w:tr>
        <w:trPr>
          <w:tblHeader w:val="false"/>
        </w:trPr>
        <w:tc>
          <w:tcPr>
            <w:tcW w:type="dxa" w:w="2600"/>
            <w:tcBorders>
              <w:top w:val="single" w:color="B7C4C0" w:sz="4"/>
              <w:left w:val="single" w:color="B7C4C0" w:sz="4"/>
              <w:bottom w:val="single" w:color="B7C4C0" w:sz="4"/>
              <w:right w:val="single" w:color="B7C4C0" w:sz="4"/>
            </w:tcBorders>
            <w:tcMar>
              <w:top w:type="dxa" w:w="80"/>
              <w:left w:type="dxa" w:w="110"/>
              <w:bottom w:type="dxa" w:w="80"/>
              <w:right w:type="dxa" w:w="110"/>
            </w:tcMar>
          </w:tcPr>
          <w:p>
            <w:pPr>
              <w:spacing w:after="40"/>
            </w:pPr>
            <w:r>
              <w:rPr>
                <w:rFonts w:ascii="Calibri" w:cs="Calibri" w:eastAsia="Calibri" w:hAnsi="Calibri"/>
                <w:b w:val="false"/>
                <w:bCs w:val="false"/>
                <w:sz w:val="20"/>
                <w:szCs w:val="20"/>
              </w:rPr>
              <w:t xml:space="preserve">150 MW solar park in Jaisalmer district, Rajasthan, on 300 ha of revenue land allotted by the state and used for grazing, with a 33 km 220 kV transmission line</w:t>
            </w:r>
          </w:p>
        </w:tc>
        <w:tc>
          <w:tcPr>
            <w:tcW w:type="dxa" w:w="3200"/>
            <w:tcBorders>
              <w:top w:val="single" w:color="B7C4C0" w:sz="4"/>
              <w:left w:val="single" w:color="B7C4C0" w:sz="4"/>
              <w:bottom w:val="single" w:color="B7C4C0" w:sz="4"/>
              <w:right w:val="single" w:color="B7C4C0" w:sz="4"/>
            </w:tcBorders>
            <w:tcMar>
              <w:top w:type="dxa" w:w="80"/>
              <w:left w:type="dxa" w:w="110"/>
              <w:bottom w:type="dxa" w:w="80"/>
              <w:right w:type="dxa" w:w="110"/>
            </w:tcMar>
          </w:tcPr>
          <w:p>
            <w:pPr>
              <w:spacing w:after="40"/>
            </w:pPr>
            <w:r>
              <w:rPr>
                <w:rFonts w:ascii="Calibri" w:cs="Calibri" w:eastAsia="Calibri" w:hAnsi="Calibri"/>
                <w:b w:val="false"/>
                <w:bCs w:val="false"/>
                <w:sz w:val="20"/>
                <w:szCs w:val="20"/>
              </w:rPr>
              <w:t xml:space="preserve">PS1, PS2, PS3 (low intensity) triggered; PS4 triggered (transmission line, traffic); PS5 triggered despite government land; PS6 needs review or triggered (Great Indian Bustard); PS7 and PS8 need review</w:t>
            </w:r>
          </w:p>
        </w:tc>
        <w:tc>
          <w:tcPr>
            <w:tcW w:type="dxa" w:w="3226"/>
            <w:tcBorders>
              <w:top w:val="single" w:color="B7C4C0" w:sz="4"/>
              <w:left w:val="single" w:color="B7C4C0" w:sz="4"/>
              <w:bottom w:val="single" w:color="B7C4C0" w:sz="4"/>
              <w:right w:val="single" w:color="B7C4C0" w:sz="4"/>
            </w:tcBorders>
            <w:tcMar>
              <w:top w:type="dxa" w:w="80"/>
              <w:left w:type="dxa" w:w="110"/>
              <w:bottom w:type="dxa" w:w="80"/>
              <w:right w:type="dxa" w:w="110"/>
            </w:tcMar>
          </w:tcPr>
          <w:p>
            <w:pPr>
              <w:spacing w:after="40"/>
            </w:pPr>
            <w:r>
              <w:rPr>
                <w:rFonts w:ascii="Calibri" w:cs="Calibri" w:eastAsia="Calibri" w:hAnsi="Calibri"/>
                <w:b w:val="false"/>
                <w:bCs w:val="false"/>
                <w:sz w:val="20"/>
                <w:szCs w:val="20"/>
              </w:rPr>
              <w:t xml:space="preserve">B with a clear risk of A, or A. Should flag that solar is outside Environmental Clearance, so IFC PS may be the only E&amp;S gate</w:t>
            </w:r>
          </w:p>
        </w:tc>
      </w:tr>
      <w:tr>
        <w:trPr>
          <w:tblHeader w:val="false"/>
        </w:trPr>
        <w:tc>
          <w:tcPr>
            <w:tcW w:type="dxa" w:w="2600"/>
            <w:tcBorders>
              <w:top w:val="single" w:color="B7C4C0" w:sz="4"/>
              <w:left w:val="single" w:color="B7C4C0" w:sz="4"/>
              <w:bottom w:val="single" w:color="B7C4C0" w:sz="4"/>
              <w:right w:val="single" w:color="B7C4C0" w:sz="4"/>
            </w:tcBorders>
            <w:tcMar>
              <w:top w:type="dxa" w:w="80"/>
              <w:left w:type="dxa" w:w="110"/>
              <w:bottom w:type="dxa" w:w="80"/>
              <w:right w:type="dxa" w:w="110"/>
            </w:tcMar>
          </w:tcPr>
          <w:p>
            <w:pPr>
              <w:spacing w:after="40"/>
            </w:pPr>
            <w:r>
              <w:rPr>
                <w:rFonts w:ascii="Calibri" w:cs="Calibri" w:eastAsia="Calibri" w:hAnsi="Calibri"/>
                <w:b w:val="false"/>
                <w:bCs w:val="false"/>
                <w:sz w:val="20"/>
                <w:szCs w:val="20"/>
              </w:rPr>
              <w:t xml:space="preserve">IT services company in a leased office in Pune, 800 staff, growth equity from a fund</w:t>
            </w:r>
          </w:p>
        </w:tc>
        <w:tc>
          <w:tcPr>
            <w:tcW w:type="dxa" w:w="3200"/>
            <w:tcBorders>
              <w:top w:val="single" w:color="B7C4C0" w:sz="4"/>
              <w:left w:val="single" w:color="B7C4C0" w:sz="4"/>
              <w:bottom w:val="single" w:color="B7C4C0" w:sz="4"/>
              <w:right w:val="single" w:color="B7C4C0" w:sz="4"/>
            </w:tcBorders>
            <w:tcMar>
              <w:top w:type="dxa" w:w="80"/>
              <w:left w:type="dxa" w:w="110"/>
              <w:bottom w:type="dxa" w:w="80"/>
              <w:right w:type="dxa" w:w="110"/>
            </w:tcMar>
          </w:tcPr>
          <w:p>
            <w:pPr>
              <w:spacing w:after="40"/>
            </w:pPr>
            <w:r>
              <w:rPr>
                <w:rFonts w:ascii="Calibri" w:cs="Calibri" w:eastAsia="Calibri" w:hAnsi="Calibri"/>
                <w:b w:val="false"/>
                <w:bCs w:val="false"/>
                <w:sz w:val="20"/>
                <w:szCs w:val="20"/>
              </w:rPr>
              <w:t>PS1 and PS2 triggered; PS3 triggered at low intensity (energy, e-waste); PS4 to PS8 not triggered unless security guards are mentioned (then PS4, low)</w:t>
            </w:r>
          </w:p>
        </w:tc>
        <w:tc>
          <w:tcPr>
            <w:tcW w:type="dxa" w:w="3226"/>
            <w:tcBorders>
              <w:top w:val="single" w:color="B7C4C0" w:sz="4"/>
              <w:left w:val="single" w:color="B7C4C0" w:sz="4"/>
              <w:bottom w:val="single" w:color="B7C4C0" w:sz="4"/>
              <w:right w:val="single" w:color="B7C4C0" w:sz="4"/>
            </w:tcBorders>
            <w:tcMar>
              <w:top w:type="dxa" w:w="80"/>
              <w:left w:type="dxa" w:w="110"/>
              <w:bottom w:type="dxa" w:w="80"/>
              <w:right w:type="dxa" w:w="110"/>
            </w:tcMar>
          </w:tcPr>
          <w:p>
            <w:pPr>
              <w:spacing w:after="40"/>
            </w:pPr>
            <w:r>
              <w:rPr>
                <w:rFonts w:ascii="Calibri" w:cs="Calibri" w:eastAsia="Calibri" w:hAnsi="Calibri"/>
                <w:b w:val="false"/>
                <w:bCs w:val="false"/>
                <w:sz w:val="20"/>
                <w:szCs w:val="20"/>
              </w:rPr>
              <w:t xml:space="preserve">C. No major flags; should still ask about contracted staff (housekeeping, security)</w:t>
            </w:r>
          </w:p>
        </w:tc>
      </w:tr>
      <w:tr>
        <w:trPr>
          <w:tblHeader w:val="false"/>
        </w:trPr>
        <w:tc>
          <w:tcPr>
            <w:tcW w:type="dxa" w:w="2600"/>
            <w:tcBorders>
              <w:top w:val="single" w:color="B7C4C0" w:sz="4"/>
              <w:left w:val="single" w:color="B7C4C0" w:sz="4"/>
              <w:bottom w:val="single" w:color="B7C4C0" w:sz="4"/>
              <w:right w:val="single" w:color="B7C4C0" w:sz="4"/>
            </w:tcBorders>
            <w:tcMar>
              <w:top w:type="dxa" w:w="80"/>
              <w:left w:type="dxa" w:w="110"/>
              <w:bottom w:type="dxa" w:w="80"/>
              <w:right w:type="dxa" w:w="110"/>
            </w:tcMar>
          </w:tcPr>
          <w:p>
            <w:pPr>
              <w:spacing w:after="40"/>
            </w:pPr>
            <w:r>
              <w:rPr>
                <w:rFonts w:ascii="Calibri" w:cs="Calibri" w:eastAsia="Calibri" w:hAnsi="Calibri"/>
                <w:b w:val="false"/>
                <w:bCs w:val="false"/>
                <w:sz w:val="20"/>
                <w:szCs w:val="20"/>
              </w:rPr>
              <w:t xml:space="preserve">120 MW run-of-river hydropower project in Kinnaur district, Himachal Pradesh, with a diversion weir, tunnel, muck disposal sites and private and forest land</w:t>
            </w:r>
          </w:p>
        </w:tc>
        <w:tc>
          <w:tcPr>
            <w:tcW w:type="dxa" w:w="3200"/>
            <w:tcBorders>
              <w:top w:val="single" w:color="B7C4C0" w:sz="4"/>
              <w:left w:val="single" w:color="B7C4C0" w:sz="4"/>
              <w:bottom w:val="single" w:color="B7C4C0" w:sz="4"/>
              <w:right w:val="single" w:color="B7C4C0" w:sz="4"/>
            </w:tcBorders>
            <w:tcMar>
              <w:top w:type="dxa" w:w="80"/>
              <w:left w:type="dxa" w:w="110"/>
              <w:bottom w:type="dxa" w:w="80"/>
              <w:right w:type="dxa" w:w="110"/>
            </w:tcMar>
          </w:tcPr>
          <w:p>
            <w:pPr>
              <w:spacing w:after="40"/>
            </w:pPr>
            <w:r>
              <w:rPr>
                <w:rFonts w:ascii="Calibri" w:cs="Calibri" w:eastAsia="Calibri" w:hAnsi="Calibri"/>
                <w:b w:val="false"/>
                <w:bCs w:val="false"/>
                <w:sz w:val="20"/>
                <w:szCs w:val="20"/>
              </w:rPr>
              <w:t xml:space="preserve">PS1 to PS8 all triggered or needing review; PS4 dam safety; PS6 river habitat and fish; PS7 Scheduled Area with likely FPIC circumstances</w:t>
            </w:r>
          </w:p>
        </w:tc>
        <w:tc>
          <w:tcPr>
            <w:tcW w:type="dxa" w:w="3226"/>
            <w:tcBorders>
              <w:top w:val="single" w:color="B7C4C0" w:sz="4"/>
              <w:left w:val="single" w:color="B7C4C0" w:sz="4"/>
              <w:bottom w:val="single" w:color="B7C4C0" w:sz="4"/>
              <w:right w:val="single" w:color="B7C4C0" w:sz="4"/>
            </w:tcBorders>
            <w:tcMar>
              <w:top w:type="dxa" w:w="80"/>
              <w:left w:type="dxa" w:w="110"/>
              <w:bottom w:type="dxa" w:w="80"/>
              <w:right w:type="dxa" w:w="110"/>
            </w:tcMar>
          </w:tcPr>
          <w:p>
            <w:pPr>
              <w:spacing w:after="40"/>
            </w:pPr>
            <w:r>
              <w:rPr>
                <w:rFonts w:ascii="Calibri" w:cs="Calibri" w:eastAsia="Calibri" w:hAnsi="Calibri"/>
                <w:b w:val="false"/>
                <w:bCs w:val="false"/>
                <w:sz w:val="20"/>
                <w:szCs w:val="20"/>
              </w:rPr>
              <w:t xml:space="preserve">A. Should flag FPIC, critical habitat assessment and cumulative impacts on the river basin</w:t>
            </w:r>
          </w:p>
        </w:tc>
      </w:tr>
    </w:tbl>
    <w:p>
      <w:pPr>
        <w:pStyle w:val="Heading1"/>
        <w:spacing w:after="120" w:before="300"/>
      </w:pPr>
      <w:r>
        <w:rPr>
          <w:rFonts w:ascii="Calibri" w:cs="Calibri" w:eastAsia="Calibri" w:hAnsi="Calibri"/>
        </w:rPr>
        <w:t xml:space="preserve">8. Good practice and limits</w:t>
      </w:r>
    </w:p>
    <w:p>
      <w:pPr>
        <w:pStyle w:val="ListParagraph"/>
        <w:numPr>
          <w:ilvl w:val="0"/>
          <w:numId w:val="2"/>
        </w:numPr>
        <w:spacing w:after="60"/>
      </w:pPr>
      <w:r>
        <w:rPr>
          <w:rFonts w:ascii="Calibri" w:cs="Calibri" w:eastAsia="Calibri" w:hAnsi="Calibri"/>
          <w:b/>
          <w:bCs/>
          <w:sz w:val="22"/>
          <w:szCs w:val="22"/>
        </w:rPr>
        <w:t xml:space="preserve">Check citations. </w:t>
      </w:r>
      <w:r>
        <w:rPr>
          <w:rFonts w:ascii="Calibri" w:cs="Calibri" w:eastAsia="Calibri" w:hAnsi="Calibri"/>
          <w:sz w:val="22"/>
          <w:szCs w:val="22"/>
        </w:rPr>
        <w:t xml:space="preserve">The assistant is instructed to cite paragraphs and to say when it cannot verify one. Open the source and check any citation you will rely on.</w:t>
      </w:r>
    </w:p>
    <w:p>
      <w:pPr>
        <w:pStyle w:val="ListParagraph"/>
        <w:numPr>
          <w:ilvl w:val="0"/>
          <w:numId w:val="2"/>
        </w:numPr>
        <w:spacing w:after="60"/>
      </w:pPr>
      <w:r>
        <w:rPr>
          <w:rFonts w:ascii="Calibri" w:cs="Calibri" w:eastAsia="Calibri" w:hAnsi="Calibri"/>
          <w:b/>
          <w:bCs/>
          <w:sz w:val="22"/>
          <w:szCs w:val="22"/>
        </w:rPr>
        <w:t xml:space="preserve">Mind confidentiality. </w:t>
      </w:r>
      <w:r>
        <w:rPr>
          <w:rFonts w:ascii="Calibri" w:cs="Calibri" w:eastAsia="Calibri" w:hAnsi="Calibri"/>
          <w:sz w:val="22"/>
          <w:szCs w:val="22"/>
        </w:rPr>
        <w:t xml:space="preserve">Upload client or deal documents only where your organisation’s policies and agreements allow it.</w:t>
      </w:r>
    </w:p>
    <w:p>
      <w:pPr>
        <w:pStyle w:val="ListParagraph"/>
        <w:numPr>
          <w:ilvl w:val="0"/>
          <w:numId w:val="2"/>
        </w:numPr>
        <w:spacing w:after="60"/>
      </w:pPr>
      <w:r>
        <w:rPr>
          <w:rFonts w:ascii="Calibri" w:cs="Calibri" w:eastAsia="Calibri" w:hAnsi="Calibri"/>
          <w:b/>
          <w:bCs/>
          <w:sz w:val="22"/>
          <w:szCs w:val="22"/>
        </w:rPr>
        <w:t xml:space="preserve">Use judgement on the category. </w:t>
      </w:r>
      <w:r>
        <w:rPr>
          <w:rFonts w:ascii="Calibri" w:cs="Calibri" w:eastAsia="Calibri" w:hAnsi="Calibri"/>
          <w:sz w:val="22"/>
          <w:szCs w:val="22"/>
        </w:rPr>
        <w:t xml:space="preserve">Treat the category as a hypothesis for the deal team, not a determination.</w:t>
      </w:r>
    </w:p>
    <w:p>
      <w:pPr>
        <w:pStyle w:val="ListParagraph"/>
        <w:numPr>
          <w:ilvl w:val="0"/>
          <w:numId w:val="2"/>
        </w:numPr>
        <w:spacing w:after="60"/>
      </w:pPr>
      <w:r>
        <w:rPr>
          <w:rFonts w:ascii="Calibri" w:cs="Calibri" w:eastAsia="Calibri" w:hAnsi="Calibri"/>
          <w:b/>
          <w:bCs/>
          <w:sz w:val="22"/>
          <w:szCs w:val="22"/>
        </w:rPr>
        <w:t xml:space="preserve">Keep national law current. </w:t>
      </w:r>
      <w:r>
        <w:rPr>
          <w:rFonts w:ascii="Calibri" w:cs="Calibri" w:eastAsia="Calibri" w:hAnsi="Calibri"/>
          <w:sz w:val="22"/>
          <w:szCs w:val="22"/>
        </w:rPr>
        <w:t xml:space="preserve">Legal points from general knowledge are labelled for verification; a national law note in project knowledge improves them.</w:t>
      </w:r>
    </w:p>
    <w:p>
      <w:pPr>
        <w:pStyle w:val="Heading1"/>
        <w:spacing w:after="120" w:before="300"/>
      </w:pPr>
      <w:r>
        <w:rPr>
          <w:rFonts w:ascii="Calibri" w:cs="Calibri" w:eastAsia="Calibri" w:hAnsi="Calibri"/>
        </w:rPr>
        <w:t xml:space="preserve">9. What comes next</w:t>
      </w:r>
    </w:p>
    <w:p>
      <w:pPr>
        <w:spacing w:after="120" w:line="276"/>
      </w:pPr>
      <w:r>
        <w:rPr>
          <w:rFonts w:ascii="Calibri" w:cs="Calibri" w:eastAsia="Calibri" w:hAnsi="Calibri"/>
          <w:b/>
          <w:bCs/>
          <w:sz w:val="22"/>
          <w:szCs w:val="22"/>
        </w:rPr>
        <w:t xml:space="preserve">Step 2: a Claude Skill. </w:t>
      </w:r>
      <w:r>
        <w:rPr>
          <w:rFonts w:ascii="Calibri" w:cs="Calibri" w:eastAsia="Calibri" w:hAnsi="Calibri"/>
          <w:sz w:val="22"/>
          <w:szCs w:val="22"/>
        </w:rPr>
        <w:t xml:space="preserve">EMC’s screening method (trigger rules, India-law layer, output formats including a Word screening memo) packaged as a Skill, so screening works the same way in any chat.</w:t>
      </w:r>
    </w:p>
    <w:p>
      <w:pPr>
        <w:spacing w:after="120" w:line="276"/>
      </w:pPr>
      <w:r>
        <w:rPr>
          <w:rFonts w:ascii="Calibri" w:cs="Calibri" w:eastAsia="Calibri" w:hAnsi="Calibri"/>
          <w:b/>
          <w:bCs/>
          <w:sz w:val="22"/>
          <w:szCs w:val="22"/>
        </w:rPr>
        <w:t xml:space="preserve">Step 3: an EMC-hosted connector. </w:t>
      </w:r>
      <w:r>
        <w:rPr>
          <w:rFonts w:ascii="Calibri" w:cs="Calibri" w:eastAsia="Calibri" w:hAnsi="Calibri"/>
          <w:sz w:val="22"/>
          <w:szCs w:val="22"/>
        </w:rPr>
        <w:t xml:space="preserve">A server that Claude connects to, holding indexed IFC documents and EMC’s screening rules, for clause-level retrieval and fund-specific customisation. Contact EMC about access and customisation for your institution.</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66B66"/>
        <w:sz w:val="16"/>
        <w:szCs w:val="16"/>
      </w:rPr>
      <w:t xml:space="preserve">IFC PS Screening Assistant: participant setup kit   </w:t>
    </w:r>
    <w:r>
      <w:rPr>
        <w:rFonts w:ascii="Calibri" w:cs="Calibri" w:eastAsia="Calibri" w:hAnsi="Calibri"/>
        <w:color w:val="566B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6302C"/>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0D6A6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2026-10-28T05:40:12.025Z</dcterms:created>
  <dcterms:modified xsi:type="dcterms:W3CDTF">2026-10-28T05:40:12.032Z</dcterms:modified>
</cp:coreProperties>
</file>

<file path=docProps/custom.xml><?xml version="1.0" encoding="utf-8"?>
<Properties xmlns="http://schemas.openxmlformats.org/officeDocument/2006/custom-properties" xmlns:vt="http://schemas.openxmlformats.org/officeDocument/2006/docPropsVTypes"/>
</file>