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6302C"/>
          <w:sz w:val="44"/>
          <w:szCs w:val="44"/>
        </w:rPr>
        <w:t xml:space="preserve">IFC PS Screening Skill</w:t>
      </w:r>
    </w:p>
    <w:p>
      <w:pPr>
        <w:spacing w:after="60"/>
      </w:pPr>
      <w:r>
        <w:rPr>
          <w:rFonts w:ascii="Calibri" w:cs="Calibri" w:eastAsia="Calibri" w:hAnsi="Calibri"/>
          <w:color w:val="0D6A60"/>
          <w:sz w:val="26"/>
          <w:szCs w:val="26"/>
        </w:rPr>
        <w:t xml:space="preserve">Participant setup kit, Step 2: EMC’s screening method as a Claude Skill</w:t>
      </w:r>
    </w:p>
    <w:p>
      <w:pPr>
        <w:pBdr>
          <w:bottom w:val="single" w:color="0D6A60" w:sz="8" w:space="6"/>
        </w:pBdr>
        <w:spacing w:after="240"/>
      </w:pPr>
      <w:r>
        <w:rPr>
          <w:rFonts w:ascii="Calibri" w:cs="Calibri" w:eastAsia="Calibri" w:hAnsi="Calibri"/>
          <w:color w:val="566B66"/>
          <w:sz w:val="20"/>
          <w:szCs w:val="20"/>
        </w:rPr>
        <w:t xml:space="preserve">Both Sides of the Table: Masterclass on IFC Performance Standards, 20–21 November 2026. Environmental Management Centre (EMC) and Ekonnect Knowledge Foundation, Mumbai.</w:t>
      </w:r>
    </w:p>
    <w:p>
      <w:pPr>
        <w:pStyle w:val="Heading1"/>
      </w:pPr>
      <w:r>
        <w:rPr>
          <w:rFonts w:ascii="Calibri" w:cs="Calibri" w:eastAsia="Calibri" w:hAnsi="Calibri"/>
        </w:rPr>
        <w:t xml:space="preserve">1. What the Skill adds</w:t>
      </w:r>
    </w:p>
    <w:p>
      <w:pPr>
        <w:spacing w:after="120" w:line="276"/>
      </w:pPr>
      <w:r>
        <w:rPr>
          <w:rFonts w:ascii="Calibri" w:cs="Calibri" w:eastAsia="Calibri" w:hAnsi="Calibri"/>
          <w:sz w:val="22"/>
          <w:szCs w:val="22"/>
        </w:rPr>
        <w:t>The Step 1 Project gives Claude the IFC documents. The Skill gives Claude EMC’s method for using them: the trigger questions and common traps for each Performance Standard, categorisation rules, a library of conformance requirements and documents, an India-law comparison, India regional red flags, output templates, worked examples, and the same rule set and engine that drive the HTML checklist, so the Skill starts from the verdicts you already saw.</w:t>
      </w:r>
    </w:p>
    <w:p>
      <w:pPr>
        <w:spacing w:after="120" w:line="276"/>
      </w:pPr>
      <w:r>
        <w:rPr>
          <w:rFonts w:ascii="Calibri" w:cs="Calibri" w:eastAsia="Calibri" w:hAnsi="Calibri"/>
          <w:sz w:val="22"/>
          <w:szCs w:val="22"/>
        </w:rPr>
        <w:t xml:space="preserve">Once installed, the Skill works in any chat, not only inside the Project. Claude loads it automatically when you ask it to screen a project, triage a deal, draft an ESAP or check an ESIA against the Performance Standards.</w:t>
      </w:r>
    </w:p>
    <w:p>
      <w:pPr>
        <w:pStyle w:val="Heading1"/>
      </w:pPr>
      <w:r>
        <w:rPr>
          <w:rFonts w:ascii="Calibri" w:cs="Calibri" w:eastAsia="Calibri" w:hAnsi="Calibri"/>
        </w:rPr>
        <w:t xml:space="preserve">2. What is in the package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7C4C0" w:sz="4"/>
              <w:left w:val="single" w:color="B7C4C0" w:sz="4"/>
              <w:bottom w:val="single" w:color="B7C4C0" w:sz="4"/>
              <w:right w:val="single" w:color="B7C4C0" w:sz="4"/>
            </w:tcBorders>
            <w:shd w:fill="0D6A60" w:color="auto" w:val="clear"/>
            <w:tcMar>
              <w:top w:type="dxa" w:w="80"/>
              <w:left w:type="dxa" w:w="110"/>
              <w:bottom w:type="dxa" w:w="80"/>
              <w:right w:type="dxa" w:w="110"/>
            </w:tcMar>
          </w:tcPr>
          <w:p>
            <w:r>
              <w:rPr>
                <w:rFonts w:ascii="Calibri" w:cs="Calibri" w:eastAsia="Calibri" w:hAnsi="Calibri"/>
                <w:b/>
                <w:bCs/>
                <w:color w:val="FFFFFF"/>
                <w:sz w:val="20"/>
                <w:szCs w:val="20"/>
              </w:rPr>
              <w:t xml:space="preserve">File</w:t>
            </w:r>
          </w:p>
        </w:tc>
        <w:tc>
          <w:tcPr>
            <w:tcW w:type="dxa" w:w="6026"/>
            <w:tcBorders>
              <w:top w:val="single" w:color="B7C4C0" w:sz="4"/>
              <w:left w:val="single" w:color="B7C4C0" w:sz="4"/>
              <w:bottom w:val="single" w:color="B7C4C0" w:sz="4"/>
              <w:right w:val="single" w:color="B7C4C0" w:sz="4"/>
            </w:tcBorders>
            <w:shd w:fill="0D6A60" w:color="auto" w:val="clear"/>
            <w:tcMar>
              <w:top w:type="dxa" w:w="80"/>
              <w:left w:type="dxa" w:w="110"/>
              <w:bottom w:type="dxa" w:w="80"/>
              <w:right w:type="dxa" w:w="110"/>
            </w:tcMar>
          </w:tcPr>
          <w:p>
            <w:r>
              <w:rPr>
                <w:rFonts w:ascii="Calibri" w:cs="Calibri" w:eastAsia="Calibri" w:hAnsi="Calibri"/>
                <w:b/>
                <w:bCs/>
                <w:color w:val="FFFFFF"/>
                <w:sz w:val="20"/>
                <w:szCs w:val="20"/>
              </w:rPr>
              <w:t xml:space="preserve">Contents</w:t>
            </w:r>
          </w:p>
        </w:tc>
      </w:tr>
      <w:tr>
        <w:trPr>
          <w:tblHeader w:val="false"/>
        </w:trPr>
        <w:tc>
          <w:tcPr>
            <w:tcW w:type="dxa" w:w="3000"/>
            <w:tcBorders>
              <w:top w:val="single" w:color="B7C4C0" w:sz="4"/>
              <w:left w:val="single" w:color="B7C4C0" w:sz="4"/>
              <w:bottom w:val="single" w:color="B7C4C0" w:sz="4"/>
              <w:right w:val="single" w:color="B7C4C0" w:sz="4"/>
            </w:tcBorders>
            <w:tcMar>
              <w:top w:type="dxa" w:w="80"/>
              <w:left w:type="dxa" w:w="110"/>
              <w:bottom w:type="dxa" w:w="80"/>
              <w:right w:type="dxa" w:w="110"/>
            </w:tcMar>
          </w:tcPr>
          <w:p>
            <w:r>
              <w:rPr>
                <w:rFonts w:ascii="Calibri" w:cs="Calibri" w:eastAsia="Calibri" w:hAnsi="Calibri"/>
                <w:b w:val="false"/>
                <w:bCs w:val="false"/>
                <w:sz w:val="20"/>
                <w:szCs w:val="20"/>
              </w:rPr>
              <w:t xml:space="preserve">SKILL.md</w:t>
            </w:r>
          </w:p>
        </w:tc>
        <w:tc>
          <w:tcPr>
            <w:tcW w:type="dxa" w:w="6026"/>
            <w:tcBorders>
              <w:top w:val="single" w:color="B7C4C0" w:sz="4"/>
              <w:left w:val="single" w:color="B7C4C0" w:sz="4"/>
              <w:bottom w:val="single" w:color="B7C4C0" w:sz="4"/>
              <w:right w:val="single" w:color="B7C4C0" w:sz="4"/>
            </w:tcBorders>
            <w:tcMar>
              <w:top w:type="dxa" w:w="80"/>
              <w:left w:type="dxa" w:w="110"/>
              <w:bottom w:type="dxa" w:w="80"/>
              <w:right w:type="dxa" w:w="110"/>
            </w:tcMar>
          </w:tcPr>
          <w:p>
            <w:r>
              <w:rPr>
                <w:rFonts w:ascii="Calibri" w:cs="Calibri" w:eastAsia="Calibri" w:hAnsi="Calibri"/>
                <w:b w:val="false"/>
                <w:bCs w:val="false"/>
                <w:sz w:val="20"/>
                <w:szCs w:val="20"/>
              </w:rPr>
              <w:t xml:space="preserve">The screening workflow: intake, screening, categorisation, conformance, national law, outputs, conduct rules</w:t>
            </w:r>
          </w:p>
        </w:tc>
      </w:tr>
      <w:tr>
        <w:trPr>
          <w:tblHeader w:val="false"/>
        </w:trPr>
        <w:tc>
          <w:tcPr>
            <w:tcW w:type="dxa" w:w="3000"/>
            <w:tcBorders>
              <w:top w:val="single" w:color="B7C4C0" w:sz="4"/>
              <w:left w:val="single" w:color="B7C4C0" w:sz="4"/>
              <w:bottom w:val="single" w:color="B7C4C0" w:sz="4"/>
              <w:right w:val="single" w:color="B7C4C0" w:sz="4"/>
            </w:tcBorders>
            <w:tcMar>
              <w:top w:type="dxa" w:w="80"/>
              <w:left w:type="dxa" w:w="110"/>
              <w:bottom w:type="dxa" w:w="80"/>
              <w:right w:type="dxa" w:w="110"/>
            </w:tcMar>
          </w:tcPr>
          <w:p>
            <w:r>
              <w:rPr>
                <w:rFonts w:ascii="Calibri" w:cs="Calibri" w:eastAsia="Calibri" w:hAnsi="Calibri"/>
                <w:b w:val="false"/>
                <w:bCs w:val="false"/>
                <w:sz w:val="20"/>
                <w:szCs w:val="20"/>
              </w:rPr>
              <w:t xml:space="preserve">references/triggers.md</w:t>
            </w:r>
          </w:p>
        </w:tc>
        <w:tc>
          <w:tcPr>
            <w:tcW w:type="dxa" w:w="6026"/>
            <w:tcBorders>
              <w:top w:val="single" w:color="B7C4C0" w:sz="4"/>
              <w:left w:val="single" w:color="B7C4C0" w:sz="4"/>
              <w:bottom w:val="single" w:color="B7C4C0" w:sz="4"/>
              <w:right w:val="single" w:color="B7C4C0" w:sz="4"/>
            </w:tcBorders>
            <w:tcMar>
              <w:top w:type="dxa" w:w="80"/>
              <w:left w:type="dxa" w:w="110"/>
              <w:bottom w:type="dxa" w:w="80"/>
              <w:right w:type="dxa" w:w="110"/>
            </w:tcMar>
          </w:tcPr>
          <w:p>
            <w:r>
              <w:rPr>
                <w:rFonts w:ascii="Calibri" w:cs="Calibri" w:eastAsia="Calibri" w:hAnsi="Calibri"/>
                <w:b w:val="false"/>
                <w:bCs w:val="false"/>
                <w:sz w:val="20"/>
                <w:szCs w:val="20"/>
              </w:rPr>
              <w:t>The 33 trigger questions for PS1 to PS8 (generated from the same rule set as the HTML checklist) with question ids and paragraph references, common traps, sector intensity guide</w:t>
            </w:r>
          </w:p>
        </w:tc>
      </w:tr>
      <w:tr>
        <w:trPr>
          <w:tblHeader w:val="false"/>
        </w:trPr>
        <w:tc>
          <w:tcPr>
            <w:tcW w:type="dxa" w:w="3000"/>
            <w:tcBorders>
              <w:top w:val="single" w:color="B7C4C0" w:sz="4"/>
              <w:left w:val="single" w:color="B7C4C0" w:sz="4"/>
              <w:bottom w:val="single" w:color="B7C4C0" w:sz="4"/>
              <w:right w:val="single" w:color="B7C4C0" w:sz="4"/>
            </w:tcBorders>
            <w:tcMar>
              <w:top w:type="dxa" w:w="80"/>
              <w:left w:type="dxa" w:w="110"/>
              <w:bottom w:type="dxa" w:w="80"/>
              <w:right w:type="dxa" w:w="110"/>
            </w:tcMar>
          </w:tcPr>
          <w:p>
            <w:r>
              <w:rPr>
                <w:rFonts w:ascii="Calibri" w:cs="Calibri" w:eastAsia="Calibri" w:hAnsi="Calibri"/>
                <w:b w:val="false"/>
                <w:bCs w:val="false"/>
                <w:sz w:val="20"/>
                <w:szCs w:val="20"/>
              </w:rPr>
              <w:t xml:space="preserve">references/categorisation.md</w:t>
            </w:r>
          </w:p>
        </w:tc>
        <w:tc>
          <w:tcPr>
            <w:tcW w:type="dxa" w:w="6026"/>
            <w:tcBorders>
              <w:top w:val="single" w:color="B7C4C0" w:sz="4"/>
              <w:left w:val="single" w:color="B7C4C0" w:sz="4"/>
              <w:bottom w:val="single" w:color="B7C4C0" w:sz="4"/>
              <w:right w:val="single" w:color="B7C4C0" w:sz="4"/>
            </w:tcBorders>
            <w:tcMar>
              <w:top w:type="dxa" w:w="80"/>
              <w:left w:type="dxa" w:w="110"/>
              <w:bottom w:type="dxa" w:w="80"/>
              <w:right w:type="dxa" w:w="110"/>
            </w:tcMar>
          </w:tcPr>
          <w:p>
            <w:r>
              <w:rPr>
                <w:rFonts w:ascii="Calibri" w:cs="Calibri" w:eastAsia="Calibri" w:hAnsi="Calibri"/>
                <w:b w:val="false"/>
                <w:bCs w:val="false"/>
                <w:sz w:val="20"/>
                <w:szCs w:val="20"/>
              </w:rPr>
              <w:t xml:space="preserve">Categories A, B, C and FI-1 to FI-3, signals that push towards A, rules for stating the category</w:t>
            </w:r>
          </w:p>
        </w:tc>
      </w:tr>
      <w:tr>
        <w:trPr>
          <w:tblHeader w:val="false"/>
        </w:trPr>
        <w:tc>
          <w:tcPr>
            <w:tcW w:type="dxa" w:w="3000"/>
            <w:tcBorders>
              <w:top w:val="single" w:color="B7C4C0" w:sz="4"/>
              <w:left w:val="single" w:color="B7C4C0" w:sz="4"/>
              <w:bottom w:val="single" w:color="B7C4C0" w:sz="4"/>
              <w:right w:val="single" w:color="B7C4C0" w:sz="4"/>
            </w:tcBorders>
            <w:tcMar>
              <w:top w:type="dxa" w:w="80"/>
              <w:left w:type="dxa" w:w="110"/>
              <w:bottom w:type="dxa" w:w="80"/>
              <w:right w:type="dxa" w:w="110"/>
            </w:tcMar>
          </w:tcPr>
          <w:p>
            <w:r>
              <w:rPr>
                <w:rFonts w:ascii="Calibri" w:cs="Calibri" w:eastAsia="Calibri" w:hAnsi="Calibri"/>
                <w:b w:val="false"/>
                <w:bCs w:val="false"/>
                <w:sz w:val="20"/>
                <w:szCs w:val="20"/>
              </w:rPr>
              <w:t xml:space="preserve">references/conformance.md</w:t>
            </w:r>
          </w:p>
        </w:tc>
        <w:tc>
          <w:tcPr>
            <w:tcW w:type="dxa" w:w="6026"/>
            <w:tcBorders>
              <w:top w:val="single" w:color="B7C4C0" w:sz="4"/>
              <w:left w:val="single" w:color="B7C4C0" w:sz="4"/>
              <w:bottom w:val="single" w:color="B7C4C0" w:sz="4"/>
              <w:right w:val="single" w:color="B7C4C0" w:sz="4"/>
            </w:tcBorders>
            <w:tcMar>
              <w:top w:type="dxa" w:w="80"/>
              <w:left w:type="dxa" w:w="110"/>
              <w:bottom w:type="dxa" w:w="80"/>
              <w:right w:type="dxa" w:w="110"/>
            </w:tcMar>
          </w:tcPr>
          <w:p>
            <w:r>
              <w:rPr>
                <w:rFonts w:ascii="Calibri" w:cs="Calibri" w:eastAsia="Calibri" w:hAnsi="Calibri"/>
                <w:b w:val="false"/>
                <w:bCs w:val="false"/>
                <w:sz w:val="20"/>
                <w:szCs w:val="20"/>
              </w:rPr>
              <w:t>For each PS: paragraphs to cite (checked against the 2012 text), requirements, documents expected, typical ESAP actions</w:t>
            </w:r>
          </w:p>
        </w:tc>
      </w:tr>
      <w:tr>
        <w:trPr>
          <w:tblHeader w:val="false"/>
        </w:trPr>
        <w:tc>
          <w:tcPr>
            <w:tcW w:type="dxa" w:w="3000"/>
            <w:tcBorders>
              <w:top w:val="single" w:color="B7C4C0" w:sz="4"/>
              <w:left w:val="single" w:color="B7C4C0" w:sz="4"/>
              <w:bottom w:val="single" w:color="B7C4C0" w:sz="4"/>
              <w:right w:val="single" w:color="B7C4C0" w:sz="4"/>
            </w:tcBorders>
            <w:tcMar>
              <w:top w:type="dxa" w:w="80"/>
              <w:left w:type="dxa" w:w="110"/>
              <w:bottom w:type="dxa" w:w="80"/>
              <w:right w:type="dxa" w:w="110"/>
            </w:tcMar>
          </w:tcPr>
          <w:p>
            <w:r>
              <w:rPr>
                <w:rFonts w:ascii="Calibri" w:cs="Calibri" w:eastAsia="Calibri" w:hAnsi="Calibri"/>
                <w:b w:val="false"/>
                <w:bCs w:val="false"/>
                <w:sz w:val="20"/>
                <w:szCs w:val="20"/>
              </w:rPr>
              <w:t xml:space="preserve">references/india-law.md</w:t>
            </w:r>
          </w:p>
        </w:tc>
        <w:tc>
          <w:tcPr>
            <w:tcW w:type="dxa" w:w="6026"/>
            <w:tcBorders>
              <w:top w:val="single" w:color="B7C4C0" w:sz="4"/>
              <w:left w:val="single" w:color="B7C4C0" w:sz="4"/>
              <w:bottom w:val="single" w:color="B7C4C0" w:sz="4"/>
              <w:right w:val="single" w:color="B7C4C0" w:sz="4"/>
            </w:tcBorders>
            <w:tcMar>
              <w:top w:type="dxa" w:w="80"/>
              <w:left w:type="dxa" w:w="110"/>
              <w:bottom w:type="dxa" w:w="80"/>
              <w:right w:type="dxa" w:w="110"/>
            </w:tcMar>
          </w:tcPr>
          <w:p>
            <w:r>
              <w:rPr>
                <w:rFonts w:ascii="Calibri" w:cs="Calibri" w:eastAsia="Calibri" w:hAnsi="Calibri"/>
                <w:b w:val="false"/>
                <w:bCs w:val="false"/>
                <w:sz w:val="20"/>
                <w:szCs w:val="20"/>
              </w:rPr>
              <w:t xml:space="preserve">Indian instruments compared with each PS; the Environmental Clearance gap</w:t>
            </w:r>
          </w:p>
        </w:tc>
      </w:tr>
      <w:tr>
        <w:trPr>
          <w:tblHeader w:val="false"/>
        </w:trPr>
        <w:tc>
          <w:tcPr>
            <w:tcW w:type="dxa" w:w="3000"/>
            <w:tcBorders>
              <w:top w:val="single" w:color="B7C4C0" w:sz="4"/>
              <w:left w:val="single" w:color="B7C4C0" w:sz="4"/>
              <w:bottom w:val="single" w:color="B7C4C0" w:sz="4"/>
              <w:right w:val="single" w:color="B7C4C0" w:sz="4"/>
            </w:tcBorders>
            <w:tcMar>
              <w:top w:type="dxa" w:w="80"/>
              <w:left w:type="dxa" w:w="110"/>
              <w:bottom w:type="dxa" w:w="80"/>
              <w:right w:type="dxa" w:w="110"/>
            </w:tcMar>
          </w:tcPr>
          <w:p>
            <w:r>
              <w:rPr>
                <w:rFonts w:ascii="Calibri" w:cs="Calibri" w:eastAsia="Calibri" w:hAnsi="Calibri"/>
                <w:b w:val="false"/>
                <w:bCs w:val="false"/>
                <w:sz w:val="20"/>
                <w:szCs w:val="20"/>
              </w:rPr>
              <w:t xml:space="preserve">references/india-risk-flags.md</w:t>
            </w:r>
          </w:p>
        </w:tc>
        <w:tc>
          <w:tcPr>
            <w:tcW w:type="dxa" w:w="6026"/>
            <w:tcBorders>
              <w:top w:val="single" w:color="B7C4C0" w:sz="4"/>
              <w:left w:val="single" w:color="B7C4C0" w:sz="4"/>
              <w:bottom w:val="single" w:color="B7C4C0" w:sz="4"/>
              <w:right w:val="single" w:color="B7C4C0" w:sz="4"/>
            </w:tcBorders>
            <w:tcMar>
              <w:top w:type="dxa" w:w="80"/>
              <w:left w:type="dxa" w:w="110"/>
              <w:bottom w:type="dxa" w:w="80"/>
              <w:right w:type="dxa" w:w="110"/>
            </w:tcMar>
          </w:tcPr>
          <w:p>
            <w:r>
              <w:rPr>
                <w:rFonts w:ascii="Calibri" w:cs="Calibri" w:eastAsia="Calibri" w:hAnsi="Calibri"/>
                <w:b w:val="false"/>
                <w:bCs w:val="false"/>
                <w:sz w:val="20"/>
                <w:szCs w:val="20"/>
              </w:rPr>
              <w:t xml:space="preserve">Regional red flags: species, Scheduled Areas, land, water, supply chain labour</w:t>
            </w:r>
          </w:p>
        </w:tc>
      </w:tr>
      <w:tr>
        <w:trPr>
          <w:tblHeader w:val="false"/>
        </w:trPr>
        <w:tc>
          <w:tcPr>
            <w:tcW w:type="dxa" w:w="3000"/>
            <w:tcBorders>
              <w:top w:val="single" w:color="B7C4C0" w:sz="4"/>
              <w:left w:val="single" w:color="B7C4C0" w:sz="4"/>
              <w:bottom w:val="single" w:color="B7C4C0" w:sz="4"/>
              <w:right w:val="single" w:color="B7C4C0" w:sz="4"/>
            </w:tcBorders>
            <w:tcMar>
              <w:top w:type="dxa" w:w="80"/>
              <w:left w:type="dxa" w:w="110"/>
              <w:bottom w:type="dxa" w:w="80"/>
              <w:right w:type="dxa" w:w="110"/>
            </w:tcMar>
          </w:tcPr>
          <w:p>
            <w:r>
              <w:rPr>
                <w:rFonts w:ascii="Calibri" w:cs="Calibri" w:eastAsia="Calibri" w:hAnsi="Calibri"/>
                <w:b w:val="false"/>
                <w:bCs w:val="false"/>
                <w:sz w:val="20"/>
                <w:szCs w:val="20"/>
              </w:rPr>
              <w:t xml:space="preserve">references/output-templates.md</w:t>
            </w:r>
          </w:p>
        </w:tc>
        <w:tc>
          <w:tcPr>
            <w:tcW w:type="dxa" w:w="6026"/>
            <w:tcBorders>
              <w:top w:val="single" w:color="B7C4C0" w:sz="4"/>
              <w:left w:val="single" w:color="B7C4C0" w:sz="4"/>
              <w:bottom w:val="single" w:color="B7C4C0" w:sz="4"/>
              <w:right w:val="single" w:color="B7C4C0" w:sz="4"/>
            </w:tcBorders>
            <w:tcMar>
              <w:top w:type="dxa" w:w="80"/>
              <w:left w:type="dxa" w:w="110"/>
              <w:bottom w:type="dxa" w:w="80"/>
              <w:right w:type="dxa" w:w="110"/>
            </w:tcMar>
          </w:tcPr>
          <w:p>
            <w:r>
              <w:rPr>
                <w:rFonts w:ascii="Calibri" w:cs="Calibri" w:eastAsia="Calibri" w:hAnsi="Calibri"/>
                <w:b w:val="false"/>
                <w:bCs w:val="false"/>
                <w:sz w:val="20"/>
                <w:szCs w:val="20"/>
              </w:rPr>
              <w:t xml:space="preserve">Quick screen, Word screening memo, ESAP table, gap check table</w:t>
            </w:r>
          </w:p>
        </w:tc>
      </w:tr>
      <w:tr>
        <w:trPr>
          <w:tblHeader w:val="false"/>
        </w:trPr>
        <w:tc>
          <w:tcPr>
            <w:tcW w:type="dxa" w:w="3000"/>
            <w:tcBorders>
              <w:top w:val="single" w:color="B7C4C0" w:sz="4"/>
              <w:left w:val="single" w:color="B7C4C0" w:sz="4"/>
              <w:bottom w:val="single" w:color="B7C4C0" w:sz="4"/>
              <w:right w:val="single" w:color="B7C4C0" w:sz="4"/>
            </w:tcBorders>
            <w:tcMar>
              <w:top w:type="dxa" w:w="80"/>
              <w:left w:type="dxa" w:w="110"/>
              <w:bottom w:type="dxa" w:w="80"/>
              <w:right w:type="dxa" w:w="110"/>
            </w:tcMar>
          </w:tcPr>
          <w:p>
            <w:r>
              <w:rPr>
                <w:rFonts w:ascii="Calibri" w:cs="Calibri" w:eastAsia="Calibri" w:hAnsi="Calibri"/>
                <w:b w:val="false"/>
                <w:bCs w:val="false"/>
                <w:sz w:val="20"/>
                <w:szCs w:val="20"/>
              </w:rPr>
              <w:t xml:space="preserve">references/worked-examples.md</w:t>
            </w:r>
          </w:p>
        </w:tc>
        <w:tc>
          <w:tcPr>
            <w:tcW w:type="dxa" w:w="6026"/>
            <w:tcBorders>
              <w:top w:val="single" w:color="B7C4C0" w:sz="4"/>
              <w:left w:val="single" w:color="B7C4C0" w:sz="4"/>
              <w:bottom w:val="single" w:color="B7C4C0" w:sz="4"/>
              <w:right w:val="single" w:color="B7C4C0" w:sz="4"/>
            </w:tcBorders>
            <w:tcMar>
              <w:top w:type="dxa" w:w="80"/>
              <w:left w:type="dxa" w:w="110"/>
              <w:bottom w:type="dxa" w:w="80"/>
              <w:right w:type="dxa" w:w="110"/>
            </w:tcMar>
          </w:tcPr>
          <w:p>
            <w:r>
              <w:rPr>
                <w:rFonts w:ascii="Calibri" w:cs="Calibri" w:eastAsia="Calibri" w:hAnsi="Calibri"/>
                <w:b w:val="false"/>
                <w:bCs w:val="false"/>
                <w:sz w:val="20"/>
                <w:szCs w:val="20"/>
              </w:rPr>
              <w:t>Five worked examples: solar (Rajasthan), IT office (Pune), hydropower (Himachal Pradesh), new evidence changing an answer, an infrastructure fund (FI)</w:t>
            </w:r>
          </w:p>
        </w:tc>
      </w:tr>
      <w:tr>
        <w:trPr>
          <w:tblHeader w:val="false"/>
        </w:trPr>
        <w:tc>
          <w:tcPr>
            <w:tcW w:type="dxa" w:w="3000"/>
            <w:tcBorders>
              <w:top w:val="single" w:color="B7C4C0" w:sz="4"/>
              <w:left w:val="single" w:color="B7C4C0" w:sz="4"/>
              <w:bottom w:val="single" w:color="B7C4C0" w:sz="4"/>
              <w:right w:val="single" w:color="B7C4C0" w:sz="4"/>
            </w:tcBorders>
            <w:tcMar>
              <w:top w:type="dxa" w:w="80"/>
              <w:left w:type="dxa" w:w="110"/>
              <w:bottom w:type="dxa" w:w="80"/>
              <w:right w:type="dxa" w:w="110"/>
            </w:tcMar>
          </w:tcPr>
          <w:p>
            <w:r>
              <w:rPr>
                <w:rFonts w:ascii="Calibri" w:cs="Calibri" w:eastAsia="Calibri" w:hAnsi="Calibri"/>
                <w:b w:val="false"/>
                <w:bCs w:val="false"/>
                <w:sz w:val="20"/>
                <w:szCs w:val="20"/>
              </w:rPr>
              <w:t>scripts/screen.py</w:t>
            </w:r>
          </w:p>
        </w:tc>
        <w:tc>
          <w:tcPr>
            <w:tcW w:type="dxa" w:w="6026"/>
            <w:tcBorders>
              <w:top w:val="single" w:color="B7C4C0" w:sz="4"/>
              <w:left w:val="single" w:color="B7C4C0" w:sz="4"/>
              <w:bottom w:val="single" w:color="B7C4C0" w:sz="4"/>
              <w:right w:val="single" w:color="B7C4C0" w:sz="4"/>
            </w:tcBorders>
            <w:tcMar>
              <w:top w:type="dxa" w:w="80"/>
              <w:left w:type="dxa" w:w="110"/>
              <w:bottom w:type="dxa" w:w="80"/>
              <w:right w:type="dxa" w:w="110"/>
            </w:tcMar>
          </w:tcPr>
          <w:p>
            <w:r>
              <w:rPr>
                <w:rFonts w:ascii="Calibri" w:cs="Calibri" w:eastAsia="Calibri" w:hAnsi="Calibri"/>
                <w:b w:val="false"/>
                <w:bCs w:val="false"/>
                <w:sz w:val="20"/>
                <w:szCs w:val="20"/>
              </w:rPr>
              <w:t>The screening engine: applies the rule set to a case and returns verdicts, category, actions with citations, warnings, an Exclusion List reminder and sector notes</w:t>
            </w:r>
          </w:p>
        </w:tc>
      </w:tr>
      <w:tr>
        <w:trPr>
          <w:tblHeader w:val="false"/>
        </w:trPr>
        <w:tc>
          <w:tcPr>
            <w:tcW w:type="dxa" w:w="3000"/>
            <w:tcBorders>
              <w:top w:val="single" w:color="B7C4C0" w:sz="4"/>
              <w:left w:val="single" w:color="B7C4C0" w:sz="4"/>
              <w:bottom w:val="single" w:color="B7C4C0" w:sz="4"/>
              <w:right w:val="single" w:color="B7C4C0" w:sz="4"/>
            </w:tcBorders>
            <w:tcMar>
              <w:top w:type="dxa" w:w="80"/>
              <w:left w:type="dxa" w:w="110"/>
              <w:bottom w:type="dxa" w:w="80"/>
              <w:right w:type="dxa" w:w="110"/>
            </w:tcMar>
          </w:tcPr>
          <w:p>
            <w:r>
              <w:rPr>
                <w:rFonts w:ascii="Calibri" w:cs="Calibri" w:eastAsia="Calibri" w:hAnsi="Calibri"/>
                <w:b w:val="false"/>
                <w:bCs w:val="false"/>
                <w:sz w:val="20"/>
                <w:szCs w:val="20"/>
              </w:rPr>
              <w:t>references/ifc_ps_rules.json</w:t>
            </w:r>
          </w:p>
        </w:tc>
        <w:tc>
          <w:tcPr>
            <w:tcW w:type="dxa" w:w="6026"/>
            <w:tcBorders>
              <w:top w:val="single" w:color="B7C4C0" w:sz="4"/>
              <w:left w:val="single" w:color="B7C4C0" w:sz="4"/>
              <w:bottom w:val="single" w:color="B7C4C0" w:sz="4"/>
              <w:right w:val="single" w:color="B7C4C0" w:sz="4"/>
            </w:tcBorders>
            <w:tcMar>
              <w:top w:type="dxa" w:w="80"/>
              <w:left w:type="dxa" w:w="110"/>
              <w:bottom w:type="dxa" w:w="80"/>
              <w:right w:type="dxa" w:w="110"/>
            </w:tcMar>
          </w:tcPr>
          <w:p>
            <w:r>
              <w:rPr>
                <w:rFonts w:ascii="Calibri" w:cs="Calibri" w:eastAsia="Calibri" w:hAnsi="Calibri"/>
                <w:b w:val="false"/>
                <w:bCs w:val="false"/>
                <w:sz w:val="20"/>
                <w:szCs w:val="20"/>
              </w:rPr>
              <w:t>The EMC rule set (version 1.2.0): the same file that builds the HTML checklist</w:t>
            </w:r>
          </w:p>
        </w:tc>
      </w:tr>
      <w:tr>
        <w:trPr>
          <w:tblHeader w:val="false"/>
        </w:trPr>
        <w:tc>
          <w:tcPr>
            <w:tcW w:type="dxa" w:w="3000"/>
            <w:tcBorders>
              <w:top w:val="single" w:color="B7C4C0" w:sz="4"/>
              <w:left w:val="single" w:color="B7C4C0" w:sz="4"/>
              <w:bottom w:val="single" w:color="B7C4C0" w:sz="4"/>
              <w:right w:val="single" w:color="B7C4C0" w:sz="4"/>
            </w:tcBorders>
            <w:tcMar>
              <w:top w:type="dxa" w:w="80"/>
              <w:left w:type="dxa" w:w="110"/>
              <w:bottom w:type="dxa" w:w="80"/>
              <w:right w:type="dxa" w:w="110"/>
            </w:tcMar>
          </w:tcPr>
          <w:p>
            <w:r>
              <w:rPr>
                <w:rFonts w:ascii="Calibri" w:cs="Calibri" w:eastAsia="Calibri" w:hAnsi="Calibri"/>
                <w:b w:val="false"/>
                <w:bCs w:val="false"/>
                <w:sz w:val="20"/>
                <w:szCs w:val="20"/>
              </w:rPr>
              <w:t>references/paragraph-map.md</w:t>
            </w:r>
          </w:p>
        </w:tc>
        <w:tc>
          <w:tcPr>
            <w:tcW w:type="dxa" w:w="6026"/>
            <w:tcBorders>
              <w:top w:val="single" w:color="B7C4C0" w:sz="4"/>
              <w:left w:val="single" w:color="B7C4C0" w:sz="4"/>
              <w:bottom w:val="single" w:color="B7C4C0" w:sz="4"/>
              <w:right w:val="single" w:color="B7C4C0" w:sz="4"/>
            </w:tcBorders>
            <w:tcMar>
              <w:top w:type="dxa" w:w="80"/>
              <w:left w:type="dxa" w:w="110"/>
              <w:bottom w:type="dxa" w:w="80"/>
              <w:right w:type="dxa" w:w="110"/>
            </w:tcMar>
          </w:tcPr>
          <w:p>
            <w:r>
              <w:rPr>
                <w:rFonts w:ascii="Calibri" w:cs="Calibri" w:eastAsia="Calibri" w:hAnsi="Calibri"/>
                <w:b w:val="false"/>
                <w:bCs w:val="false"/>
                <w:sz w:val="20"/>
                <w:szCs w:val="20"/>
              </w:rPr>
              <w:t>Where each topic sits in the Performance Standards, the Sustainability Policy and the FI Guidance Note, to find the paragraph to quote</w:t>
            </w:r>
          </w:p>
        </w:tc>
      </w:tr>
      <w:tr>
        <w:trPr>
          <w:tblHeader w:val="false"/>
        </w:trPr>
        <w:tc>
          <w:tcPr>
            <w:tcW w:type="dxa" w:w="3000"/>
            <w:tcBorders>
              <w:top w:val="single" w:color="B7C4C0" w:sz="4"/>
              <w:left w:val="single" w:color="B7C4C0" w:sz="4"/>
              <w:bottom w:val="single" w:color="B7C4C0" w:sz="4"/>
              <w:right w:val="single" w:color="B7C4C0" w:sz="4"/>
            </w:tcBorders>
            <w:tcMar>
              <w:top w:type="dxa" w:w="80"/>
              <w:left w:type="dxa" w:w="110"/>
              <w:bottom w:type="dxa" w:w="80"/>
              <w:right w:type="dxa" w:w="110"/>
            </w:tcMar>
          </w:tcPr>
          <w:p>
            <w:r>
              <w:rPr>
                <w:rFonts w:ascii="Calibri" w:cs="Calibri" w:eastAsia="Calibri" w:hAnsi="Calibri"/>
                <w:b w:val="false"/>
                <w:bCs w:val="false"/>
                <w:sz w:val="20"/>
                <w:szCs w:val="20"/>
              </w:rPr>
              <w:t>references/exclusion-list.md</w:t>
            </w:r>
          </w:p>
        </w:tc>
        <w:tc>
          <w:tcPr>
            <w:tcW w:type="dxa" w:w="6026"/>
            <w:tcBorders>
              <w:top w:val="single" w:color="B7C4C0" w:sz="4"/>
              <w:left w:val="single" w:color="B7C4C0" w:sz="4"/>
              <w:bottom w:val="single" w:color="B7C4C0" w:sz="4"/>
              <w:right w:val="single" w:color="B7C4C0" w:sz="4"/>
            </w:tcBorders>
            <w:tcMar>
              <w:top w:type="dxa" w:w="80"/>
              <w:left w:type="dxa" w:w="110"/>
              <w:bottom w:type="dxa" w:w="80"/>
              <w:right w:type="dxa" w:w="110"/>
            </w:tcMar>
          </w:tcPr>
          <w:p>
            <w:r>
              <w:rPr>
                <w:rFonts w:ascii="Calibri" w:cs="Calibri" w:eastAsia="Calibri" w:hAnsi="Calibri"/>
                <w:b w:val="false"/>
                <w:bCs w:val="false"/>
                <w:sz w:val="20"/>
                <w:szCs w:val="20"/>
              </w:rPr>
              <w:t>The IFC Exclusion List and the extra exclusions for FIs, checked at intake before any verdict (amended 8 December 2025)</w:t>
            </w:r>
          </w:p>
        </w:tc>
      </w:tr>
      <w:tr>
        <w:trPr>
          <w:tblHeader w:val="false"/>
        </w:trPr>
        <w:tc>
          <w:tcPr>
            <w:tcW w:type="dxa" w:w="3000"/>
            <w:tcBorders>
              <w:top w:val="single" w:color="B7C4C0" w:sz="4"/>
              <w:left w:val="single" w:color="B7C4C0" w:sz="4"/>
              <w:bottom w:val="single" w:color="B7C4C0" w:sz="4"/>
              <w:right w:val="single" w:color="B7C4C0" w:sz="4"/>
            </w:tcBorders>
            <w:tcMar>
              <w:top w:type="dxa" w:w="80"/>
              <w:left w:type="dxa" w:w="110"/>
              <w:bottom w:type="dxa" w:w="80"/>
              <w:right w:type="dxa" w:w="110"/>
            </w:tcMar>
          </w:tcPr>
          <w:p>
            <w:r>
              <w:rPr>
                <w:rFonts w:ascii="Calibri" w:cs="Calibri" w:eastAsia="Calibri" w:hAnsi="Calibri"/>
                <w:b w:val="false"/>
                <w:bCs w:val="false"/>
                <w:sz w:val="20"/>
                <w:szCs w:val="20"/>
              </w:rPr>
              <w:t>references/fi-screening.md</w:t>
            </w:r>
          </w:p>
        </w:tc>
        <w:tc>
          <w:tcPr>
            <w:tcW w:type="dxa" w:w="6026"/>
            <w:tcBorders>
              <w:top w:val="single" w:color="B7C4C0" w:sz="4"/>
              <w:left w:val="single" w:color="B7C4C0" w:sz="4"/>
              <w:bottom w:val="single" w:color="B7C4C0" w:sz="4"/>
              <w:right w:val="single" w:color="B7C4C0" w:sz="4"/>
            </w:tcBorders>
            <w:tcMar>
              <w:top w:type="dxa" w:w="80"/>
              <w:left w:type="dxa" w:w="110"/>
              <w:bottom w:type="dxa" w:w="80"/>
              <w:right w:type="dxa" w:w="110"/>
            </w:tcMar>
          </w:tcPr>
          <w:p>
            <w:r>
              <w:rPr>
                <w:rFonts w:ascii="Calibri" w:cs="Calibri" w:eastAsia="Calibri" w:hAnsi="Calibri"/>
                <w:b w:val="false"/>
                <w:bCs w:val="false"/>
                <w:sz w:val="20"/>
                <w:szCs w:val="20"/>
              </w:rPr>
              <w:t>Banks, NBFCs, funds and insurers: FI-1 to FI-3, Higher Risk Transactions, scope of application, reporting (IFC Sustainability Policy and Guidance Note on Financial Intermediaries)</w:t>
            </w:r>
          </w:p>
        </w:tc>
      </w:tr>
      <w:tr>
        <w:trPr>
          <w:tblHeader w:val="false"/>
        </w:trPr>
        <w:tc>
          <w:tcPr>
            <w:tcW w:type="dxa" w:w="3000"/>
            <w:tcBorders>
              <w:top w:val="single" w:color="B7C4C0" w:sz="4"/>
              <w:left w:val="single" w:color="B7C4C0" w:sz="4"/>
              <w:bottom w:val="single" w:color="B7C4C0" w:sz="4"/>
              <w:right w:val="single" w:color="B7C4C0" w:sz="4"/>
            </w:tcBorders>
            <w:tcMar>
              <w:top w:type="dxa" w:w="80"/>
              <w:left w:type="dxa" w:w="110"/>
              <w:bottom w:type="dxa" w:w="80"/>
              <w:right w:type="dxa" w:w="110"/>
            </w:tcMar>
          </w:tcPr>
          <w:p>
            <w:r>
              <w:rPr>
                <w:rFonts w:ascii="Calibri" w:cs="Calibri" w:eastAsia="Calibri" w:hAnsi="Calibri"/>
                <w:b w:val="false"/>
                <w:bCs w:val="false"/>
                <w:sz w:val="20"/>
                <w:szCs w:val="20"/>
              </w:rPr>
              <w:t xml:space="preserve">NOTICE.txt</w:t>
            </w:r>
          </w:p>
        </w:tc>
        <w:tc>
          <w:tcPr>
            <w:tcW w:type="dxa" w:w="6026"/>
            <w:tcBorders>
              <w:top w:val="single" w:color="B7C4C0" w:sz="4"/>
              <w:left w:val="single" w:color="B7C4C0" w:sz="4"/>
              <w:bottom w:val="single" w:color="B7C4C0" w:sz="4"/>
              <w:right w:val="single" w:color="B7C4C0" w:sz="4"/>
            </w:tcBorders>
            <w:tcMar>
              <w:top w:type="dxa" w:w="80"/>
              <w:left w:type="dxa" w:w="110"/>
              <w:bottom w:type="dxa" w:w="80"/>
              <w:right w:type="dxa" w:w="110"/>
            </w:tcMar>
          </w:tcPr>
          <w:p>
            <w:r>
              <w:rPr>
                <w:rFonts w:ascii="Calibri" w:cs="Calibri" w:eastAsia="Calibri" w:hAnsi="Calibri"/>
                <w:b w:val="false"/>
                <w:bCs w:val="false"/>
                <w:sz w:val="20"/>
                <w:szCs w:val="20"/>
              </w:rPr>
              <w:t xml:space="preserve">Version, terms of use and limitations</w:t>
            </w:r>
          </w:p>
        </w:tc>
      </w:tr>
    </w:tbl>
    <w:p>
      <w:pPr>
        <w:pStyle w:val="Heading1"/>
      </w:pPr>
      <w:r>
        <w:rPr>
          <w:rFonts w:ascii="Calibri" w:cs="Calibri" w:eastAsia="Calibri" w:hAnsi="Calibri"/>
        </w:rPr>
        <w:t xml:space="preserve">3. Install the Skill</w:t>
      </w:r>
    </w:p>
    <w:p>
      <w:pPr>
        <w:pStyle w:val="ListParagraph"/>
        <w:numPr>
          <w:ilvl w:val="0"/>
          <w:numId w:val="2"/>
        </w:numPr>
        <w:spacing w:after="80"/>
      </w:pPr>
      <w:r>
        <w:rPr>
          <w:rFonts w:ascii="Calibri" w:cs="Calibri" w:eastAsia="Calibri" w:hAnsi="Calibri"/>
          <w:b/>
          <w:bCs/>
          <w:sz w:val="22"/>
          <w:szCs w:val="22"/>
        </w:rPr>
        <w:t xml:space="preserve">Turn on code execution. </w:t>
      </w:r>
      <w:r>
        <w:rPr>
          <w:rFonts w:ascii="Calibri" w:cs="Calibri" w:eastAsia="Calibri" w:hAnsi="Calibri"/>
          <w:sz w:val="22"/>
          <w:szCs w:val="22"/>
        </w:rPr>
        <w:t xml:space="preserve">Skills need Claude’s code execution environment. Check that it is enabled in your settings.</w:t>
      </w:r>
    </w:p>
    <w:p>
      <w:pPr>
        <w:pStyle w:val="ListParagraph"/>
        <w:numPr>
          <w:ilvl w:val="0"/>
          <w:numId w:val="2"/>
        </w:numPr>
        <w:spacing w:after="80"/>
      </w:pPr>
      <w:r>
        <w:rPr>
          <w:rFonts w:ascii="Calibri" w:cs="Calibri" w:eastAsia="Calibri" w:hAnsi="Calibri"/>
          <w:b/>
          <w:bCs/>
          <w:sz w:val="22"/>
          <w:szCs w:val="22"/>
        </w:rPr>
        <w:t xml:space="preserve">Open the Skills page. </w:t>
      </w:r>
      <w:r>
        <w:rPr>
          <w:rFonts w:ascii="Calibri" w:cs="Calibri" w:eastAsia="Calibri" w:hAnsi="Calibri"/>
          <w:sz w:val="22"/>
          <w:szCs w:val="22"/>
        </w:rPr>
        <w:t xml:space="preserve">In Claude (desktop app or claude.ai), go to Customize, then Skills.</w:t>
      </w:r>
    </w:p>
    <w:p>
      <w:pPr>
        <w:pStyle w:val="ListParagraph"/>
        <w:numPr>
          <w:ilvl w:val="0"/>
          <w:numId w:val="2"/>
        </w:numPr>
        <w:spacing w:after="80"/>
      </w:pPr>
      <w:r>
        <w:rPr>
          <w:rFonts w:ascii="Calibri" w:cs="Calibri" w:eastAsia="Calibri" w:hAnsi="Calibri"/>
          <w:b/>
          <w:bCs/>
          <w:sz w:val="22"/>
          <w:szCs w:val="22"/>
        </w:rPr>
        <w:t xml:space="preserve">Upload. </w:t>
      </w:r>
      <w:r>
        <w:rPr>
          <w:rFonts w:ascii="Calibri" w:cs="Calibri" w:eastAsia="Calibri" w:hAnsi="Calibri"/>
          <w:sz w:val="22"/>
          <w:szCs w:val="22"/>
        </w:rPr>
        <w:t xml:space="preserve">Click +, choose Create skill, then Upload a skill, and select ifc-ps-screening.zip as supplied. Do not unzip or rename it; the folder name must match the skill name.</w:t>
      </w:r>
    </w:p>
    <w:p>
      <w:pPr>
        <w:pStyle w:val="ListParagraph"/>
        <w:numPr>
          <w:ilvl w:val="0"/>
          <w:numId w:val="2"/>
        </w:numPr>
        <w:spacing w:after="80"/>
      </w:pPr>
      <w:r>
        <w:rPr>
          <w:rFonts w:ascii="Calibri" w:cs="Calibri" w:eastAsia="Calibri" w:hAnsi="Calibri"/>
          <w:b/>
          <w:bCs/>
          <w:sz w:val="22"/>
          <w:szCs w:val="22"/>
        </w:rPr>
        <w:t xml:space="preserve">Check it is on. </w:t>
      </w:r>
      <w:r>
        <w:rPr>
          <w:rFonts w:ascii="Calibri" w:cs="Calibri" w:eastAsia="Calibri" w:hAnsi="Calibri"/>
          <w:sz w:val="22"/>
          <w:szCs w:val="22"/>
        </w:rPr>
        <w:t xml:space="preserve">The Skill appears in your list with a toggle. Leave it switched on.</w:t>
      </w:r>
    </w:p>
    <w:p>
      <w:pPr>
        <w:spacing w:after="120" w:line="276"/>
      </w:pPr>
      <w:r>
        <w:rPr>
          <w:rFonts w:ascii="Calibri" w:cs="Calibri" w:eastAsia="Calibri" w:hAnsi="Calibri"/>
          <w:sz w:val="22"/>
          <w:szCs w:val="22"/>
        </w:rPr>
        <w:t xml:space="preserve">Skills are available on Free, Pro, Max, Team and Enterprise plans. Skills you upload are private to your account. On Team or Enterprise plans, an administrator can provision a Skill for colleagues.</w:t>
      </w:r>
    </w:p>
    <w:p>
      <w:pPr>
        <w:pStyle w:val="Heading1"/>
      </w:pPr>
      <w:r>
        <w:rPr>
          <w:rFonts w:ascii="Calibri" w:cs="Calibri" w:eastAsia="Calibri" w:hAnsi="Calibri"/>
        </w:rPr>
        <w:t xml:space="preserve">4. Use it with the Step 1 Project</w:t>
      </w:r>
    </w:p>
    <w:p>
      <w:pPr>
        <w:spacing w:after="120" w:line="276"/>
      </w:pPr>
      <w:r>
        <w:rPr>
          <w:rFonts w:ascii="Calibri" w:cs="Calibri" w:eastAsia="Calibri" w:hAnsi="Calibri"/>
          <w:sz w:val="22"/>
          <w:szCs w:val="22"/>
        </w:rPr>
        <w:t xml:space="preserve">The two work best together. Start your screening chats inside the IFC PS Screening Assistant Project: the Project supplies the IFC documents for paragraph-level citations, and the Skill supplies the method and formats. Used on its own, the Skill still screens, but cites by Performance Standard section and marks paragraph numbers as unverified.</w:t>
      </w:r>
    </w:p>
    <w:p>
      <w:pPr>
        <w:spacing w:after="120" w:line="276"/>
      </w:pPr>
      <w:r>
        <w:rPr>
          <w:rFonts w:ascii="Calibri" w:cs="Calibri" w:eastAsia="Calibri" w:hAnsi="Calibri"/>
          <w:sz w:val="22"/>
          <w:szCs w:val="22"/>
        </w:rPr>
        <w:t>Use it with the HTML checklist too. In the checklist, press Copy case for Claude, then paste the result into a chat with this Skill switched on. The Skill runs its bundled engine on your case (in Claude’s code execution environment, which Skills need anyway), so it starts from the same verdicts and category as the checklist, then adds depth: project facts, regional red flags, India law, paragraph citations and documents. It can raise a verdict when the facts justify it and says so; it does not lower one without a changed answer and a stated reason.</w:t>
      </w:r>
    </w:p>
    <w:p>
      <w:pPr>
        <w:pStyle w:val="Heading1"/>
      </w:pPr>
      <w:r>
        <w:rPr>
          <w:rFonts w:ascii="Calibri" w:cs="Calibri" w:eastAsia="Calibri" w:hAnsi="Calibri"/>
        </w:rPr>
        <w:t xml:space="preserve">5. Try it</w:t>
      </w:r>
    </w:p>
    <w:p>
      <w:pPr>
        <w:pStyle w:val="ListParagraph"/>
        <w:numPr>
          <w:ilvl w:val="0"/>
          <w:numId w:val="3"/>
        </w:numPr>
        <w:spacing w:after="60"/>
      </w:pPr>
      <w:r>
        <w:rPr>
          <w:rFonts w:ascii="Calibri" w:cs="Calibri" w:eastAsia="Calibri" w:hAnsi="Calibri"/>
          <w:sz w:val="22"/>
          <w:szCs w:val="22"/>
        </w:rPr>
        <w:t xml:space="preserve">Screen this project against the IFC Performance Standards: a 150 MW solar park in Jaisalmer on grazed revenue land, with a 33 km 220 kV line.</w:t>
      </w:r>
    </w:p>
    <w:p>
      <w:pPr>
        <w:pStyle w:val="ListParagraph"/>
        <w:numPr>
          <w:ilvl w:val="0"/>
          <w:numId w:val="3"/>
        </w:numPr>
        <w:spacing w:after="60"/>
      </w:pPr>
      <w:r>
        <w:rPr>
          <w:rFonts w:ascii="Calibri" w:cs="Calibri" w:eastAsia="Calibri" w:hAnsi="Calibri"/>
          <w:sz w:val="22"/>
          <w:szCs w:val="22"/>
        </w:rPr>
        <w:t>Here is a case copied from the EMC checklist: [paste]. Screen it further and draft the ESAP.</w:t>
      </w:r>
    </w:p>
    <w:p>
      <w:pPr>
        <w:pStyle w:val="ListParagraph"/>
        <w:numPr>
          <w:ilvl w:val="0"/>
          <w:numId w:val="3"/>
        </w:numPr>
        <w:spacing w:after="60"/>
      </w:pPr>
      <w:r>
        <w:rPr>
          <w:rFonts w:ascii="Calibri" w:cs="Calibri" w:eastAsia="Calibri" w:hAnsi="Calibri"/>
          <w:sz w:val="22"/>
          <w:szCs w:val="22"/>
        </w:rPr>
        <w:t xml:space="preserve">Our fund is looking at a cement plant expansion in Andhra Pradesh. What is the likely category and what will the ESAP need?</w:t>
      </w:r>
    </w:p>
    <w:p>
      <w:pPr>
        <w:pStyle w:val="ListParagraph"/>
        <w:numPr>
          <w:ilvl w:val="0"/>
          <w:numId w:val="3"/>
        </w:numPr>
        <w:spacing w:after="60"/>
      </w:pPr>
      <w:r>
        <w:rPr>
          <w:rFonts w:ascii="Calibri" w:cs="Calibri" w:eastAsia="Calibri" w:hAnsi="Calibri"/>
          <w:sz w:val="22"/>
          <w:szCs w:val="22"/>
        </w:rPr>
        <w:t xml:space="preserve">Write this screening up as a Word memo I can share with the investment committee.</w:t>
      </w:r>
    </w:p>
    <w:p>
      <w:pPr>
        <w:pStyle w:val="ListParagraph"/>
        <w:numPr>
          <w:ilvl w:val="0"/>
          <w:numId w:val="3"/>
        </w:numPr>
        <w:spacing w:after="60"/>
      </w:pPr>
      <w:r>
        <w:rPr>
          <w:rFonts w:ascii="Calibri" w:cs="Calibri" w:eastAsia="Calibri" w:hAnsi="Calibri"/>
          <w:sz w:val="22"/>
          <w:szCs w:val="22"/>
        </w:rPr>
        <w:t xml:space="preserve">Gap-check the attached ESMP against PS1, PS2 and PS4.</w:t>
      </w:r>
    </w:p>
    <w:p>
      <w:pPr>
        <w:spacing w:after="120" w:line="276"/>
      </w:pPr>
      <w:r>
        <w:rPr>
          <w:rFonts w:ascii="Calibri" w:cs="Calibri" w:eastAsia="Calibri" w:hAnsi="Calibri"/>
          <w:sz w:val="22"/>
          <w:szCs w:val="22"/>
        </w:rPr>
        <w:t xml:space="preserve">Compare the results with the worked examples in the package. If Claude does not seem to use the Skill, say so directly: “Use the IFC PS screening skill.”</w:t>
      </w:r>
    </w:p>
    <w:p>
      <w:pPr>
        <w:pStyle w:val="Heading1"/>
      </w:pPr>
      <w:r>
        <w:rPr>
          <w:rFonts w:ascii="Calibri" w:cs="Calibri" w:eastAsia="Calibri" w:hAnsi="Calibri"/>
        </w:rPr>
        <w:t xml:space="preserve">6. Updates and limits</w:t>
      </w:r>
    </w:p>
    <w:p>
      <w:pPr>
        <w:pStyle w:val="ListParagraph"/>
        <w:numPr>
          <w:ilvl w:val="0"/>
          <w:numId w:val="3"/>
        </w:numPr>
        <w:spacing w:after="60"/>
      </w:pPr>
      <w:r>
        <w:rPr>
          <w:rFonts w:ascii="Calibri" w:cs="Calibri" w:eastAsia="Calibri" w:hAnsi="Calibri"/>
          <w:b/>
          <w:bCs/>
          <w:sz w:val="22"/>
          <w:szCs w:val="22"/>
        </w:rPr>
        <w:t xml:space="preserve">Versioning. </w:t>
      </w:r>
      <w:r>
        <w:rPr>
          <w:rFonts w:ascii="Calibri" w:cs="Calibri" w:eastAsia="Calibri" w:hAnsi="Calibri"/>
          <w:sz w:val="22"/>
          <w:szCs w:val="22"/>
        </w:rPr>
        <w:t>This is version 1.2 (October 2026), with rule set 1.2.0. EMC will issue updates, for example when IFC adopts changes from its Sustainability Framework review. To update, delete the old Skill and upload the new ZIP.</w:t>
      </w:r>
    </w:p>
    <w:p>
      <w:pPr>
        <w:pStyle w:val="ListParagraph"/>
        <w:numPr>
          <w:ilvl w:val="0"/>
          <w:numId w:val="3"/>
        </w:numPr>
        <w:spacing w:after="60"/>
      </w:pPr>
      <w:r>
        <w:rPr>
          <w:rFonts w:ascii="Calibri" w:cs="Calibri" w:eastAsia="Calibri" w:hAnsi="Calibri"/>
          <w:b/>
          <w:bCs/>
          <w:sz w:val="22"/>
          <w:szCs w:val="22"/>
        </w:rPr>
        <w:t xml:space="preserve">Verify legal points. </w:t>
      </w:r>
      <w:r>
        <w:rPr>
          <w:rFonts w:ascii="Calibri" w:cs="Calibri" w:eastAsia="Calibri" w:hAnsi="Calibri"/>
          <w:sz w:val="22"/>
          <w:szCs w:val="22"/>
        </w:rPr>
        <w:t xml:space="preserve">India-law content reflects general knowledge as of October 2026; check current texts before relying on it.</w:t>
      </w:r>
    </w:p>
    <w:p>
      <w:pPr>
        <w:pStyle w:val="ListParagraph"/>
        <w:numPr>
          <w:ilvl w:val="0"/>
          <w:numId w:val="3"/>
        </w:numPr>
        <w:spacing w:after="60"/>
      </w:pPr>
      <w:r>
        <w:rPr>
          <w:rFonts w:ascii="Calibri" w:cs="Calibri" w:eastAsia="Calibri" w:hAnsi="Calibri"/>
          <w:b/>
          <w:bCs/>
          <w:sz w:val="22"/>
          <w:szCs w:val="22"/>
        </w:rPr>
        <w:t xml:space="preserve">Terms of use. </w:t>
      </w:r>
      <w:r>
        <w:rPr>
          <w:rFonts w:ascii="Calibri" w:cs="Calibri" w:eastAsia="Calibri" w:hAnsi="Calibri"/>
          <w:sz w:val="22"/>
          <w:szCs w:val="22"/>
        </w:rPr>
        <w:t xml:space="preserve">Provided for the professional use of masterclass participants; not for resale or redistribution without EMC’s permission.</w:t>
      </w:r>
    </w:p>
    <w:p>
      <w:pPr>
        <w:pStyle w:val="ListParagraph"/>
        <w:numPr>
          <w:ilvl w:val="0"/>
          <w:numId w:val="3"/>
        </w:numPr>
        <w:spacing w:after="60"/>
      </w:pPr>
      <w:r>
        <w:rPr>
          <w:rFonts w:ascii="Calibri" w:cs="Calibri" w:eastAsia="Calibri" w:hAnsi="Calibri"/>
          <w:b/>
          <w:bCs/>
          <w:sz w:val="22"/>
          <w:szCs w:val="22"/>
        </w:rPr>
        <w:t xml:space="preserve">Scope. </w:t>
      </w:r>
      <w:r>
        <w:rPr>
          <w:rFonts w:ascii="Calibri" w:cs="Calibri" w:eastAsia="Calibri" w:hAnsi="Calibri"/>
          <w:sz w:val="22"/>
          <w:szCs w:val="22"/>
        </w:rPr>
        <w:t xml:space="preserve">A first-pass screening aid. It does not replace an ESDD, ESIA or ESMS, and its category is provisional.</w:t>
      </w:r>
    </w:p>
    <w:p>
      <w:pPr>
        <w:pStyle w:val="Heading1"/>
      </w:pPr>
      <w:r>
        <w:rPr>
          <w:rFonts w:ascii="Calibri" w:cs="Calibri" w:eastAsia="Calibri" w:hAnsi="Calibri"/>
        </w:rPr>
        <w:t xml:space="preserve">7. What comes next</w:t>
      </w:r>
    </w:p>
    <w:p>
      <w:pPr>
        <w:spacing w:after="120" w:line="276"/>
      </w:pPr>
      <w:r>
        <w:rPr>
          <w:rFonts w:ascii="Calibri" w:cs="Calibri" w:eastAsia="Calibri" w:hAnsi="Calibri"/>
          <w:b/>
          <w:bCs/>
          <w:sz w:val="22"/>
          <w:szCs w:val="22"/>
        </w:rPr>
        <w:t xml:space="preserve">Step 3: an EMC-hosted connector. </w:t>
      </w:r>
      <w:r>
        <w:rPr>
          <w:rFonts w:ascii="Calibri" w:cs="Calibri" w:eastAsia="Calibri" w:hAnsi="Calibri"/>
          <w:sz w:val="22"/>
          <w:szCs w:val="22"/>
        </w:rPr>
        <w:t xml:space="preserve">A server that Claude connects to, holding indexed IFC documents and EMC’s screening rules, for clause-level retrieval and fund-specific customisation. Contact EMC about access for your institution.</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66B66"/>
        <w:sz w:val="16"/>
        <w:szCs w:val="16"/>
      </w:rPr>
      <w:t xml:space="preserve">IFC PS Screening Skill: participant setup kit   </w:t>
    </w:r>
    <w:r>
      <w:rPr>
        <w:rFonts w:ascii="Calibri" w:cs="Calibri" w:eastAsia="Calibri" w:hAnsi="Calibri"/>
        <w:color w:val="566B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6302C"/>
      <w:sz w:val="30"/>
      <w:szCs w:val="3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2026-10-28T05:59:30.917Z</dcterms:created>
  <dcterms:modified xsi:type="dcterms:W3CDTF">2026-10-28T05:59:30.925Z</dcterms:modified>
</cp:coreProperties>
</file>

<file path=docProps/custom.xml><?xml version="1.0" encoding="utf-8"?>
<Properties xmlns="http://schemas.openxmlformats.org/officeDocument/2006/custom-properties" xmlns:vt="http://schemas.openxmlformats.org/officeDocument/2006/docPropsVTypes"/>
</file>