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F79E1B"/>
          <w:sz w:val="19"/>
        </w:rPr>
        <w:t>MASTERCARD INNOVATION CHALLENGE @ GFF 2026  |  SUBMISSION WRITE-UP</w:t>
        <w:br/>
      </w:r>
      <w:r>
        <w:rPr>
          <w:b/>
          <w:color w:val="EB001B"/>
          <w:sz w:val="38"/>
        </w:rPr>
        <w:t>MasterShield AI: Closed-Loop Red/Blue AI Defense Lab for Payment Security</w:t>
      </w:r>
    </w:p>
    <w:p>
      <w:pPr>
        <w:spacing w:after="240"/>
      </w:pPr>
      <w:r>
        <w:rPr>
          <w:i/>
          <w:color w:val="64748B"/>
          <w:sz w:val="19"/>
        </w:rPr>
        <w:t>Track: AI Defense Lab for Payment Security  |  Global Fintech Fest 2026, Jio World Centre, Mumbai</w:t>
      </w:r>
    </w:p>
    <w:p>
      <w:pPr>
        <w:spacing w:after="220"/>
      </w:pPr>
      <w:r>
        <w:rPr>
          <w:b/>
          <w:color w:val="F79E1B"/>
        </w:rPr>
        <w:t>――――――――――――――――――――――――――――――――――――――――――――――――――――――――――――</w:t>
      </w:r>
    </w:p>
    <w:p>
      <w:pPr>
        <w:pStyle w:val="Heading1"/>
      </w:pPr>
      <w:r>
        <w:rPr>
          <w:color w:val="0F172A"/>
        </w:rPr>
        <w:t>Submission Artifacts</w:t>
      </w:r>
    </w:p>
    <w:tbl>
      <w:tblPr>
        <w:tblStyle w:val="TableGrid"/>
        <w:tblW w:type="auto" w:w="0"/>
        <w:jc w:val="center"/>
        <w:tblLook w:firstColumn="1" w:firstRow="1" w:lastColumn="0" w:lastRow="0" w:noHBand="0" w:noVBand="1" w:val="04A0"/>
      </w:tblPr>
      <w:tblGrid>
        <w:gridCol w:w="3216"/>
        <w:gridCol w:w="3216"/>
        <w:gridCol w:w="3216"/>
      </w:tblGrid>
      <w:tr>
        <w:tc>
          <w:tcPr>
            <w:tcW w:type="dxa" w:w="432"/>
            <w:shd w:fill="0F172A"/>
            <w:tcMar>
              <w:top w:w="60" w:type="dxa"/>
              <w:bottom w:w="60" w:type="dxa"/>
              <w:left w:w="110" w:type="dxa"/>
              <w:right w:w="110" w:type="dxa"/>
            </w:tcMar>
          </w:tcPr>
          <w:p>
            <w:r/>
            <w:r>
              <w:rPr>
                <w:b/>
                <w:color w:val="FFFFFF"/>
                <w:sz w:val="16"/>
              </w:rPr>
              <w:t>#</w:t>
            </w:r>
          </w:p>
        </w:tc>
        <w:tc>
          <w:tcPr>
            <w:tcW w:type="dxa" w:w="2736"/>
            <w:shd w:fill="0F172A"/>
            <w:tcMar>
              <w:top w:w="60" w:type="dxa"/>
              <w:bottom w:w="60" w:type="dxa"/>
              <w:left w:w="110" w:type="dxa"/>
              <w:right w:w="110" w:type="dxa"/>
            </w:tcMar>
          </w:tcPr>
          <w:p>
            <w:r/>
            <w:r>
              <w:rPr>
                <w:b/>
                <w:color w:val="FFFFFF"/>
                <w:sz w:val="16"/>
              </w:rPr>
              <w:t>Required artifact</w:t>
            </w:r>
          </w:p>
        </w:tc>
        <w:tc>
          <w:tcPr>
            <w:tcW w:type="dxa" w:w="6624"/>
            <w:shd w:fill="0F172A"/>
            <w:tcMar>
              <w:top w:w="60" w:type="dxa"/>
              <w:bottom w:w="60" w:type="dxa"/>
              <w:left w:w="110" w:type="dxa"/>
              <w:right w:w="110" w:type="dxa"/>
            </w:tcMar>
          </w:tcPr>
          <w:p>
            <w:r/>
            <w:r>
              <w:rPr>
                <w:b/>
                <w:color w:val="FFFFFF"/>
                <w:sz w:val="16"/>
              </w:rPr>
              <w:t>Location</w:t>
            </w:r>
          </w:p>
        </w:tc>
      </w:tr>
      <w:tr>
        <w:tc>
          <w:tcPr>
            <w:tcW w:type="dxa" w:w="432"/>
            <w:tcMar>
              <w:top w:w="60" w:type="dxa"/>
              <w:bottom w:w="60" w:type="dxa"/>
              <w:left w:w="110" w:type="dxa"/>
              <w:right w:w="110" w:type="dxa"/>
            </w:tcMar>
            <w:shd w:fill="F1F5F9"/>
          </w:tcPr>
          <w:p>
            <w:r/>
            <w:r>
              <w:rPr>
                <w:sz w:val="16"/>
              </w:rPr>
              <w:t>1</w:t>
            </w:r>
          </w:p>
        </w:tc>
        <w:tc>
          <w:tcPr>
            <w:tcW w:type="dxa" w:w="2736"/>
            <w:tcMar>
              <w:top w:w="60" w:type="dxa"/>
              <w:bottom w:w="60" w:type="dxa"/>
              <w:left w:w="110" w:type="dxa"/>
              <w:right w:w="110" w:type="dxa"/>
            </w:tcMar>
            <w:shd w:fill="F1F5F9"/>
          </w:tcPr>
          <w:p>
            <w:r/>
            <w:r>
              <w:rPr>
                <w:sz w:val="16"/>
              </w:rPr>
              <w:t>Code repository (GitHub)</w:t>
            </w:r>
          </w:p>
        </w:tc>
        <w:tc>
          <w:tcPr>
            <w:tcW w:type="dxa" w:w="6624"/>
            <w:tcMar>
              <w:top w:w="60" w:type="dxa"/>
              <w:bottom w:w="60" w:type="dxa"/>
              <w:left w:w="110" w:type="dxa"/>
              <w:right w:w="110" w:type="dxa"/>
            </w:tcMar>
            <w:shd w:fill="F1F5F9"/>
          </w:tcPr>
          <w:p>
            <w:r/>
            <w:r>
              <w:rPr>
                <w:sz w:val="16"/>
              </w:rPr>
              <w:t>https://github.com/Vision-jarvis/mastershield-ai-defense-lab</w:t>
            </w:r>
          </w:p>
        </w:tc>
      </w:tr>
      <w:tr>
        <w:tc>
          <w:tcPr>
            <w:tcW w:type="dxa" w:w="432"/>
            <w:tcMar>
              <w:top w:w="60" w:type="dxa"/>
              <w:bottom w:w="60" w:type="dxa"/>
              <w:left w:w="110" w:type="dxa"/>
              <w:right w:w="110" w:type="dxa"/>
            </w:tcMar>
            <w:shd w:fill="FFFFFF"/>
          </w:tcPr>
          <w:p>
            <w:r/>
            <w:r>
              <w:rPr>
                <w:sz w:val="16"/>
              </w:rPr>
              <w:t>2</w:t>
            </w:r>
          </w:p>
        </w:tc>
        <w:tc>
          <w:tcPr>
            <w:tcW w:type="dxa" w:w="2736"/>
            <w:tcMar>
              <w:top w:w="60" w:type="dxa"/>
              <w:bottom w:w="60" w:type="dxa"/>
              <w:left w:w="110" w:type="dxa"/>
              <w:right w:w="110" w:type="dxa"/>
            </w:tcMar>
            <w:shd w:fill="FFFFFF"/>
          </w:tcPr>
          <w:p>
            <w:r/>
            <w:r>
              <w:rPr>
                <w:sz w:val="16"/>
              </w:rPr>
              <w:t>Solution walkthrough (.docx)</w:t>
            </w:r>
          </w:p>
        </w:tc>
        <w:tc>
          <w:tcPr>
            <w:tcW w:type="dxa" w:w="6624"/>
            <w:tcMar>
              <w:top w:w="60" w:type="dxa"/>
              <w:bottom w:w="60" w:type="dxa"/>
              <w:left w:w="110" w:type="dxa"/>
              <w:right w:w="110" w:type="dxa"/>
            </w:tcMar>
            <w:shd w:fill="FFFFFF"/>
          </w:tcPr>
          <w:p>
            <w:r/>
            <w:r>
              <w:rPr>
                <w:sz w:val="16"/>
              </w:rPr>
              <w:t>Mastercard_AI_Defense_Lab_Solution_Walkthrough.docx (attached; repo root)</w:t>
            </w:r>
          </w:p>
        </w:tc>
      </w:tr>
      <w:tr>
        <w:tc>
          <w:tcPr>
            <w:tcW w:type="dxa" w:w="432"/>
            <w:tcMar>
              <w:top w:w="60" w:type="dxa"/>
              <w:bottom w:w="60" w:type="dxa"/>
              <w:left w:w="110" w:type="dxa"/>
              <w:right w:w="110" w:type="dxa"/>
            </w:tcMar>
            <w:shd w:fill="F1F5F9"/>
          </w:tcPr>
          <w:p>
            <w:r/>
            <w:r>
              <w:rPr>
                <w:sz w:val="16"/>
              </w:rPr>
              <w:t>3</w:t>
            </w:r>
          </w:p>
        </w:tc>
        <w:tc>
          <w:tcPr>
            <w:tcW w:type="dxa" w:w="2736"/>
            <w:tcMar>
              <w:top w:w="60" w:type="dxa"/>
              <w:bottom w:w="60" w:type="dxa"/>
              <w:left w:w="110" w:type="dxa"/>
              <w:right w:w="110" w:type="dxa"/>
            </w:tcMar>
            <w:shd w:fill="F1F5F9"/>
          </w:tcPr>
          <w:p>
            <w:r/>
            <w:r>
              <w:rPr>
                <w:sz w:val="16"/>
              </w:rPr>
              <w:t>Working web prototype</w:t>
            </w:r>
          </w:p>
        </w:tc>
        <w:tc>
          <w:tcPr>
            <w:tcW w:type="dxa" w:w="6624"/>
            <w:tcMar>
              <w:top w:w="60" w:type="dxa"/>
              <w:bottom w:w="60" w:type="dxa"/>
              <w:left w:w="110" w:type="dxa"/>
              <w:right w:w="110" w:type="dxa"/>
            </w:tcMar>
            <w:shd w:fill="F1F5F9"/>
          </w:tcPr>
          <w:p>
            <w:r/>
            <w:r>
              <w:rPr>
                <w:sz w:val="16"/>
              </w:rPr>
              <w:t>python web_app/server.py --port 8000  -&gt;  http://localhost:8000</w:t>
            </w:r>
          </w:p>
        </w:tc>
      </w:tr>
    </w:tbl>
    <w:p>
      <w:pPr>
        <w:spacing w:after="180"/>
      </w:pPr>
    </w:p>
    <w:p>
      <w:pPr>
        <w:spacing w:after="60"/>
        <w:jc w:val="both"/>
      </w:pPr>
      <w:r>
        <w:rPr>
          <w:b/>
          <w:i w:val="0"/>
          <w:sz w:val="19"/>
        </w:rPr>
        <w:t>Run the prototype in under a minute:</w:t>
      </w:r>
    </w:p>
    <w:p>
      <w:pPr>
        <w:spacing w:after="80"/>
      </w:pPr>
      <w:r>
        <w:rPr>
          <w:rFonts w:ascii="Consolas" w:hAnsi="Consolas"/>
          <w:sz w:val="17"/>
        </w:rPr>
        <w:t>git clone https://github.com/Vision-jarvis/mastershield-ai-defense-lab.git</w:t>
        <w:br/>
        <w:t>cd mastershield-ai-defense-lab &amp;&amp; pip install -r requirements.txt</w:t>
        <w:br/>
        <w:t>python web_app/server.py --port 8000</w:t>
      </w:r>
    </w:p>
    <w:p>
      <w:pPr>
        <w:spacing w:after="140"/>
        <w:jc w:val="both"/>
      </w:pPr>
      <w:r>
        <w:rPr>
          <w:b w:val="0"/>
          <w:i/>
          <w:sz w:val="18"/>
        </w:rPr>
        <w:t>The cockpit self-bootstraps its defense model on startup (about 10 seconds), so it is fully live on first launch with no prior training step required.</w:t>
      </w:r>
    </w:p>
    <w:p>
      <w:pPr>
        <w:pStyle w:val="Heading1"/>
      </w:pPr>
      <w:r>
        <w:rPr>
          <w:color w:val="0F172A"/>
        </w:rPr>
        <w:t>Summary</w:t>
      </w:r>
    </w:p>
    <w:p>
      <w:pPr>
        <w:spacing w:after="140"/>
        <w:jc w:val="both"/>
      </w:pPr>
      <w:r>
        <w:rPr>
          <w:b w:val="0"/>
          <w:i w:val="0"/>
          <w:sz w:val="19"/>
        </w:rPr>
        <w:t>Generative AI has collapsed the cost of producing convincing payment fraud. MasterShield AI answers with a closed loop rather than a classifier: a red team that maps and simulates emerging attack vectors, a three-tier defense that scores them under a real-time latency budget, and a feedback path where every evasion the defense misses becomes training data for the next round.</w:t>
      </w:r>
    </w:p>
    <w:p>
      <w:pPr>
        <w:spacing w:after="140"/>
        <w:jc w:val="both"/>
      </w:pPr>
      <w:r>
        <w:rPr>
          <w:b w:val="0"/>
          <w:i w:val="0"/>
          <w:sz w:val="19"/>
        </w:rPr>
        <w:t>What we would ask judges to notice: we red-teamed our own benchmark as aggressively as we red-teamed the payment rails. An early build of this system reported 100% recall and 1.0000 ROC-AUC. A systematic leakage audit proved those numbers were an artefact of the simulator labelling its own attacks. A depth-1 decision stump on account-name string length reproduced the entire result. We documented all nine measurement defects, fixed each in code, and re-benchmarked honestly. That audit is Section 2 of the walkthrough document.</w:t>
      </w:r>
    </w:p>
    <w:p>
      <w:pPr>
        <w:pStyle w:val="Heading1"/>
      </w:pPr>
      <w:r>
        <w:rPr>
          <w:color w:val="0F172A"/>
        </w:rPr>
        <w:t>1. Novel Fraud Attacks Identified</w:t>
      </w:r>
    </w:p>
    <w:p>
      <w:pPr>
        <w:spacing w:after="140"/>
        <w:jc w:val="both"/>
      </w:pPr>
      <w:r>
        <w:rPr>
          <w:b w:val="0"/>
          <w:i w:val="0"/>
          <w:sz w:val="19"/>
        </w:rPr>
        <w:t>The Mastercard Payment Adversarial Matrix (MPAM v2.0) maps 30 GenAI-enabled payment fraud vectors across 6 families spanning card, real-time, cross-border, and agentic rails. Each vector carries the rail it exploits, the ISO 20022 or scheme message it rides, the rejection code it should trigger, the generative mechanism that makes it newly cheap, and the blind spot in incumbent controls it targets.</w:t>
      </w:r>
    </w:p>
    <w:tbl>
      <w:tblPr>
        <w:tblStyle w:val="TableGrid"/>
        <w:tblW w:type="auto" w:w="0"/>
        <w:jc w:val="center"/>
        <w:tblLook w:firstColumn="1" w:firstRow="1" w:lastColumn="0" w:lastRow="0" w:noHBand="0" w:noVBand="1" w:val="04A0"/>
      </w:tblPr>
      <w:tblGrid>
        <w:gridCol w:w="4824"/>
        <w:gridCol w:w="4824"/>
      </w:tblGrid>
      <w:tr>
        <w:tc>
          <w:tcPr>
            <w:tcW w:type="dxa" w:w="1944"/>
            <w:shd w:fill="0F172A"/>
            <w:tcMar>
              <w:top w:w="60" w:type="dxa"/>
              <w:bottom w:w="60" w:type="dxa"/>
              <w:left w:w="110" w:type="dxa"/>
              <w:right w:w="110" w:type="dxa"/>
            </w:tcMar>
          </w:tcPr>
          <w:p>
            <w:r/>
            <w:r>
              <w:rPr>
                <w:b/>
                <w:color w:val="FFFFFF"/>
                <w:sz w:val="16"/>
              </w:rPr>
              <w:t>Family</w:t>
            </w:r>
          </w:p>
        </w:tc>
        <w:tc>
          <w:tcPr>
            <w:tcW w:type="dxa" w:w="7848"/>
            <w:shd w:fill="0F172A"/>
            <w:tcMar>
              <w:top w:w="60" w:type="dxa"/>
              <w:bottom w:w="60" w:type="dxa"/>
              <w:left w:w="110" w:type="dxa"/>
              <w:right w:w="110" w:type="dxa"/>
            </w:tcMar>
          </w:tcPr>
          <w:p>
            <w:r/>
            <w:r>
              <w:rPr>
                <w:b/>
                <w:color w:val="FFFFFF"/>
                <w:sz w:val="16"/>
              </w:rPr>
              <w:t>Representative vectors</w:t>
            </w:r>
          </w:p>
        </w:tc>
      </w:tr>
      <w:tr>
        <w:tc>
          <w:tcPr>
            <w:tcW w:type="dxa" w:w="1944"/>
            <w:tcMar>
              <w:top w:w="60" w:type="dxa"/>
              <w:bottom w:w="60" w:type="dxa"/>
              <w:left w:w="110" w:type="dxa"/>
              <w:right w:w="110" w:type="dxa"/>
            </w:tcMar>
            <w:shd w:fill="F1F5F9"/>
          </w:tcPr>
          <w:p>
            <w:r/>
            <w:r>
              <w:rPr>
                <w:sz w:val="16"/>
              </w:rPr>
              <w:t>Agentic Commerce</w:t>
            </w:r>
          </w:p>
        </w:tc>
        <w:tc>
          <w:tcPr>
            <w:tcW w:type="dxa" w:w="7848"/>
            <w:tcMar>
              <w:top w:w="60" w:type="dxa"/>
              <w:bottom w:w="60" w:type="dxa"/>
              <w:left w:w="110" w:type="dxa"/>
              <w:right w:w="110" w:type="dxa"/>
            </w:tcMar>
            <w:shd w:fill="F1F5F9"/>
          </w:tcPr>
          <w:p>
            <w:r/>
            <w:r>
              <w:rPr>
                <w:sz w:val="16"/>
              </w:rPr>
              <w:t>Wallet hijack via indirect prompt injection in catalog metadata; dispute hallucination against issuer LLM triage</w:t>
            </w:r>
          </w:p>
        </w:tc>
      </w:tr>
      <w:tr>
        <w:tc>
          <w:tcPr>
            <w:tcW w:type="dxa" w:w="1944"/>
            <w:tcMar>
              <w:top w:w="60" w:type="dxa"/>
              <w:bottom w:w="60" w:type="dxa"/>
              <w:left w:w="110" w:type="dxa"/>
              <w:right w:w="110" w:type="dxa"/>
            </w:tcMar>
            <w:shd w:fill="FFFFFF"/>
          </w:tcPr>
          <w:p>
            <w:r/>
            <w:r>
              <w:rPr>
                <w:sz w:val="16"/>
              </w:rPr>
              <w:t>Synthetic Identity</w:t>
            </w:r>
          </w:p>
        </w:tc>
        <w:tc>
          <w:tcPr>
            <w:tcW w:type="dxa" w:w="7848"/>
            <w:tcMar>
              <w:top w:w="60" w:type="dxa"/>
              <w:bottom w:w="60" w:type="dxa"/>
              <w:left w:w="110" w:type="dxa"/>
              <w:right w:w="110" w:type="dxa"/>
            </w:tcMar>
            <w:shd w:fill="FFFFFF"/>
          </w:tcPr>
          <w:p>
            <w:r/>
            <w:r>
              <w:rPr>
                <w:sz w:val="16"/>
              </w:rPr>
              <w:t>Polymorphic sleeper clusters; deepfake KYC liveness injection; cross-institution identity hopping</w:t>
            </w:r>
          </w:p>
        </w:tc>
      </w:tr>
      <w:tr>
        <w:tc>
          <w:tcPr>
            <w:tcW w:type="dxa" w:w="1944"/>
            <w:tcMar>
              <w:top w:w="60" w:type="dxa"/>
              <w:bottom w:w="60" w:type="dxa"/>
              <w:left w:w="110" w:type="dxa"/>
              <w:right w:w="110" w:type="dxa"/>
            </w:tcMar>
            <w:shd w:fill="F1F5F9"/>
          </w:tcPr>
          <w:p>
            <w:r/>
            <w:r>
              <w:rPr>
                <w:sz w:val="16"/>
              </w:rPr>
              <w:t>Biometric Evasion</w:t>
            </w:r>
          </w:p>
        </w:tc>
        <w:tc>
          <w:tcPr>
            <w:tcW w:type="dxa" w:w="7848"/>
            <w:tcMar>
              <w:top w:w="60" w:type="dxa"/>
              <w:bottom w:w="60" w:type="dxa"/>
              <w:left w:w="110" w:type="dxa"/>
              <w:right w:w="110" w:type="dxa"/>
            </w:tcMar>
            <w:shd w:fill="F1F5F9"/>
          </w:tcPr>
          <w:p>
            <w:r/>
            <w:r>
              <w:rPr>
                <w:sz w:val="16"/>
              </w:rPr>
              <w:t>Sub-perceptual GAN cursor kinematics; multimodal deepfake 3DS 2.3 step-up bypass</w:t>
            </w:r>
          </w:p>
        </w:tc>
      </w:tr>
      <w:tr>
        <w:tc>
          <w:tcPr>
            <w:tcW w:type="dxa" w:w="1944"/>
            <w:tcMar>
              <w:top w:w="60" w:type="dxa"/>
              <w:bottom w:w="60" w:type="dxa"/>
              <w:left w:w="110" w:type="dxa"/>
              <w:right w:w="110" w:type="dxa"/>
            </w:tcMar>
            <w:shd w:fill="FFFFFF"/>
          </w:tcPr>
          <w:p>
            <w:r/>
            <w:r>
              <w:rPr>
                <w:sz w:val="16"/>
              </w:rPr>
              <w:t>Payment Routing</w:t>
            </w:r>
          </w:p>
        </w:tc>
        <w:tc>
          <w:tcPr>
            <w:tcW w:type="dxa" w:w="7848"/>
            <w:tcMar>
              <w:top w:w="60" w:type="dxa"/>
              <w:bottom w:w="60" w:type="dxa"/>
              <w:left w:w="110" w:type="dxa"/>
              <w:right w:w="110" w:type="dxa"/>
            </w:tcMar>
            <w:shd w:fill="FFFFFF"/>
          </w:tcPr>
          <w:p>
            <w:r/>
            <w:r>
              <w:rPr>
                <w:sz w:val="16"/>
              </w:rPr>
              <w:t>Router evaporation and MCC slicing; BIN enumeration; cross-rail arbitrage timing</w:t>
            </w:r>
          </w:p>
        </w:tc>
      </w:tr>
      <w:tr>
        <w:tc>
          <w:tcPr>
            <w:tcW w:type="dxa" w:w="1944"/>
            <w:tcMar>
              <w:top w:w="60" w:type="dxa"/>
              <w:bottom w:w="60" w:type="dxa"/>
              <w:left w:w="110" w:type="dxa"/>
              <w:right w:w="110" w:type="dxa"/>
            </w:tcMar>
            <w:shd w:fill="F1F5F9"/>
          </w:tcPr>
          <w:p>
            <w:r/>
            <w:r>
              <w:rPr>
                <w:sz w:val="16"/>
              </w:rPr>
              <w:t>Real-Time Rails</w:t>
            </w:r>
          </w:p>
        </w:tc>
        <w:tc>
          <w:tcPr>
            <w:tcW w:type="dxa" w:w="7848"/>
            <w:tcMar>
              <w:top w:w="60" w:type="dxa"/>
              <w:bottom w:w="60" w:type="dxa"/>
              <w:left w:w="110" w:type="dxa"/>
              <w:right w:w="110" w:type="dxa"/>
            </w:tcMar>
            <w:shd w:fill="F1F5F9"/>
          </w:tcPr>
          <w:p>
            <w:r/>
            <w:r>
              <w:rPr>
                <w:sz w:val="16"/>
              </w:rPr>
              <w:t>Dynamic QR and VPA semantic camouflage; APP scam multi-turn LLM grooming; Request-to-Pay phishing</w:t>
            </w:r>
          </w:p>
        </w:tc>
      </w:tr>
      <w:tr>
        <w:tc>
          <w:tcPr>
            <w:tcW w:type="dxa" w:w="1944"/>
            <w:tcMar>
              <w:top w:w="60" w:type="dxa"/>
              <w:bottom w:w="60" w:type="dxa"/>
              <w:left w:w="110" w:type="dxa"/>
              <w:right w:w="110" w:type="dxa"/>
            </w:tcMar>
            <w:shd w:fill="FFFFFF"/>
          </w:tcPr>
          <w:p>
            <w:r/>
            <w:r>
              <w:rPr>
                <w:sz w:val="16"/>
              </w:rPr>
              <w:t>Graph Laundering</w:t>
            </w:r>
          </w:p>
        </w:tc>
        <w:tc>
          <w:tcPr>
            <w:tcW w:type="dxa" w:w="7848"/>
            <w:tcMar>
              <w:top w:w="60" w:type="dxa"/>
              <w:bottom w:w="60" w:type="dxa"/>
              <w:left w:w="110" w:type="dxa"/>
              <w:right w:w="110" w:type="dxa"/>
            </w:tcMar>
            <w:shd w:fill="FFFFFF"/>
          </w:tcPr>
          <w:p>
            <w:r/>
            <w:r>
              <w:rPr>
                <w:sz w:val="16"/>
              </w:rPr>
              <w:t>Low-centrality mule swarms; cyclic multi-hop wash; active learning feedback poisoning</w:t>
            </w:r>
          </w:p>
        </w:tc>
      </w:tr>
    </w:tbl>
    <w:p>
      <w:pPr>
        <w:spacing w:after="180"/>
      </w:pPr>
    </w:p>
    <w:p>
      <w:pPr>
        <w:spacing w:after="140"/>
        <w:jc w:val="both"/>
      </w:pPr>
      <w:r>
        <w:rPr>
          <w:b w:val="0"/>
          <w:i/>
          <w:sz w:val="18"/>
        </w:rPr>
        <w:t>11 of 30 are implemented as executable generators and measured in the benchmark below. The remaining 19 are mapped as forward threat intelligence. We state that split explicitly rather than implying full coverage.</w:t>
      </w:r>
    </w:p>
    <w:p>
      <w:pPr>
        <w:pStyle w:val="Heading1"/>
      </w:pPr>
      <w:r>
        <w:rPr>
          <w:color w:val="0F172A"/>
        </w:rPr>
        <w:t>2. How the System Generates and Simulates Those Attacks</w:t>
      </w:r>
    </w:p>
    <w:p>
      <w:pPr>
        <w:spacing w:after="140"/>
        <w:jc w:val="both"/>
      </w:pPr>
      <w:r>
        <w:rPr>
          <w:b w:val="0"/>
          <w:i w:val="0"/>
          <w:sz w:val="19"/>
        </w:rPr>
        <w:t>Fidelity in a fraud simulator is decided by the legitimate traffic, not the attacks. If benign behaviour is too clean, any attack separates trivially and the resulting detector is worthless. Most of our simulation effort went into making the benign side hard.</w:t>
      </w:r>
    </w:p>
    <w:p>
      <w:pPr>
        <w:pStyle w:val="ListBullet"/>
        <w:spacing w:after="60"/>
      </w:pPr>
      <w:r>
        <w:rPr>
          <w:b/>
          <w:sz w:val="19"/>
        </w:rPr>
        <w:t xml:space="preserve">Shared entity universe: </w:t>
      </w:r>
      <w:r>
        <w:rPr>
          <w:sz w:val="19"/>
        </w:rPr>
        <w:t>2,500 cardholders and 200 merchants with Zipfian popularity. Attacks compromise accounts from the same pool that generates legitimate spend, so no identifier or name format distinguishes the two populations.</w:t>
      </w:r>
    </w:p>
    <w:p>
      <w:pPr>
        <w:pStyle w:val="ListBullet"/>
        <w:spacing w:after="60"/>
      </w:pPr>
      <w:r>
        <w:rPr>
          <w:b/>
          <w:sz w:val="19"/>
        </w:rPr>
        <w:t xml:space="preserve">Stateful velocity: </w:t>
      </w:r>
      <w:r>
        <w:rPr>
          <w:sz w:val="19"/>
        </w:rPr>
        <w:t>24-hour counts and volumes accumulate from each account's real prior activity in the stream, so legitimate high-velocity users exist and velocity is genuinely ambiguous evidence rather than a free separator.</w:t>
      </w:r>
    </w:p>
    <w:p>
      <w:pPr>
        <w:pStyle w:val="ListBullet"/>
        <w:spacing w:after="60"/>
      </w:pPr>
      <w:r>
        <w:rPr>
          <w:b/>
          <w:sz w:val="19"/>
        </w:rPr>
        <w:t xml:space="preserve">Behavioural realism: </w:t>
      </w:r>
      <w:r>
        <w:rPr>
          <w:sz w:val="19"/>
        </w:rPr>
        <w:t>MCC-conditional heavy-tailed spend, diurnal and weekly timing curves, a 5.5% legitimate VPN rate, a power-user biometric subpopulation, and residential and carrier IP ranges across twelve global cities.</w:t>
      </w:r>
    </w:p>
    <w:p>
      <w:pPr>
        <w:pStyle w:val="ListBullet"/>
        <w:spacing w:after="60"/>
      </w:pPr>
      <w:r>
        <w:rPr>
          <w:b/>
          <w:sz w:val="19"/>
        </w:rPr>
        <w:t xml:space="preserve">Overlapping adversarial distributions: </w:t>
      </w:r>
      <w:r>
        <w:rPr>
          <w:sz w:val="19"/>
        </w:rPr>
        <w:t>evasion vectors are generated inside the benign envelope by design, which is why ADV_11 remains our hardest vector rather than a free detection.</w:t>
      </w:r>
    </w:p>
    <w:p>
      <w:pPr>
        <w:pStyle w:val="ListBullet"/>
        <w:spacing w:after="60"/>
      </w:pPr>
      <w:r>
        <w:rPr>
          <w:b/>
          <w:sz w:val="19"/>
        </w:rPr>
        <w:t xml:space="preserve">Protocol-accurate payloads: </w:t>
      </w:r>
      <w:r>
        <w:rPr>
          <w:sz w:val="19"/>
        </w:rPr>
        <w:t>pacs.008, pacs.002, camt.056 and pain.001 messages, EMV 3DS 2.3 authentication contexts, and agentic execution traces carrying prompt text, tool-call depth, and budget authorisation.</w:t>
      </w:r>
    </w:p>
    <w:p>
      <w:pPr>
        <w:spacing w:after="140"/>
        <w:jc w:val="both"/>
      </w:pPr>
      <w:r>
        <w:rPr>
          <w:b w:val="0"/>
          <w:i w:val="0"/>
          <w:sz w:val="19"/>
        </w:rPr>
        <w:t>A genetic adversarial optimiser then evolves the attack population against live blue team feedback, selecting on a fitness function that rewards evasion weighted by extracted value.</w:t>
      </w:r>
    </w:p>
    <w:p>
      <w:pPr>
        <w:pStyle w:val="Heading1"/>
      </w:pPr>
      <w:r>
        <w:rPr>
          <w:color w:val="0F172A"/>
        </w:rPr>
        <w:t>3. Detection and Mitigation Model, with Efficacy Results</w:t>
      </w:r>
    </w:p>
    <w:p>
      <w:pPr>
        <w:spacing w:after="140"/>
        <w:jc w:val="both"/>
      </w:pPr>
      <w:r>
        <w:rPr>
          <w:b w:val="0"/>
          <w:i w:val="0"/>
          <w:sz w:val="19"/>
        </w:rPr>
        <w:t>Three tiers run inside a single authorisation budget. Tier 1, a histogram gradient-boosted ensemble over 32 observable features, supplies the continuous calibrated ranking. Tier 2, a streaming transaction graph computing pass-through flow balance, cycles and fan-in, and Tier 3, a semantic guard for prompt injection, agent goal drift and homoglyph abuse, act as bounded safety overrides above 0.85 confidence and supply the evidence that routes the correct ISO 20022 rejection code and mitigation playbook.</w:t>
      </w:r>
    </w:p>
    <w:p>
      <w:pPr>
        <w:spacing w:after="80"/>
        <w:jc w:val="both"/>
      </w:pPr>
      <w:r>
        <w:rPr>
          <w:b/>
          <w:i w:val="0"/>
          <w:sz w:val="19"/>
        </w:rPr>
        <w:t>Benchmark: 20,000 unseen transactions at 0.50% fraud prevalence (99 attacks), strict sequential streaming with zero lookahead, one symmetric threshold governing both recall and false positives.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232"/>
            <w:shd w:fill="0F172A"/>
            <w:tcMar>
              <w:top w:w="60" w:type="dxa"/>
              <w:bottom w:w="60" w:type="dxa"/>
              <w:left w:w="110" w:type="dxa"/>
              <w:right w:w="110" w:type="dxa"/>
            </w:tcMar>
          </w:tcPr>
          <w:p>
            <w:r/>
            <w:r>
              <w:rPr>
                <w:b/>
                <w:color w:val="FFFFFF"/>
                <w:sz w:val="16"/>
              </w:rPr>
              <w:t>Metric</w:t>
            </w:r>
          </w:p>
        </w:tc>
        <w:tc>
          <w:tcPr>
            <w:tcW w:type="dxa" w:w="2304"/>
            <w:shd w:fill="0F172A"/>
            <w:tcMar>
              <w:top w:w="60" w:type="dxa"/>
              <w:bottom w:w="60" w:type="dxa"/>
              <w:left w:w="110" w:type="dxa"/>
              <w:right w:w="110" w:type="dxa"/>
            </w:tcMar>
          </w:tcPr>
          <w:p>
            <w:r/>
            <w:r>
              <w:rPr>
                <w:b/>
                <w:color w:val="FFFFFF"/>
                <w:sz w:val="16"/>
              </w:rPr>
              <w:t>Rules engine</w:t>
            </w:r>
          </w:p>
        </w:tc>
        <w:tc>
          <w:tcPr>
            <w:tcW w:type="dxa" w:w="2520"/>
            <w:shd w:fill="0F172A"/>
            <w:tcMar>
              <w:top w:w="60" w:type="dxa"/>
              <w:bottom w:w="60" w:type="dxa"/>
              <w:left w:w="110" w:type="dxa"/>
              <w:right w:w="110" w:type="dxa"/>
            </w:tcMar>
          </w:tcPr>
          <w:p>
            <w:r/>
            <w:r>
              <w:rPr>
                <w:b/>
                <w:color w:val="FFFFFF"/>
                <w:sz w:val="16"/>
              </w:rPr>
              <w:t>Tier 1 alone</w:t>
            </w:r>
          </w:p>
        </w:tc>
        <w:tc>
          <w:tcPr>
            <w:tcW w:type="dxa" w:w="2736"/>
            <w:shd w:fill="0F172A"/>
            <w:tcMar>
              <w:top w:w="60" w:type="dxa"/>
              <w:bottom w:w="60" w:type="dxa"/>
              <w:left w:w="110" w:type="dxa"/>
              <w:right w:w="110" w:type="dxa"/>
            </w:tcMar>
          </w:tcPr>
          <w:p>
            <w:r/>
            <w:r>
              <w:rPr>
                <w:b/>
                <w:color w:val="FFFFFF"/>
                <w:sz w:val="16"/>
              </w:rPr>
              <w:t>MasterShield unified</w:t>
            </w:r>
          </w:p>
        </w:tc>
      </w:tr>
      <w:tr>
        <w:tc>
          <w:tcPr>
            <w:tcW w:type="dxa" w:w="2232"/>
            <w:tcMar>
              <w:top w:w="60" w:type="dxa"/>
              <w:bottom w:w="60" w:type="dxa"/>
              <w:left w:w="110" w:type="dxa"/>
              <w:right w:w="110" w:type="dxa"/>
            </w:tcMar>
            <w:shd w:fill="F1F5F9"/>
          </w:tcPr>
          <w:p>
            <w:r/>
            <w:r>
              <w:rPr>
                <w:sz w:val="16"/>
              </w:rPr>
              <w:t>ROC-AUC</w:t>
            </w:r>
          </w:p>
        </w:tc>
        <w:tc>
          <w:tcPr>
            <w:tcW w:type="dxa" w:w="2304"/>
            <w:tcMar>
              <w:top w:w="60" w:type="dxa"/>
              <w:bottom w:w="60" w:type="dxa"/>
              <w:left w:w="110" w:type="dxa"/>
              <w:right w:w="110" w:type="dxa"/>
            </w:tcMar>
            <w:shd w:fill="F1F5F9"/>
          </w:tcPr>
          <w:p>
            <w:r/>
            <w:r>
              <w:rPr>
                <w:sz w:val="16"/>
              </w:rPr>
              <w:t>not applicable</w:t>
            </w:r>
          </w:p>
        </w:tc>
        <w:tc>
          <w:tcPr>
            <w:tcW w:type="dxa" w:w="2520"/>
            <w:tcMar>
              <w:top w:w="60" w:type="dxa"/>
              <w:bottom w:w="60" w:type="dxa"/>
              <w:left w:w="110" w:type="dxa"/>
              <w:right w:w="110" w:type="dxa"/>
            </w:tcMar>
            <w:shd w:fill="F1F5F9"/>
          </w:tcPr>
          <w:p>
            <w:r/>
            <w:r>
              <w:rPr>
                <w:sz w:val="16"/>
              </w:rPr>
              <w:t>0.9733</w:t>
            </w:r>
          </w:p>
        </w:tc>
        <w:tc>
          <w:tcPr>
            <w:tcW w:type="dxa" w:w="2736"/>
            <w:tcMar>
              <w:top w:w="60" w:type="dxa"/>
              <w:bottom w:w="60" w:type="dxa"/>
              <w:left w:w="110" w:type="dxa"/>
              <w:right w:w="110" w:type="dxa"/>
            </w:tcMar>
            <w:shd w:fill="F1F5F9"/>
          </w:tcPr>
          <w:p>
            <w:r/>
            <w:r>
              <w:rPr>
                <w:sz w:val="16"/>
              </w:rPr>
              <w:t>0.9768</w:t>
            </w:r>
          </w:p>
        </w:tc>
      </w:tr>
      <w:tr>
        <w:tc>
          <w:tcPr>
            <w:tcW w:type="dxa" w:w="2232"/>
            <w:tcMar>
              <w:top w:w="60" w:type="dxa"/>
              <w:bottom w:w="60" w:type="dxa"/>
              <w:left w:w="110" w:type="dxa"/>
              <w:right w:w="110" w:type="dxa"/>
            </w:tcMar>
            <w:shd w:fill="FFFFFF"/>
          </w:tcPr>
          <w:p>
            <w:r/>
            <w:r>
              <w:rPr>
                <w:sz w:val="16"/>
              </w:rPr>
              <w:t>PR-AUC</w:t>
            </w:r>
          </w:p>
        </w:tc>
        <w:tc>
          <w:tcPr>
            <w:tcW w:type="dxa" w:w="2304"/>
            <w:tcMar>
              <w:top w:w="60" w:type="dxa"/>
              <w:bottom w:w="60" w:type="dxa"/>
              <w:left w:w="110" w:type="dxa"/>
              <w:right w:w="110" w:type="dxa"/>
            </w:tcMar>
            <w:shd w:fill="FFFFFF"/>
          </w:tcPr>
          <w:p>
            <w:r/>
            <w:r>
              <w:rPr>
                <w:sz w:val="16"/>
              </w:rPr>
              <w:t>not applicable</w:t>
            </w:r>
          </w:p>
        </w:tc>
        <w:tc>
          <w:tcPr>
            <w:tcW w:type="dxa" w:w="2520"/>
            <w:tcMar>
              <w:top w:w="60" w:type="dxa"/>
              <w:bottom w:w="60" w:type="dxa"/>
              <w:left w:w="110" w:type="dxa"/>
              <w:right w:w="110" w:type="dxa"/>
            </w:tcMar>
            <w:shd w:fill="FFFFFF"/>
          </w:tcPr>
          <w:p>
            <w:r/>
            <w:r>
              <w:rPr>
                <w:sz w:val="16"/>
              </w:rPr>
              <w:t>0.8871</w:t>
            </w:r>
          </w:p>
        </w:tc>
        <w:tc>
          <w:tcPr>
            <w:tcW w:type="dxa" w:w="2736"/>
            <w:tcMar>
              <w:top w:w="60" w:type="dxa"/>
              <w:bottom w:w="60" w:type="dxa"/>
              <w:left w:w="110" w:type="dxa"/>
              <w:right w:w="110" w:type="dxa"/>
            </w:tcMar>
            <w:shd w:fill="FFFFFF"/>
          </w:tcPr>
          <w:p>
            <w:r/>
            <w:r>
              <w:rPr>
                <w:sz w:val="16"/>
              </w:rPr>
              <w:t>0.8856</w:t>
            </w:r>
          </w:p>
        </w:tc>
      </w:tr>
      <w:tr>
        <w:tc>
          <w:tcPr>
            <w:tcW w:type="dxa" w:w="2232"/>
            <w:tcMar>
              <w:top w:w="60" w:type="dxa"/>
              <w:bottom w:w="60" w:type="dxa"/>
              <w:left w:w="110" w:type="dxa"/>
              <w:right w:w="110" w:type="dxa"/>
            </w:tcMar>
            <w:shd w:fill="F1F5F9"/>
          </w:tcPr>
          <w:p>
            <w:r/>
            <w:r>
              <w:rPr>
                <w:sz w:val="16"/>
              </w:rPr>
              <w:t>Detection recall</w:t>
            </w:r>
          </w:p>
        </w:tc>
        <w:tc>
          <w:tcPr>
            <w:tcW w:type="dxa" w:w="2304"/>
            <w:tcMar>
              <w:top w:w="60" w:type="dxa"/>
              <w:bottom w:w="60" w:type="dxa"/>
              <w:left w:w="110" w:type="dxa"/>
              <w:right w:w="110" w:type="dxa"/>
            </w:tcMar>
            <w:shd w:fill="F1F5F9"/>
          </w:tcPr>
          <w:p>
            <w:r/>
            <w:r>
              <w:rPr>
                <w:sz w:val="16"/>
              </w:rPr>
              <w:t>40.40%</w:t>
            </w:r>
          </w:p>
        </w:tc>
        <w:tc>
          <w:tcPr>
            <w:tcW w:type="dxa" w:w="2520"/>
            <w:tcMar>
              <w:top w:w="60" w:type="dxa"/>
              <w:bottom w:w="60" w:type="dxa"/>
              <w:left w:w="110" w:type="dxa"/>
              <w:right w:w="110" w:type="dxa"/>
            </w:tcMar>
            <w:shd w:fill="F1F5F9"/>
          </w:tcPr>
          <w:p>
            <w:r/>
            <w:r>
              <w:rPr>
                <w:sz w:val="16"/>
              </w:rPr>
              <w:t>79.80%</w:t>
            </w:r>
          </w:p>
        </w:tc>
        <w:tc>
          <w:tcPr>
            <w:tcW w:type="dxa" w:w="2736"/>
            <w:tcMar>
              <w:top w:w="60" w:type="dxa"/>
              <w:bottom w:w="60" w:type="dxa"/>
              <w:left w:w="110" w:type="dxa"/>
              <w:right w:w="110" w:type="dxa"/>
            </w:tcMar>
            <w:shd w:fill="F1F5F9"/>
          </w:tcPr>
          <w:p>
            <w:r/>
            <w:r>
              <w:rPr>
                <w:sz w:val="16"/>
              </w:rPr>
              <w:t>80.81%</w:t>
            </w:r>
          </w:p>
        </w:tc>
      </w:tr>
      <w:tr>
        <w:tc>
          <w:tcPr>
            <w:tcW w:type="dxa" w:w="2232"/>
            <w:tcMar>
              <w:top w:w="60" w:type="dxa"/>
              <w:bottom w:w="60" w:type="dxa"/>
              <w:left w:w="110" w:type="dxa"/>
              <w:right w:w="110" w:type="dxa"/>
            </w:tcMar>
            <w:shd w:fill="FFFFFF"/>
          </w:tcPr>
          <w:p>
            <w:r/>
            <w:r>
              <w:rPr>
                <w:sz w:val="16"/>
              </w:rPr>
              <w:t>Precision</w:t>
            </w:r>
          </w:p>
        </w:tc>
        <w:tc>
          <w:tcPr>
            <w:tcW w:type="dxa" w:w="2304"/>
            <w:tcMar>
              <w:top w:w="60" w:type="dxa"/>
              <w:bottom w:w="60" w:type="dxa"/>
              <w:left w:w="110" w:type="dxa"/>
              <w:right w:w="110" w:type="dxa"/>
            </w:tcMar>
            <w:shd w:fill="FFFFFF"/>
          </w:tcPr>
          <w:p>
            <w:r/>
            <w:r>
              <w:rPr>
                <w:sz w:val="16"/>
              </w:rPr>
              <w:t>2.93%</w:t>
            </w:r>
          </w:p>
        </w:tc>
        <w:tc>
          <w:tcPr>
            <w:tcW w:type="dxa" w:w="2520"/>
            <w:tcMar>
              <w:top w:w="60" w:type="dxa"/>
              <w:bottom w:w="60" w:type="dxa"/>
              <w:left w:w="110" w:type="dxa"/>
              <w:right w:w="110" w:type="dxa"/>
            </w:tcMar>
            <w:shd w:fill="FFFFFF"/>
          </w:tcPr>
          <w:p>
            <w:r/>
            <w:r>
              <w:rPr>
                <w:sz w:val="16"/>
              </w:rPr>
              <w:t>100.00%*</w:t>
            </w:r>
          </w:p>
        </w:tc>
        <w:tc>
          <w:tcPr>
            <w:tcW w:type="dxa" w:w="2736"/>
            <w:tcMar>
              <w:top w:w="60" w:type="dxa"/>
              <w:bottom w:w="60" w:type="dxa"/>
              <w:left w:w="110" w:type="dxa"/>
              <w:right w:w="110" w:type="dxa"/>
            </w:tcMar>
            <w:shd w:fill="FFFFFF"/>
          </w:tcPr>
          <w:p>
            <w:r/>
            <w:r>
              <w:rPr>
                <w:sz w:val="16"/>
              </w:rPr>
              <w:t>100.00%*</w:t>
            </w:r>
          </w:p>
        </w:tc>
      </w:tr>
      <w:tr>
        <w:tc>
          <w:tcPr>
            <w:tcW w:type="dxa" w:w="2232"/>
            <w:tcMar>
              <w:top w:w="60" w:type="dxa"/>
              <w:bottom w:w="60" w:type="dxa"/>
              <w:left w:w="110" w:type="dxa"/>
              <w:right w:w="110" w:type="dxa"/>
            </w:tcMar>
            <w:shd w:fill="F1F5F9"/>
          </w:tcPr>
          <w:p>
            <w:r/>
            <w:r>
              <w:rPr>
                <w:sz w:val="16"/>
              </w:rPr>
              <w:t>F1 score</w:t>
            </w:r>
          </w:p>
        </w:tc>
        <w:tc>
          <w:tcPr>
            <w:tcW w:type="dxa" w:w="2304"/>
            <w:tcMar>
              <w:top w:w="60" w:type="dxa"/>
              <w:bottom w:w="60" w:type="dxa"/>
              <w:left w:w="110" w:type="dxa"/>
              <w:right w:w="110" w:type="dxa"/>
            </w:tcMar>
            <w:shd w:fill="F1F5F9"/>
          </w:tcPr>
          <w:p>
            <w:r/>
            <w:r>
              <w:rPr>
                <w:sz w:val="16"/>
              </w:rPr>
              <w:t>0.0546</w:t>
            </w:r>
          </w:p>
        </w:tc>
        <w:tc>
          <w:tcPr>
            <w:tcW w:type="dxa" w:w="2520"/>
            <w:tcMar>
              <w:top w:w="60" w:type="dxa"/>
              <w:bottom w:w="60" w:type="dxa"/>
              <w:left w:w="110" w:type="dxa"/>
              <w:right w:w="110" w:type="dxa"/>
            </w:tcMar>
            <w:shd w:fill="F1F5F9"/>
          </w:tcPr>
          <w:p>
            <w:r/>
            <w:r>
              <w:rPr>
                <w:sz w:val="16"/>
              </w:rPr>
              <w:t>0.8876</w:t>
            </w:r>
          </w:p>
        </w:tc>
        <w:tc>
          <w:tcPr>
            <w:tcW w:type="dxa" w:w="2736"/>
            <w:tcMar>
              <w:top w:w="60" w:type="dxa"/>
              <w:bottom w:w="60" w:type="dxa"/>
              <w:left w:w="110" w:type="dxa"/>
              <w:right w:w="110" w:type="dxa"/>
            </w:tcMar>
            <w:shd w:fill="F1F5F9"/>
          </w:tcPr>
          <w:p>
            <w:r/>
            <w:r>
              <w:rPr>
                <w:sz w:val="16"/>
              </w:rPr>
              <w:t>0.8939</w:t>
            </w:r>
          </w:p>
        </w:tc>
      </w:tr>
      <w:tr>
        <w:tc>
          <w:tcPr>
            <w:tcW w:type="dxa" w:w="2232"/>
            <w:tcMar>
              <w:top w:w="60" w:type="dxa"/>
              <w:bottom w:w="60" w:type="dxa"/>
              <w:left w:w="110" w:type="dxa"/>
              <w:right w:w="110" w:type="dxa"/>
            </w:tcMar>
            <w:shd w:fill="FFFFFF"/>
          </w:tcPr>
          <w:p>
            <w:r/>
            <w:r>
              <w:rPr>
                <w:sz w:val="16"/>
              </w:rPr>
              <w:t>False positive rate</w:t>
            </w:r>
          </w:p>
        </w:tc>
        <w:tc>
          <w:tcPr>
            <w:tcW w:type="dxa" w:w="2304"/>
            <w:tcMar>
              <w:top w:w="60" w:type="dxa"/>
              <w:bottom w:w="60" w:type="dxa"/>
              <w:left w:w="110" w:type="dxa"/>
              <w:right w:w="110" w:type="dxa"/>
            </w:tcMar>
            <w:shd w:fill="FFFFFF"/>
          </w:tcPr>
          <w:p>
            <w:r/>
            <w:r>
              <w:rPr>
                <w:sz w:val="16"/>
              </w:rPr>
              <w:t>6.658%</w:t>
            </w:r>
          </w:p>
        </w:tc>
        <w:tc>
          <w:tcPr>
            <w:tcW w:type="dxa" w:w="2520"/>
            <w:tcMar>
              <w:top w:w="60" w:type="dxa"/>
              <w:bottom w:w="60" w:type="dxa"/>
              <w:left w:w="110" w:type="dxa"/>
              <w:right w:w="110" w:type="dxa"/>
            </w:tcMar>
            <w:shd w:fill="FFFFFF"/>
          </w:tcPr>
          <w:p>
            <w:r/>
            <w:r>
              <w:rPr>
                <w:sz w:val="16"/>
              </w:rPr>
              <w:t>0.0000%*</w:t>
            </w:r>
          </w:p>
        </w:tc>
        <w:tc>
          <w:tcPr>
            <w:tcW w:type="dxa" w:w="2736"/>
            <w:tcMar>
              <w:top w:w="60" w:type="dxa"/>
              <w:bottom w:w="60" w:type="dxa"/>
              <w:left w:w="110" w:type="dxa"/>
              <w:right w:w="110" w:type="dxa"/>
            </w:tcMar>
            <w:shd w:fill="FFFFFF"/>
          </w:tcPr>
          <w:p>
            <w:r/>
            <w:r>
              <w:rPr>
                <w:sz w:val="16"/>
              </w:rPr>
              <w:t>0.0000%*</w:t>
            </w:r>
          </w:p>
        </w:tc>
      </w:tr>
      <w:tr>
        <w:tc>
          <w:tcPr>
            <w:tcW w:type="dxa" w:w="2232"/>
            <w:tcMar>
              <w:top w:w="60" w:type="dxa"/>
              <w:bottom w:w="60" w:type="dxa"/>
              <w:left w:w="110" w:type="dxa"/>
              <w:right w:w="110" w:type="dxa"/>
            </w:tcMar>
            <w:shd w:fill="F1F5F9"/>
          </w:tcPr>
          <w:p>
            <w:r/>
            <w:r>
              <w:rPr>
                <w:sz w:val="16"/>
              </w:rPr>
              <w:t>Fraud value prevented</w:t>
            </w:r>
          </w:p>
        </w:tc>
        <w:tc>
          <w:tcPr>
            <w:tcW w:type="dxa" w:w="2304"/>
            <w:tcMar>
              <w:top w:w="60" w:type="dxa"/>
              <w:bottom w:w="60" w:type="dxa"/>
              <w:left w:w="110" w:type="dxa"/>
              <w:right w:w="110" w:type="dxa"/>
            </w:tcMar>
            <w:shd w:fill="F1F5F9"/>
          </w:tcPr>
          <w:p>
            <w:r/>
            <w:r>
              <w:rPr>
                <w:sz w:val="16"/>
              </w:rPr>
              <w:t>not applicable</w:t>
            </w:r>
          </w:p>
        </w:tc>
        <w:tc>
          <w:tcPr>
            <w:tcW w:type="dxa" w:w="2520"/>
            <w:tcMar>
              <w:top w:w="60" w:type="dxa"/>
              <w:bottom w:w="60" w:type="dxa"/>
              <w:left w:w="110" w:type="dxa"/>
              <w:right w:w="110" w:type="dxa"/>
            </w:tcMar>
            <w:shd w:fill="F1F5F9"/>
          </w:tcPr>
          <w:p>
            <w:r/>
            <w:r>
              <w:rPr>
                <w:sz w:val="16"/>
              </w:rPr>
              <w:t>not applicable</w:t>
            </w:r>
          </w:p>
        </w:tc>
        <w:tc>
          <w:tcPr>
            <w:tcW w:type="dxa" w:w="2736"/>
            <w:tcMar>
              <w:top w:w="60" w:type="dxa"/>
              <w:bottom w:w="60" w:type="dxa"/>
              <w:left w:w="110" w:type="dxa"/>
              <w:right w:w="110" w:type="dxa"/>
            </w:tcMar>
            <w:shd w:fill="F1F5F9"/>
          </w:tcPr>
          <w:p>
            <w:r/>
            <w:r>
              <w:rPr>
                <w:sz w:val="16"/>
              </w:rPr>
              <w:t>$356,006 (90.2%)</w:t>
            </w:r>
          </w:p>
        </w:tc>
      </w:tr>
      <w:tr>
        <w:tc>
          <w:tcPr>
            <w:tcW w:type="dxa" w:w="2232"/>
            <w:tcMar>
              <w:top w:w="60" w:type="dxa"/>
              <w:bottom w:w="60" w:type="dxa"/>
              <w:left w:w="110" w:type="dxa"/>
              <w:right w:w="110" w:type="dxa"/>
            </w:tcMar>
            <w:shd w:fill="FFFFFF"/>
          </w:tcPr>
          <w:p>
            <w:r/>
            <w:r>
              <w:rPr>
                <w:sz w:val="16"/>
              </w:rPr>
              <w:t>Latency P99</w:t>
            </w:r>
          </w:p>
        </w:tc>
        <w:tc>
          <w:tcPr>
            <w:tcW w:type="dxa" w:w="2304"/>
            <w:tcMar>
              <w:top w:w="60" w:type="dxa"/>
              <w:bottom w:w="60" w:type="dxa"/>
              <w:left w:w="110" w:type="dxa"/>
              <w:right w:w="110" w:type="dxa"/>
            </w:tcMar>
            <w:shd w:fill="FFFFFF"/>
          </w:tcPr>
          <w:p>
            <w:r/>
            <w:r>
              <w:rPr>
                <w:sz w:val="16"/>
              </w:rPr>
              <w:t>0.15 ms</w:t>
            </w:r>
          </w:p>
        </w:tc>
        <w:tc>
          <w:tcPr>
            <w:tcW w:type="dxa" w:w="2520"/>
            <w:tcMar>
              <w:top w:w="60" w:type="dxa"/>
              <w:bottom w:w="60" w:type="dxa"/>
              <w:left w:w="110" w:type="dxa"/>
              <w:right w:w="110" w:type="dxa"/>
            </w:tcMar>
            <w:shd w:fill="FFFFFF"/>
          </w:tcPr>
          <w:p>
            <w:r/>
            <w:r>
              <w:rPr>
                <w:sz w:val="16"/>
              </w:rPr>
              <w:t>1.10 ms</w:t>
            </w:r>
          </w:p>
        </w:tc>
        <w:tc>
          <w:tcPr>
            <w:tcW w:type="dxa" w:w="2736"/>
            <w:tcMar>
              <w:top w:w="60" w:type="dxa"/>
              <w:bottom w:w="60" w:type="dxa"/>
              <w:left w:w="110" w:type="dxa"/>
              <w:right w:w="110" w:type="dxa"/>
            </w:tcMar>
            <w:shd w:fill="FFFFFF"/>
          </w:tcPr>
          <w:p>
            <w:r/>
            <w:r>
              <w:rPr>
                <w:sz w:val="16"/>
              </w:rPr>
              <w:t>17.47 ms</w:t>
            </w:r>
          </w:p>
        </w:tc>
      </w:tr>
    </w:tbl>
    <w:p>
      <w:pPr>
        <w:spacing w:after="180"/>
      </w:pPr>
    </w:p>
    <w:p>
      <w:pPr>
        <w:spacing w:after="140"/>
        <w:jc w:val="both"/>
      </w:pPr>
      <w:r>
        <w:rPr>
          <w:b w:val="0"/>
          <w:i/>
          <w:sz w:val="17"/>
        </w:rPr>
        <w:t>* Zero false positives across 19,901 benign transactions is the modal result. Under different OpenMP thread scheduling we observe 91.86% precision and 0.035% FPR. We report both rather than only the favourable one.</w:t>
      </w:r>
    </w:p>
    <w:p>
      <w:pPr>
        <w:spacing w:after="140"/>
        <w:jc w:val="both"/>
      </w:pPr>
      <w:r>
        <w:rPr>
          <w:b w:val="0"/>
          <w:i/>
          <w:sz w:val="19"/>
        </w:rPr>
        <w:t>The rules baseline is the honest comparator: a 6.66% false positive rate would decline thousands of legitimate cardholders per million transactions. That gap, not the absolute score, is the operational case for the system.</w:t>
      </w:r>
    </w:p>
    <w:p>
      <w:pPr>
        <w:spacing w:after="60"/>
        <w:jc w:val="both"/>
      </w:pPr>
      <w:r>
        <w:rPr>
          <w:b/>
          <w:i w:val="0"/>
          <w:sz w:val="19"/>
        </w:rPr>
        <w:t>Open gaps, stated plainly rather than hidden:</w:t>
      </w:r>
    </w:p>
    <w:p>
      <w:pPr>
        <w:pStyle w:val="ListBullet"/>
        <w:spacing w:after="60"/>
      </w:pPr>
      <w:r>
        <w:rPr>
          <w:b/>
          <w:sz w:val="19"/>
        </w:rPr>
        <w:t xml:space="preserve">ADV_30 feedback poisoning (0% recall): </w:t>
      </w:r>
      <w:r>
        <w:rPr>
          <w:sz w:val="19"/>
        </w:rPr>
        <w:t>perturbations sit inside benign physical limits and additionally pass 100% of our sanitisation checks, so poisoned transactions reach the retraining buffer carrying a benign label. This is a complete end-to-end loop vulnerability and our top roadmap item.</w:t>
      </w:r>
    </w:p>
    <w:p>
      <w:pPr>
        <w:pStyle w:val="ListBullet"/>
        <w:spacing w:after="60"/>
      </w:pPr>
      <w:r>
        <w:rPr>
          <w:b/>
          <w:sz w:val="19"/>
        </w:rPr>
        <w:t xml:space="preserve">ADV_11 sub-perceptual biometrics (11.1% recall): </w:t>
      </w:r>
      <w:r>
        <w:rPr>
          <w:sz w:val="19"/>
        </w:rPr>
        <w:t>generated inside the human distribution by construction; defeating it needs longitudinal per-identity behavioural baselines.</w:t>
      </w:r>
    </w:p>
    <w:p>
      <w:pPr>
        <w:pStyle w:val="ListBullet"/>
        <w:spacing w:after="60"/>
      </w:pPr>
      <w:r>
        <w:rPr>
          <w:b/>
          <w:sz w:val="19"/>
        </w:rPr>
        <w:t xml:space="preserve">Warm-up ablation: </w:t>
      </w:r>
      <w:r>
        <w:rPr>
          <w:sz w:val="19"/>
        </w:rPr>
        <w:t>reported as preliminary rather than a finding, because the warmed arm is scored against isolated graph state and does not reproduce genuine topological seasoning.</w:t>
      </w:r>
    </w:p>
    <w:p>
      <w:pPr>
        <w:pStyle w:val="Heading1"/>
      </w:pPr>
      <w:r>
        <w:rPr>
          <w:color w:val="0F172A"/>
        </w:rPr>
        <w:t>4. Real-World Feasibility in Live Payment Environments</w:t>
      </w:r>
    </w:p>
    <w:tbl>
      <w:tblPr>
        <w:tblStyle w:val="TableGrid"/>
        <w:tblW w:type="auto" w:w="0"/>
        <w:jc w:val="center"/>
        <w:tblLook w:firstColumn="1" w:firstRow="1" w:lastColumn="0" w:lastRow="0" w:noHBand="0" w:noVBand="1" w:val="04A0"/>
      </w:tblPr>
      <w:tblGrid>
        <w:gridCol w:w="4824"/>
        <w:gridCol w:w="4824"/>
      </w:tblGrid>
      <w:tr>
        <w:tc>
          <w:tcPr>
            <w:tcW w:type="dxa" w:w="2160"/>
            <w:shd w:fill="0F172A"/>
            <w:tcMar>
              <w:top w:w="60" w:type="dxa"/>
              <w:bottom w:w="60" w:type="dxa"/>
              <w:left w:w="110" w:type="dxa"/>
              <w:right w:w="110" w:type="dxa"/>
            </w:tcMar>
          </w:tcPr>
          <w:p>
            <w:r/>
            <w:r>
              <w:rPr>
                <w:b/>
                <w:color w:val="FFFFFF"/>
                <w:sz w:val="15"/>
              </w:rPr>
              <w:t>Requirement</w:t>
            </w:r>
          </w:p>
        </w:tc>
        <w:tc>
          <w:tcPr>
            <w:tcW w:type="dxa" w:w="7632"/>
            <w:shd w:fill="0F172A"/>
            <w:tcMar>
              <w:top w:w="60" w:type="dxa"/>
              <w:bottom w:w="60" w:type="dxa"/>
              <w:left w:w="110" w:type="dxa"/>
              <w:right w:w="110" w:type="dxa"/>
            </w:tcMar>
          </w:tcPr>
          <w:p>
            <w:r/>
            <w:r>
              <w:rPr>
                <w:b/>
                <w:color w:val="FFFFFF"/>
                <w:sz w:val="15"/>
              </w:rPr>
              <w:t>Position</w:t>
            </w:r>
          </w:p>
        </w:tc>
      </w:tr>
      <w:tr>
        <w:tc>
          <w:tcPr>
            <w:tcW w:type="dxa" w:w="2160"/>
            <w:tcMar>
              <w:top w:w="60" w:type="dxa"/>
              <w:bottom w:w="60" w:type="dxa"/>
              <w:left w:w="110" w:type="dxa"/>
              <w:right w:w="110" w:type="dxa"/>
            </w:tcMar>
            <w:shd w:fill="F1F5F9"/>
          </w:tcPr>
          <w:p>
            <w:r/>
            <w:r>
              <w:rPr>
                <w:sz w:val="15"/>
              </w:rPr>
              <w:t>Latency budget</w:t>
            </w:r>
          </w:p>
        </w:tc>
        <w:tc>
          <w:tcPr>
            <w:tcW w:type="dxa" w:w="7632"/>
            <w:tcMar>
              <w:top w:w="60" w:type="dxa"/>
              <w:bottom w:w="60" w:type="dxa"/>
              <w:left w:w="110" w:type="dxa"/>
              <w:right w:w="110" w:type="dxa"/>
            </w:tcMar>
            <w:shd w:fill="F1F5F9"/>
          </w:tcPr>
          <w:p>
            <w:r/>
            <w:r>
              <w:rPr>
                <w:sz w:val="15"/>
              </w:rPr>
              <w:t>Mean 4.96 ms, P99 17.47 ms, 97.86% within the 9.8 ms SLA on single-threaded Python. The P99 does not yet meet target. Production path is compiling the graph engine to C++/GraphBLAS. Specified, not claimed as achieved.</w:t>
            </w:r>
          </w:p>
        </w:tc>
      </w:tr>
      <w:tr>
        <w:tc>
          <w:tcPr>
            <w:tcW w:type="dxa" w:w="2160"/>
            <w:tcMar>
              <w:top w:w="60" w:type="dxa"/>
              <w:bottom w:w="60" w:type="dxa"/>
              <w:left w:w="110" w:type="dxa"/>
              <w:right w:w="110" w:type="dxa"/>
            </w:tcMar>
            <w:shd w:fill="FFFFFF"/>
          </w:tcPr>
          <w:p>
            <w:r/>
            <w:r>
              <w:rPr>
                <w:sz w:val="15"/>
              </w:rPr>
              <w:t>Feature observability</w:t>
            </w:r>
          </w:p>
        </w:tc>
        <w:tc>
          <w:tcPr>
            <w:tcW w:type="dxa" w:w="7632"/>
            <w:tcMar>
              <w:top w:w="60" w:type="dxa"/>
              <w:bottom w:w="60" w:type="dxa"/>
              <w:left w:w="110" w:type="dxa"/>
              <w:right w:w="110" w:type="dxa"/>
            </w:tcMar>
            <w:shd w:fill="FFFFFF"/>
          </w:tcPr>
          <w:p>
            <w:r/>
            <w:r>
              <w:rPr>
                <w:sz w:val="15"/>
              </w:rPr>
              <w:t>Every feature is drawn from data an issuer or acquirer genuinely holds at decision time. Simulation-only oracle flags were deliberately removed during the leakage audit.</w:t>
            </w:r>
          </w:p>
        </w:tc>
      </w:tr>
      <w:tr>
        <w:tc>
          <w:tcPr>
            <w:tcW w:type="dxa" w:w="2160"/>
            <w:tcMar>
              <w:top w:w="60" w:type="dxa"/>
              <w:bottom w:w="60" w:type="dxa"/>
              <w:left w:w="110" w:type="dxa"/>
              <w:right w:w="110" w:type="dxa"/>
            </w:tcMar>
            <w:shd w:fill="F1F5F9"/>
          </w:tcPr>
          <w:p>
            <w:r/>
            <w:r>
              <w:rPr>
                <w:sz w:val="15"/>
              </w:rPr>
              <w:t>Label availability</w:t>
            </w:r>
          </w:p>
        </w:tc>
        <w:tc>
          <w:tcPr>
            <w:tcW w:type="dxa" w:w="7632"/>
            <w:tcMar>
              <w:top w:w="60" w:type="dxa"/>
              <w:bottom w:w="60" w:type="dxa"/>
              <w:left w:w="110" w:type="dxa"/>
              <w:right w:w="110" w:type="dxa"/>
            </w:tcMar>
            <w:shd w:fill="F1F5F9"/>
          </w:tcPr>
          <w:p>
            <w:r/>
            <w:r>
              <w:rPr>
                <w:sz w:val="15"/>
              </w:rPr>
              <w:t>Real chargeback labels arrive 30 to 90 days after the transaction. The online learning module is built around delayed feedback ingestion rather than assuming instant ground truth.</w:t>
            </w:r>
          </w:p>
        </w:tc>
      </w:tr>
      <w:tr>
        <w:tc>
          <w:tcPr>
            <w:tcW w:type="dxa" w:w="2160"/>
            <w:tcMar>
              <w:top w:w="60" w:type="dxa"/>
              <w:bottom w:w="60" w:type="dxa"/>
              <w:left w:w="110" w:type="dxa"/>
              <w:right w:w="110" w:type="dxa"/>
            </w:tcMar>
            <w:shd w:fill="FFFFFF"/>
          </w:tcPr>
          <w:p>
            <w:r/>
            <w:r>
              <w:rPr>
                <w:sz w:val="15"/>
              </w:rPr>
              <w:t>ISO 20022 interoperability</w:t>
            </w:r>
          </w:p>
        </w:tc>
        <w:tc>
          <w:tcPr>
            <w:tcW w:type="dxa" w:w="7632"/>
            <w:tcMar>
              <w:top w:w="60" w:type="dxa"/>
              <w:bottom w:w="60" w:type="dxa"/>
              <w:left w:w="110" w:type="dxa"/>
              <w:right w:w="110" w:type="dxa"/>
            </w:tcMar>
            <w:shd w:fill="FFFFFF"/>
          </w:tcPr>
          <w:p>
            <w:r/>
            <w:r>
              <w:rPr>
                <w:sz w:val="15"/>
              </w:rPr>
              <w:t>Declines emit structured pacs.002 envelopes using standard external codes where a correct one exists (FRAD, AM05, AC06, RR04), and explicitly namespaced proprietary extensions (X-MC-AGNT, X-MC-SYNI, X-MC-BIOM, X-MC-MULE, X-MC-QRSP) where no standard code expresses a GenAI-native failure mode, rather than overloading an existing code.</w:t>
            </w:r>
          </w:p>
        </w:tc>
      </w:tr>
      <w:tr>
        <w:tc>
          <w:tcPr>
            <w:tcW w:type="dxa" w:w="2160"/>
            <w:tcMar>
              <w:top w:w="60" w:type="dxa"/>
              <w:bottom w:w="60" w:type="dxa"/>
              <w:left w:w="110" w:type="dxa"/>
              <w:right w:w="110" w:type="dxa"/>
            </w:tcMar>
            <w:shd w:fill="F1F5F9"/>
          </w:tcPr>
          <w:p>
            <w:r/>
            <w:r>
              <w:rPr>
                <w:sz w:val="15"/>
              </w:rPr>
              <w:t>Explainability and governance</w:t>
            </w:r>
          </w:p>
        </w:tc>
        <w:tc>
          <w:tcPr>
            <w:tcW w:type="dxa" w:w="7632"/>
            <w:tcMar>
              <w:top w:w="60" w:type="dxa"/>
              <w:bottom w:w="60" w:type="dxa"/>
              <w:left w:w="110" w:type="dxa"/>
              <w:right w:w="110" w:type="dxa"/>
            </w:tcMar>
            <w:shd w:fill="F1F5F9"/>
          </w:tcPr>
          <w:p>
            <w:r/>
            <w:r>
              <w:rPr>
                <w:sz w:val="15"/>
              </w:rPr>
              <w:t>Every non-approval carries ranked feature attribution and a named mitigation playbook. Fraud scoring is high-risk under the EU AI Act; we provide the technical substrate and note that full compliance additionally requires model governance, drift monitoring, and human oversight.</w:t>
            </w:r>
          </w:p>
        </w:tc>
      </w:tr>
      <w:tr>
        <w:tc>
          <w:tcPr>
            <w:tcW w:type="dxa" w:w="2160"/>
            <w:tcMar>
              <w:top w:w="60" w:type="dxa"/>
              <w:bottom w:w="60" w:type="dxa"/>
              <w:left w:w="110" w:type="dxa"/>
              <w:right w:w="110" w:type="dxa"/>
            </w:tcMar>
            <w:shd w:fill="FFFFFF"/>
          </w:tcPr>
          <w:p>
            <w:r/>
            <w:r>
              <w:rPr>
                <w:sz w:val="15"/>
              </w:rPr>
              <w:t>Data protection</w:t>
            </w:r>
          </w:p>
        </w:tc>
        <w:tc>
          <w:tcPr>
            <w:tcW w:type="dxa" w:w="7632"/>
            <w:tcMar>
              <w:top w:w="60" w:type="dxa"/>
              <w:bottom w:w="60" w:type="dxa"/>
              <w:left w:w="110" w:type="dxa"/>
              <w:right w:w="110" w:type="dxa"/>
            </w:tcMar>
            <w:shd w:fill="FFFFFF"/>
          </w:tcPr>
          <w:p>
            <w:r/>
            <w:r>
              <w:rPr>
                <w:sz w:val="15"/>
              </w:rPr>
              <w:t>Identifiers are handled in masked-PAN, IBAN and VPA form. Behavioural biometrics are personal data under GDPR and India's DPDP Act, requiring lawful basis and retention controls.</w:t>
            </w:r>
          </w:p>
        </w:tc>
      </w:tr>
      <w:tr>
        <w:tc>
          <w:tcPr>
            <w:tcW w:type="dxa" w:w="2160"/>
            <w:tcMar>
              <w:top w:w="60" w:type="dxa"/>
              <w:bottom w:w="60" w:type="dxa"/>
              <w:left w:w="110" w:type="dxa"/>
              <w:right w:w="110" w:type="dxa"/>
            </w:tcMar>
            <w:shd w:fill="F1F5F9"/>
          </w:tcPr>
          <w:p>
            <w:r/>
            <w:r>
              <w:rPr>
                <w:sz w:val="15"/>
              </w:rPr>
              <w:t>Deployment model</w:t>
            </w:r>
          </w:p>
        </w:tc>
        <w:tc>
          <w:tcPr>
            <w:tcW w:type="dxa" w:w="7632"/>
            <w:tcMar>
              <w:top w:w="60" w:type="dxa"/>
              <w:bottom w:w="60" w:type="dxa"/>
              <w:left w:w="110" w:type="dxa"/>
              <w:right w:w="110" w:type="dxa"/>
            </w:tcMar>
            <w:shd w:fill="F1F5F9"/>
          </w:tcPr>
          <w:p>
            <w:r/>
            <w:r>
              <w:rPr>
                <w:sz w:val="15"/>
              </w:rPr>
              <w:t>Champion-challenger shadow scoring alongside the incumbent engine, promoting only on demonstrated cost-weighted lift. Tier 2 and Tier 3 attribution supports analyst triage and cross-institution consortium signals.</w:t>
            </w:r>
          </w:p>
        </w:tc>
      </w:tr>
    </w:tbl>
    <w:p>
      <w:pPr>
        <w:spacing w:after="180"/>
      </w:pPr>
    </w:p>
    <w:p>
      <w:pPr>
        <w:pStyle w:val="Heading1"/>
      </w:pPr>
      <w:r>
        <w:rPr>
          <w:color w:val="0F172A"/>
        </w:rPr>
        <w:t>Reproducibility</w:t>
      </w:r>
    </w:p>
    <w:p>
      <w:pPr>
        <w:spacing w:after="100"/>
      </w:pPr>
      <w:r>
        <w:rPr>
          <w:rFonts w:ascii="Consolas" w:hAnsi="Consolas"/>
          <w:sz w:val="17"/>
        </w:rPr>
        <w:t>pytest tests/ -v                                                   # 9/9 passing</w:t>
        <w:br/>
        <w:t>python scripts/run_benchmark.py --samples 20000 --fraud-ratio 0.005</w:t>
        <w:br/>
        <w:t>python scripts/generate_docs.py                                    # rebuilds the .docx</w:t>
      </w:r>
    </w:p>
    <w:p>
      <w:pPr>
        <w:spacing w:after="140"/>
        <w:jc w:val="both"/>
      </w:pPr>
      <w:r>
        <w:rPr>
          <w:b w:val="0"/>
          <w:i w:val="0"/>
          <w:sz w:val="19"/>
        </w:rPr>
        <w:t>Every figure in this document is read programmatically from artifacts/benchmark_results.json (run 2026-08-30 19:47:15) and the taxonomy from config, so it cannot drift from the code. Seeded initialisation makes generation and training deterministic; HistGradientBoostingClassifier bins histograms in thread-completion order, so OMP_NUM_THREADS=1 pins the exact baseline.</w:t>
      </w:r>
    </w:p>
    <w:p>
      <w:pPr>
        <w:spacing w:after="140"/>
        <w:jc w:val="both"/>
      </w:pPr>
      <w:r>
        <w:rPr>
          <w:b/>
          <w:i w:val="0"/>
          <w:sz w:val="19"/>
        </w:rPr>
        <w:t>All payment data is synthetic. No real cardholder, transaction, or biometric data was used.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