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UNIT 4</w:t>
      </w:r>
    </w:p>
    <w:p w:rsidR="00000000" w:rsidDel="00000000" w:rsidP="00000000" w:rsidRDefault="00000000" w:rsidRPr="00000000" w14:paraId="0000000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1)Explain Direct Memory Access.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2)Explain Programmed IO.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3)Discuss accessing IO devices.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4"/>
          <w:szCs w:val="34"/>
        </w:rPr>
      </w:pPr>
      <w:r w:rsidDel="00000000" w:rsidR="00000000" w:rsidRPr="00000000">
        <w:rPr>
          <w:sz w:val="30"/>
          <w:szCs w:val="30"/>
          <w:rtl w:val="0"/>
        </w:rPr>
        <w:t xml:space="preserve">4</w:t>
      </w:r>
      <w:r w:rsidDel="00000000" w:rsidR="00000000" w:rsidRPr="00000000">
        <w:rPr>
          <w:sz w:val="32"/>
          <w:szCs w:val="32"/>
          <w:rtl w:val="0"/>
        </w:rPr>
        <w:t xml:space="preserve">)</w:t>
      </w:r>
      <w:hyperlink r:id="rId6">
        <w:r w:rsidDel="00000000" w:rsidR="00000000" w:rsidRPr="00000000">
          <w:rPr>
            <w:sz w:val="30"/>
            <w:szCs w:val="30"/>
            <w:rtl w:val="0"/>
          </w:rPr>
          <w:t xml:space="preserve">Explain Synchronous and Asynchronous Buses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5)Explain program controlled IO.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faadooengineers.com/online-study/question/17100-explain-synchronous-and-asynchronous-bu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