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M&amp;T Growth Gateway - AI Financial Analysis</w:t>
      </w:r>
    </w:p>
    <w:p>
      <w:pPr>
        <w:jc w:val="center"/>
      </w:pPr>
      <w:r>
        <w:t xml:space="preserve">Generated on: 14/02/2026</w:t>
      </w:r>
    </w:p>
    <w:p>
      <w:pPr>
        <w:spacing w:after="400"/>
      </w:pPr>
    </w:p>
    <w:p>
      <w:pPr>
        <w:spacing w:after="100"/>
      </w:pPr>
      <w:r>
        <w:t xml:space="preserve">### Executive Summary for M&amp;T Growth Gateway</w:t>
      </w:r>
    </w:p>
    <w:p>
      <w:pPr>
        <w:spacing w:after="100"/>
      </w:pPr>
    </w:p>
    <w:p>
      <w:pPr>
        <w:spacing w:after="100"/>
      </w:pPr>
      <w:r>
        <w:t xml:space="preserve">#### 1. Overview</w:t>
      </w:r>
    </w:p>
    <w:p>
      <w:pPr>
        <w:spacing w:after="100"/>
      </w:pPr>
      <w:r>
        <w:t xml:space="preserve">M&amp;T Growth Gateway has demonstrated robust performance in its microfinance operations for the current reporting period. With a total of 705 loan applications and a commendable approval rate of 100%, the institution has effectively met the financial needs of its clients, leading to significant disbursements totaling UGX 365,700,000. The institution's commitment to empowering individuals and groups through accessible financing is evident in its operational metrics.</w:t>
      </w:r>
    </w:p>
    <w:p>
      <w:pPr>
        <w:spacing w:after="100"/>
      </w:pPr>
    </w:p>
    <w:p>
      <w:pPr>
        <w:spacing w:after="100"/>
      </w:pPr>
      <w:r>
        <w:t xml:space="preserve">#### 2. Performance Highlights</w:t>
      </w:r>
    </w:p>
    <w:p>
      <w:pPr>
        <w:spacing w:before="200" w:after="100"/>
      </w:pPr>
      <w:r>
        <w:rPr>
          <w:b/>
          <w:bCs/>
        </w:rPr>
        <w:t xml:space="preserve">- **Loan Applications**: All 705 applications received were approved, indicating a streamlined approval process and effective risk assessment protocols.</w:t>
      </w:r>
    </w:p>
    <w:p>
      <w:pPr>
        <w:spacing w:before="200" w:after="100"/>
      </w:pPr>
      <w:r>
        <w:rPr>
          <w:b/>
          <w:bCs/>
        </w:rPr>
        <w:t xml:space="preserve">- **Disbursement Distribution**: The majority of funds were allocated to group loans (UGX 344,300,000), highlighting strong demand in this segment. Individual loans accounted for UGX 21,400,000, suggesting room for growth in targeting individual borrowers.</w:t>
      </w:r>
    </w:p>
    <w:p>
      <w:pPr>
        <w:spacing w:before="200" w:after="100"/>
      </w:pPr>
      <w:r>
        <w:rPr>
          <w:b/>
          <w:bCs/>
        </w:rPr>
        <w:t xml:space="preserve">- **Client Engagement**: The institution currently boasts 511 active clients, with a notable influx of 512 new clients this month, reflecting successful outreach and marketing efforts.</w:t>
      </w:r>
    </w:p>
    <w:p>
      <w:pPr>
        <w:spacing w:after="100"/>
      </w:pPr>
    </w:p>
    <w:p>
      <w:pPr>
        <w:spacing w:after="100"/>
      </w:pPr>
      <w:r>
        <w:t xml:space="preserve">#### 3. Risk Assessment</w:t>
      </w:r>
    </w:p>
    <w:p>
      <w:pPr>
        <w:spacing w:before="200" w:after="100"/>
      </w:pPr>
      <w:r>
        <w:rPr>
          <w:b/>
          <w:bCs/>
        </w:rPr>
        <w:t xml:space="preserve">Despite the positive metrics, several risks warrant attention:</w:t>
      </w:r>
    </w:p>
    <w:p>
      <w:pPr>
        <w:spacing w:before="200" w:after="100"/>
      </w:pPr>
      <w:r>
        <w:rPr>
          <w:b/>
          <w:bCs/>
        </w:rPr>
        <w:t xml:space="preserve">- **Concentration Risk**: A high reliance on group loans may expose the institution to risks associated with collective repayment dynamics, including potential defaults if group cohesion falters.</w:t>
      </w:r>
    </w:p>
    <w:p>
      <w:pPr>
        <w:spacing w:before="200" w:after="100"/>
      </w:pPr>
      <w:r>
        <w:rPr>
          <w:b/>
          <w:bCs/>
        </w:rPr>
        <w:t xml:space="preserve">- **Client Overextension**: The rapid increase in new clients could lead to over-indebtedness, particularly if financial literacy and repayment capabilities are not adequately addressed.</w:t>
      </w:r>
    </w:p>
    <w:p>
      <w:pPr>
        <w:spacing w:after="100"/>
      </w:pPr>
    </w:p>
    <w:p>
      <w:pPr>
        <w:spacing w:after="100"/>
      </w:pPr>
      <w:r>
        <w:t xml:space="preserve">#### 4. Strategic Recommendations</w:t>
      </w:r>
    </w:p>
    <w:p>
      <w:pPr>
        <w:spacing w:before="200" w:after="100"/>
      </w:pPr>
      <w:r>
        <w:rPr>
          <w:b/>
          <w:bCs/>
        </w:rPr>
        <w:t xml:space="preserve">- **Diversification of Loan Products**: M&amp;T Growth Gateway should consider enhancing its individual loan offerings to attract a broader client base and mitigate concentration risk.</w:t>
      </w:r>
    </w:p>
    <w:p>
      <w:pPr>
        <w:spacing w:before="200" w:after="100"/>
      </w:pPr>
      <w:r>
        <w:rPr>
          <w:b/>
          <w:bCs/>
        </w:rPr>
        <w:t xml:space="preserve">- **Financial Literacy Programs**: Implementing educational initiatives for clients can improve repayment rates and overall financial health, reducing the risk of defaults.</w:t>
      </w:r>
    </w:p>
    <w:p>
      <w:pPr>
        <w:spacing w:before="200" w:after="100"/>
      </w:pPr>
      <w:r>
        <w:rPr>
          <w:b/>
          <w:bCs/>
        </w:rPr>
        <w:t xml:space="preserve">- **Monitoring and Evaluation**: Establish a robust monitoring framework to track client performance and loan repayment trends, enabling proactive risk management and informed decision-making.</w:t>
      </w:r>
    </w:p>
    <w:p>
      <w:pPr>
        <w:spacing w:after="100"/>
      </w:pPr>
    </w:p>
    <w:p>
      <w:pPr>
        <w:spacing w:after="100"/>
      </w:pPr>
      <w:r>
        <w:t xml:space="preserve">In conclusion, M&amp;T Growth Gateway is well-positioned for growth, but strategic initiatives to diversify products and enhance client education will be crucial to sustaining its trajectory and minimizing risks.</w:t>
      </w:r>
    </w:p>
    <w:p>
      <w:pPr>
        <w:spacing w:before="400"/>
      </w:pPr>
    </w:p>
    <w:p>
      <w:r>
        <w:rPr>
          <w:sz w:val="18"/>
          <w:szCs w:val="18"/>
        </w:rPr>
        <w:t xml:space="preserve">Disclaimer: This summary is generated by AI based on branch performance data.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2026-02-14T08:03:25.261Z</dcterms:created>
  <dcterms:modified xsi:type="dcterms:W3CDTF">2026-02-14T08:03:25.262Z</dcterms:modified>
</cp:coreProperties>
</file>

<file path=docProps/custom.xml><?xml version="1.0" encoding="utf-8"?>
<Properties xmlns="http://schemas.openxmlformats.org/officeDocument/2006/custom-properties" xmlns:vt="http://schemas.openxmlformats.org/officeDocument/2006/docPropsVTypes"/>
</file>