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Laporan Analisis Otomatis Celah Riset (Research Gap)</w:t>
      </w:r>
    </w:p>
    <w:p>
      <w:r>
        <w:t>Mata Kuliah: Metodologi Penelitian Geografi (GeoMetPen) - Departemen Geografi UI</w:t>
        <w:br/>
      </w:r>
    </w:p>
    <w:p>
      <w:pPr>
        <w:pStyle w:val="Heading2"/>
      </w:pPr>
      <w:r>
        <w:t>1. Ringkasan Korpus Literatur</w:t>
      </w:r>
    </w:p>
    <w:p>
      <w:r>
        <w:t>Total literatur yang dianalisis secara sistematis dari korpus lokal adalah sebanyak 188 jurnal.</w:t>
      </w:r>
    </w:p>
    <w:p>
      <w:pPr>
        <w:pStyle w:val="Heading2"/>
      </w:pPr>
      <w:r>
        <w:t>2. Distribusi Fokus Celah Riset</w:t>
      </w:r>
    </w:p>
    <w:p>
      <w:r>
        <w:t>Berdasarkan pemindaian otomatis terhadap teks abstrak dan celah riset, berikut adalah distribusi kecenderungan fokus literatur:</w:t>
      </w:r>
    </w:p>
    <w:p>
      <w:pPr>
        <w:pStyle w:val="ListBullet"/>
      </w:pPr>
      <w:r>
        <w:t>- Metodologis (Metode/Algoritma/Model): terdeteksi ~36 indikator frekuensi.</w:t>
      </w:r>
    </w:p>
    <w:p>
      <w:pPr>
        <w:pStyle w:val="ListBullet"/>
      </w:pPr>
      <w:r>
        <w:t>- Empiris (Data/Citra/Resolusi): terdeteksi ~38 indikator frekuensi.</w:t>
      </w:r>
    </w:p>
    <w:p>
      <w:pPr>
        <w:pStyle w:val="ListBullet"/>
      </w:pPr>
      <w:r>
        <w:t>- Kontekstual (Wilayah/Kawasan/Studi Kasus): terdeteksi ~93 indikator frekuensi.</w:t>
      </w:r>
    </w:p>
    <w:p>
      <w:pPr>
        <w:pStyle w:val="Heading2"/>
      </w:pPr>
      <w:r>
        <w:t>3. Kata Kunci Teknis Paling Dominan pada Gap</w:t>
      </w:r>
    </w:p>
    <w:p>
      <w:r>
        <w:t>Istilah teknis yang paling sering muncul dalam diskusi batasan/celah penelitian meliputi:</w:t>
      </w:r>
    </w:p>
    <w:p>
      <w:pPr>
        <w:pStyle w:val="ListBullet"/>
      </w:pPr>
      <w:r>
        <w:t>• Fault (muncul 69 kali)</w:t>
      </w:r>
    </w:p>
    <w:p>
      <w:pPr>
        <w:pStyle w:val="ListBullet"/>
      </w:pPr>
      <w:r>
        <w:t>• Seismic (muncul 33 kali)</w:t>
      </w:r>
    </w:p>
    <w:p>
      <w:pPr>
        <w:pStyle w:val="ListBullet"/>
      </w:pPr>
      <w:r>
        <w:t>• Faults (muncul 31 kali)</w:t>
      </w:r>
    </w:p>
    <w:p>
      <w:pPr>
        <w:pStyle w:val="ListBullet"/>
      </w:pPr>
      <w:r>
        <w:t>• Active (muncul 28 kali)</w:t>
      </w:r>
    </w:p>
    <w:p>
      <w:pPr>
        <w:pStyle w:val="ListBullet"/>
      </w:pPr>
      <w:r>
        <w:t>• Deformation (muncul 25 kali)</w:t>
      </w:r>
    </w:p>
    <w:p>
      <w:pPr>
        <w:pStyle w:val="ListBullet"/>
      </w:pPr>
      <w:r>
        <w:t>• Activity (muncul 23 kali)</w:t>
      </w:r>
    </w:p>
    <w:p>
      <w:pPr>
        <w:pStyle w:val="ListBullet"/>
      </w:pPr>
      <w:r>
        <w:t>• Tectonic (muncul 21 kali)</w:t>
      </w:r>
    </w:p>
    <w:p>
      <w:pPr>
        <w:pStyle w:val="ListBullet"/>
      </w:pPr>
      <w:r>
        <w:t>• Potential (muncul 21 kali)</w:t>
      </w:r>
    </w:p>
    <w:p>
      <w:pPr>
        <w:pStyle w:val="ListBullet"/>
      </w:pPr>
      <w:r>
        <w:t>• Earthquake (muncul 19 kali)</w:t>
      </w:r>
    </w:p>
    <w:p>
      <w:pPr>
        <w:pStyle w:val="ListBullet"/>
      </w:pPr>
      <w:r>
        <w:t>• Hazard (muncul 18 kali)</w:t>
      </w:r>
    </w:p>
    <w:p>
      <w:pPr>
        <w:pStyle w:val="Heading2"/>
      </w:pPr>
      <w:r>
        <w:t>4. Implikasi untuk Perumusan Novelty Tesis</w:t>
      </w:r>
    </w:p>
    <w:p>
      <w:r>
        <w:t>Distribusi dan frekuensi kata kunci di atas dapat digunakan sebagai dasar untuk mengidentifikasi titik kosong (blind spot) riset, yang selanjutnya diterjemahkan ke dalam rumusan masalah, tujuan, serta anatomi judul tesis berstandar spasial.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