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Análisis de brechas de cobertura de vacunación en Francia</w:t>
      </w:r>
    </w:p>
    <w:p>
      <w:pPr>
        <w:pStyle w:val="Subtitle"/>
      </w:pPr>
      <w:r>
        <w:t>Planteamiento del problema objetivos indicadores y alcance del proyecto</w:t>
      </w:r>
    </w:p>
    <w:tbl>
      <w:tblPr>
        <w:tblW w:type="auto" w:w="0"/>
        <w:tblLayout w:type="fixed"/>
        <w:tblLook w:firstColumn="1" w:firstRow="1" w:lastColumn="0" w:lastRow="0" w:noHBand="0" w:noVBand="1" w:val="04A0"/>
      </w:tblPr>
      <w:tblGrid>
        <w:gridCol w:w="4968"/>
        <w:gridCol w:w="4968"/>
      </w:tblGrid>
      <w:tr>
        <w:trPr>
          <w:cantSplit/>
          <w:tblHeader/>
        </w:trPr>
        <w:tc>
          <w:tcPr>
            <w:tcW w:type="dxa" w:w="4968"/>
            <w:tcBorders>
              <w:top w:val="single" w:sz="4" w:color="D9D9D9"/>
              <w:left w:val="single" w:sz="4" w:color="D9D9D9"/>
              <w:bottom w:val="single" w:sz="4" w:color="D9D9D9"/>
              <w:right w:val="single" w:sz="4" w:color="D9D9D9"/>
            </w:tcBorders>
            <w:tcMar>
              <w:top w:w="90" w:type="dxa"/>
              <w:left w:w="90" w:type="dxa"/>
              <w:bottom w:w="90" w:type="dxa"/>
              <w:right w:w="90" w:type="dxa"/>
            </w:tcMar>
            <w:shd w:fill="D9D9D9"/>
          </w:tcPr>
          <w:p>
            <w:pPr>
              <w:spacing w:after="60" w:line="252" w:lineRule="auto"/>
            </w:pPr>
            <w:r>
              <w:rPr>
                <w:b/>
                <w:sz w:val="20"/>
              </w:rPr>
              <w:t>Estudiante</w:t>
            </w:r>
          </w:p>
        </w:tc>
        <w:tc>
          <w:tcPr>
            <w:tcW w:type="dxa" w:w="4968"/>
            <w:tcBorders>
              <w:top w:val="single" w:sz="4" w:color="D9D9D9"/>
              <w:left w:val="single" w:sz="4" w:color="D9D9D9"/>
              <w:bottom w:val="single" w:sz="4" w:color="D9D9D9"/>
              <w:right w:val="single" w:sz="4" w:color="D9D9D9"/>
            </w:tcBorders>
            <w:tcMar>
              <w:top w:w="90" w:type="dxa"/>
              <w:left w:w="90" w:type="dxa"/>
              <w:bottom w:w="90" w:type="dxa"/>
              <w:right w:w="90" w:type="dxa"/>
            </w:tcMar>
            <w:shd w:fill="D9D9D9"/>
          </w:tcPr>
          <w:p>
            <w:pPr>
              <w:spacing w:after="60" w:line="252" w:lineRule="auto"/>
            </w:pPr>
            <w:r>
              <w:rPr>
                <w:b/>
                <w:sz w:val="20"/>
              </w:rPr>
              <w:t>Asignatura y ruta</w:t>
            </w:r>
          </w:p>
        </w:tc>
      </w:tr>
      <w:tr>
        <w:trPr>
          <w:cantSplit/>
        </w:trPr>
        <w:tc>
          <w:tcPr>
            <w:tcW w:type="dxa" w:w="49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Vismark Abner Choque Cachi</w:t>
            </w:r>
          </w:p>
        </w:tc>
        <w:tc>
          <w:tcPr>
            <w:tcW w:type="dxa" w:w="49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Visualización de Datos</w:t>
              <w:br/>
              <w:t>Ruta 05 Cobertura de vacunación</w:t>
            </w:r>
          </w:p>
        </w:tc>
      </w:tr>
      <w:tr>
        <w:trPr>
          <w:cantSplit/>
        </w:trPr>
        <w:tc>
          <w:tcPr>
            <w:tcW w:type="dxa" w:w="49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Fecha de elaboración 30 de octubre de 2026</w:t>
            </w:r>
          </w:p>
        </w:tc>
        <w:tc>
          <w:tcPr>
            <w:tcW w:type="dxa" w:w="49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Estado Propuesta de desarrollo</w:t>
            </w:r>
          </w:p>
        </w:tc>
      </w:tr>
    </w:tbl>
    <w:p>
      <w:pPr>
        <w:spacing w:after="0"/>
      </w:pPr>
    </w:p>
    <w:p>
      <w:r>
        <w:t>Este proyecto organizará los datos históricos de vacunación contra la COVID 19 en Francia para identificar diferencias entre departamentos y grupos de edad. El resultado será un tablero con indicadores, mapas y tendencias mensuales, respaldado por un proceso de datos reproducible. Permitirá justificar qué territorios convendría revisar primero en un escenario académico de planificación sanitaria.</w:t>
      </w:r>
    </w:p>
    <w:p>
      <w:pPr>
        <w:pStyle w:val="Heading1"/>
      </w:pPr>
      <w:r>
        <w:t>1 Planteamiento del problema</w:t>
      </w:r>
    </w:p>
    <w:p>
      <w:r>
        <w:t>La información de vacunación se encuentra distribuida en archivos con distintos niveles de detalle. Algunos muestran los resultados por departamento y otros incorporan edad, sexo o tipo de vacuna. Consultarlos por separado dificulta comparar territorios, seguir los cambios mensuales y reconocer los grupos con menor cobertura.</w:t>
      </w:r>
    </w:p>
    <w:p>
      <w:r>
        <w:t>La cantidad de personas vacunadas tampoco permite, por sí sola, comparar departamentos de diferente tamaño. Es necesario trabajar con porcentajes de cobertura, fechas de corte comunes y grupos de población equivalentes. Además, sumar acumulados o mezclar totales con sus desgloses puede producir resultados incorrectos.</w:t>
      </w:r>
    </w:p>
    <w:p>
      <w:pPr>
        <w:pStyle w:val="Heading2"/>
      </w:pPr>
      <w:r>
        <w:t>Problema principal</w:t>
      </w:r>
    </w:p>
    <w:p>
      <w:r>
        <w:t>En el desarrollo de este proyecto se necesita integrar y analizar los datos históricos de vacunación para identificar de forma clara y verificable qué departamentos y grupos de edad presentan mayores brechas de cobertura y cómo evolucionan esas diferencias con el tiempo.</w:t>
      </w:r>
    </w:p>
    <w:p>
      <w:pPr>
        <w:pStyle w:val="Heading2"/>
      </w:pPr>
      <w:r>
        <w:t>Pregunta principal</w:t>
      </w:r>
    </w:p>
    <w:p>
      <w:r>
        <w:t>¿Qué departamentos y grupos de edad de Francia presentaron mayores brechas de cobertura de vacunación contra la COVID 19, cómo cambiaron esas diferencias mensualmente y cuáles convendría revisar primero en una planificación simulada?</w:t>
      </w:r>
    </w:p>
    <w:p>
      <w:r>
        <w:br w:type="page"/>
      </w:r>
    </w:p>
    <w:p>
      <w:pPr>
        <w:pStyle w:val="Heading1"/>
      </w:pPr>
      <w:r>
        <w:t>2 Objetivos del proyecto</w:t>
      </w:r>
    </w:p>
    <w:p>
      <w:pPr>
        <w:pStyle w:val="Heading2"/>
      </w:pPr>
      <w:r>
        <w:t>Objetivo general</w:t>
      </w:r>
    </w:p>
    <w:p>
      <w:r>
        <w:t>Analizar y visualizar la cobertura histórica de vacunación contra la COVID 19 en Francia por departamento y grupo de edad, mediante un proceso de integración y transformación de datos en SQL Server, análisis en Python y visualizaciones en Power BI y QGIS, para identificar brechas territoriales y apoyar una priorización académica simulada.</w:t>
      </w:r>
    </w:p>
    <w:p>
      <w:pPr>
        <w:pStyle w:val="Heading2"/>
      </w:pPr>
      <w:r>
        <w:t>Objetivos específicos</w:t>
      </w:r>
    </w:p>
    <w:p>
      <w:pPr>
        <w:pStyle w:val="ListNumber"/>
      </w:pPr>
      <w:r>
        <w:t>Revisar la procedencia, estructura y calidad de los datos, identificando tipos, valores faltantes, duplicados y limitaciones.</w:t>
      </w:r>
    </w:p>
    <w:p>
      <w:pPr>
        <w:pStyle w:val="ListNumber"/>
      </w:pPr>
      <w:r>
        <w:t>Construir un modelo dimensional en SQL Server que organice la información mediante dimensiones y tablas de hechos, respetando el detalle de cada fuente.</w:t>
      </w:r>
    </w:p>
    <w:p>
      <w:pPr>
        <w:pStyle w:val="ListNumber"/>
      </w:pPr>
      <w:r>
        <w:t>Implementar un flujo reproducible de extracción y carga con SSIS y de transformación con T-SQL, conservando los archivos originales y una bitácora del proceso.</w:t>
      </w:r>
    </w:p>
    <w:p>
      <w:pPr>
        <w:pStyle w:val="ListNumber"/>
      </w:pPr>
      <w:r>
        <w:t>Definir y calcular indicadores de cobertura, brecha y variación mensual que permitan comparar territorios y grupos equivalentes.</w:t>
      </w:r>
    </w:p>
    <w:p>
      <w:pPr>
        <w:pStyle w:val="ListNumber"/>
      </w:pPr>
      <w:r>
        <w:t>Explorar distribuciones, tendencias y diferencias territoriales con Python y evaluar una segmentación de departamentos con características similares.</w:t>
      </w:r>
    </w:p>
    <w:p>
      <w:pPr>
        <w:pStyle w:val="ListNumber"/>
      </w:pPr>
      <w:r>
        <w:t>Diseñar un tablero en Power BI y mapas en QGIS que comuniquen los resultados y permitan explorar fecha, territorio y grupo de edad.</w:t>
      </w:r>
    </w:p>
    <w:p>
      <w:pPr>
        <w:pStyle w:val="ListNumber"/>
      </w:pPr>
      <w:r>
        <w:t>Evaluar la comprensión y accesibilidad de las visualizaciones, documentar mejoras y presentar conclusiones limitadas por la evidencia disponible.</w:t>
      </w:r>
    </w:p>
    <w:p>
      <w:pPr>
        <w:pStyle w:val="Heading1"/>
      </w:pPr>
      <w:r>
        <w:t>3 Usuario y decisión que se busca apoyar</w:t>
      </w:r>
    </w:p>
    <w:p>
      <w:r>
        <w:t>El usuario de referencia será una persona responsable de planificación sanitaria territorial dentro de un escenario académico. Necesitará localizar departamentos con cobertura relativamente baja, revisar los grupos de edad afectados y comparar su evolución antes de seleccionar los casos que requieren un estudio más detallado.</w:t>
      </w:r>
    </w:p>
    <w:p>
      <w:r>
        <w:t>La priorización inicial ordenará departamentos comparables por cobertura e identificará el cuartil inferior. Después revisará su evolución y calidad de datos. Este criterio es exploratorio; no representa una meta sanitaria oficial. La segmentación en Python complementará la interpretación si los grupos obtenidos son estables y comprensibles.</w:t>
      </w:r>
    </w:p>
    <w:p>
      <w:r>
        <w:br w:type="page"/>
      </w:r>
    </w:p>
    <w:p>
      <w:pPr>
        <w:pStyle w:val="Heading1"/>
      </w:pPr>
      <w:r>
        <w:t>4 Alcance y límites del trabajo</w:t>
      </w:r>
    </w:p>
    <w:p>
      <w:pPr>
        <w:pStyle w:val="Heading2"/>
      </w:pPr>
      <w:r>
        <w:t>Información que se estudiará</w:t>
      </w:r>
    </w:p>
    <w:p>
      <w:r>
        <w:t>Se utilizarán los archivos VAC-SI publicados por Santé publique France en data.gouv.fr. El periodo de trabajo propuesto es del 27 de diciembre de 2020 al 10 de julio de 2023, sujeto a confirmar la disponibilidad efectiva de cada archivo e indicador. Junio de 2023 será el primer corte propuesto para los mapas por ser un mes completo dentro de ese periodo.</w:t>
      </w:r>
    </w:p>
    <w:p>
      <w:r>
        <w:t>La unidad principal será departamento, grupo de edad y fecha. Los resúmenes mensuales conservarán esa identificación. Los archivos por sexo y tipo de vacuna se incorporarán como análisis complementarios en tablas compatibles; no se sumarán entre sí archivos que describen la misma población de distintas maneras.</w:t>
      </w:r>
    </w:p>
    <w:tbl>
      <w:tblPr>
        <w:tblW w:type="auto" w:w="0"/>
        <w:tblLayout w:type="fixed"/>
        <w:tblLook w:firstColumn="1" w:firstRow="1" w:lastColumn="0" w:lastRow="0" w:noHBand="0" w:noVBand="1" w:val="04A0"/>
      </w:tblPr>
      <w:tblGrid>
        <w:gridCol w:w="4968"/>
        <w:gridCol w:w="4968"/>
      </w:tblGrid>
      <w:tr>
        <w:trPr>
          <w:cantSplit/>
          <w:tblHeader/>
        </w:trPr>
        <w:tc>
          <w:tcPr>
            <w:tcW w:type="dxa" w:w="4968"/>
            <w:tcBorders>
              <w:top w:val="single" w:sz="4" w:color="D9D9D9"/>
              <w:left w:val="single" w:sz="4" w:color="D9D9D9"/>
              <w:bottom w:val="single" w:sz="4" w:color="D9D9D9"/>
              <w:right w:val="single" w:sz="4" w:color="D9D9D9"/>
            </w:tcBorders>
            <w:tcMar>
              <w:top w:w="90" w:type="dxa"/>
              <w:left w:w="90" w:type="dxa"/>
              <w:bottom w:w="90" w:type="dxa"/>
              <w:right w:w="90" w:type="dxa"/>
            </w:tcMar>
            <w:shd w:fill="D9D9D9"/>
          </w:tcPr>
          <w:p>
            <w:pPr>
              <w:spacing w:after="60" w:line="252" w:lineRule="auto"/>
            </w:pPr>
            <w:r>
              <w:rPr>
                <w:b/>
                <w:sz w:val="20"/>
              </w:rPr>
              <w:t>Dentro del alcance</w:t>
            </w:r>
          </w:p>
        </w:tc>
        <w:tc>
          <w:tcPr>
            <w:tcW w:type="dxa" w:w="4968"/>
            <w:tcBorders>
              <w:top w:val="single" w:sz="4" w:color="D9D9D9"/>
              <w:left w:val="single" w:sz="4" w:color="D9D9D9"/>
              <w:bottom w:val="single" w:sz="4" w:color="D9D9D9"/>
              <w:right w:val="single" w:sz="4" w:color="D9D9D9"/>
            </w:tcBorders>
            <w:tcMar>
              <w:top w:w="90" w:type="dxa"/>
              <w:left w:w="90" w:type="dxa"/>
              <w:bottom w:w="90" w:type="dxa"/>
              <w:right w:w="90" w:type="dxa"/>
            </w:tcMar>
            <w:shd w:fill="D9D9D9"/>
          </w:tcPr>
          <w:p>
            <w:pPr>
              <w:spacing w:after="60" w:line="252" w:lineRule="auto"/>
            </w:pPr>
            <w:r>
              <w:rPr>
                <w:b/>
                <w:sz w:val="20"/>
              </w:rPr>
              <w:t>Fuera del alcance</w:t>
            </w:r>
          </w:p>
        </w:tc>
      </w:tr>
      <w:tr>
        <w:trPr>
          <w:cantSplit/>
        </w:trPr>
        <w:tc>
          <w:tcPr>
            <w:tcW w:type="dxa" w:w="49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Conservación de originales, diccionario y controles de calidad.</w:t>
            </w:r>
          </w:p>
        </w:tc>
        <w:tc>
          <w:tcPr>
            <w:tcW w:type="dxa" w:w="49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Recolección de datos personales o historias clínicas.</w:t>
            </w:r>
          </w:p>
        </w:tc>
      </w:tr>
      <w:tr>
        <w:trPr>
          <w:cantSplit/>
        </w:trPr>
        <w:tc>
          <w:tcPr>
            <w:tcW w:type="dxa" w:w="49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Modelo dimensional, carga y transformación reproducible.</w:t>
            </w:r>
          </w:p>
        </w:tc>
        <w:tc>
          <w:tcPr>
            <w:tcW w:type="dxa" w:w="49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Estimación de la cobertura actual de 2026.</w:t>
            </w:r>
          </w:p>
        </w:tc>
      </w:tr>
      <w:tr>
        <w:trPr>
          <w:cantSplit/>
        </w:trPr>
        <w:tc>
          <w:tcPr>
            <w:tcW w:type="dxa" w:w="49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Análisis histórico por territorio, edad y mes.</w:t>
            </w:r>
          </w:p>
        </w:tc>
        <w:tc>
          <w:tcPr>
            <w:tcW w:type="dxa" w:w="49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Explicación causal de las diferencias de cobertura.</w:t>
            </w:r>
          </w:p>
        </w:tc>
      </w:tr>
      <w:tr>
        <w:trPr>
          <w:cantSplit/>
        </w:trPr>
        <w:tc>
          <w:tcPr>
            <w:tcW w:type="dxa" w:w="49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Segmentación exploratoria de departamentos.</w:t>
            </w:r>
          </w:p>
        </w:tc>
        <w:tc>
          <w:tcPr>
            <w:tcW w:type="dxa" w:w="49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Predicción individual o diagnóstico clínico.</w:t>
            </w:r>
          </w:p>
        </w:tc>
      </w:tr>
      <w:tr>
        <w:trPr>
          <w:cantSplit/>
        </w:trPr>
        <w:tc>
          <w:tcPr>
            <w:tcW w:type="dxa" w:w="49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Tablero, mapas, evaluación y documentación.</w:t>
            </w:r>
          </w:p>
        </w:tc>
        <w:tc>
          <w:tcPr>
            <w:tcW w:type="dxa" w:w="496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Despliegue de un sistema sanitario de producción.</w:t>
            </w:r>
          </w:p>
        </w:tc>
      </w:tr>
    </w:tbl>
    <w:p>
      <w:pPr>
        <w:spacing w:after="0"/>
      </w:pPr>
    </w:p>
    <w:p>
      <w:pPr>
        <w:pStyle w:val="Heading2"/>
      </w:pPr>
      <w:r>
        <w:t>Datos complementarios</w:t>
      </w:r>
    </w:p>
    <w:p>
      <w:r>
        <w:t>Se utilizarán catálogos para interpretar los códigos y un archivo geográfico para representar los departamentos. Se verificará la correspondencia entre los códigos de los datos y las geometrías. Las cohortes de residentes y profesionales se estudiarán por separado si se incorporan, porque no representan a toda la población.</w:t>
      </w:r>
    </w:p>
    <w:p>
      <w:pPr>
        <w:pStyle w:val="Heading2"/>
      </w:pPr>
      <w:r>
        <w:t>Supuestos y dependencias</w:t>
      </w:r>
    </w:p>
    <w:p>
      <w:r>
        <w:t>El desarrollo requiere disponer de los archivos completos, comprobar sus fechas y campos, y contar con las herramientas del entorno propuesto. Los volúmenes de filas y la cobertura temporal se verificarán en el perfilamiento; este documento no presenta cifras de calidad ni resultados analíticos como si ya hubieran sido calculados.</w:t>
      </w:r>
    </w:p>
    <w:p>
      <w:r>
        <w:br w:type="page"/>
      </w:r>
    </w:p>
    <w:p>
      <w:pPr>
        <w:pStyle w:val="Heading1"/>
      </w:pPr>
      <w:r>
        <w:t>5 Arquitectura y flujo de trabajo</w:t>
      </w:r>
    </w:p>
    <w:p>
      <w:r>
        <w:t>La solución utilizará un flujo ELT: primero extraer y cargar los archivos y después transformar la información dentro del motor de SQL Server. SSIS coordinará el proceso. SSMS será el entorno para escribir y administrar tablas, consultas y procedimientos.</w:t>
      </w:r>
    </w:p>
    <w:tbl>
      <w:tblPr>
        <w:tblW w:type="auto" w:w="0"/>
        <w:tblLayout w:type="fixed"/>
        <w:tblLook w:firstColumn="1" w:firstRow="1" w:lastColumn="0" w:lastRow="0" w:noHBand="0" w:noVBand="1" w:val="04A0"/>
      </w:tblPr>
      <w:tblGrid>
        <w:gridCol w:w="4968"/>
        <w:gridCol w:w="4968"/>
      </w:tblGrid>
      <w:tr>
        <w:trPr>
          <w:cantSplit/>
          <w:tblHeader/>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D9D9D9"/>
          </w:tcPr>
          <w:p>
            <w:pPr>
              <w:spacing w:after="60" w:line="252" w:lineRule="auto"/>
            </w:pPr>
            <w:r>
              <w:rPr>
                <w:b/>
                <w:sz w:val="20"/>
              </w:rPr>
              <w:t>Componente</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shd w:fill="D9D9D9"/>
          </w:tcPr>
          <w:p>
            <w:pPr>
              <w:spacing w:after="60" w:line="252" w:lineRule="auto"/>
            </w:pPr>
            <w:r>
              <w:rPr>
                <w:b/>
                <w:sz w:val="20"/>
              </w:rPr>
              <w:t>Función y salida esperada</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Fuentes y archivos originales</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CSV de vacunación, catálogos y geometrías conservados con su procedencia.</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SSIS en Visual Studio</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Lectura de archivos, carga inicial, control de errores y ejecución ordenada de procedimientos SQL.</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SQL Server</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Esquemas raw y stg para origen y preparación; dwh para dimensiones y hechos; analitica para resultados de segmentación.</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Python y Jupyter</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Perfilamiento, análisis exploratorio, gráficos estadísticos y segmentación de departamentos.</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Power BI y QGIS</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Indicadores, filtros, tendencias y mapas territoriales para comunicar los hallazgos.</w:t>
            </w:r>
          </w:p>
        </w:tc>
      </w:tr>
      <w:tr>
        <w:trPr>
          <w:cantSplit/>
        </w:trP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GitHub</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Control de versiones de paquetes, scripts, notebooks y documentación, con instrucciones para reproducir el trabajo.</w:t>
            </w:r>
          </w:p>
        </w:tc>
      </w:tr>
    </w:tbl>
    <w:p>
      <w:pPr>
        <w:spacing w:after="0"/>
      </w:pPr>
    </w:p>
    <w:p>
      <w:pPr>
        <w:pStyle w:val="Heading2"/>
      </w:pPr>
      <w:r>
        <w:t>Modelo dimensional</w:t>
      </w:r>
    </w:p>
    <w:p>
      <w:r>
        <w:t>Las dimensiones principales serán fecha, departamento y grupo de edad. Sexo y vacuna se incorporarán donde correspondan. Las tablas de hechos se separarán según el nivel de detalle de cada archivo. La carga resolverá primero las dimensiones y después los hechos, verificando llaves y combinaciones únicas.</w:t>
      </w:r>
    </w:p>
    <w:p>
      <w:pPr>
        <w:pStyle w:val="Heading2"/>
      </w:pPr>
      <w:r>
        <w:t>Análisis y segmentación en Python</w:t>
      </w:r>
    </w:p>
    <w:p>
      <w:r>
        <w:t>El análisis revisará faltantes, distribuciones, valores extremos, diferencias territoriales y tendencias. Como complemento, se evaluará K-means con un registro por departamento y un corte común, usando coberturas y cambios temporales comparables. Se revisarán las variables, su estandarización, la cantidad de grupos, la silueta y la estabilidad. Los nombres de los segmentos se asignarán después de interpretar sus características.</w:t>
      </w:r>
    </w:p>
    <w:p>
      <w:r>
        <w:t>Los resultados se guardarán en SQL Server con departamento, fecha de corte y versión del análisis. Si no se obtiene una segmentación útil, se documentará la limitación y se mantendrá la priorización descriptiva.</w:t>
      </w:r>
    </w:p>
    <w:p>
      <w:r>
        <w:br w:type="page"/>
      </w:r>
    </w:p>
    <w:p>
      <w:pPr>
        <w:pStyle w:val="Heading1"/>
      </w:pPr>
      <w:r>
        <w:t>6 KPI principales del tablero</w:t>
      </w:r>
    </w:p>
    <w:p>
      <w:r>
        <w:t>Los tres indicadores se calcularán para el mismo territorio, grupo de población y corte temporal. Sus valores se incorporarán después del procesamiento y la validación de los datos.</w:t>
      </w:r>
    </w:p>
    <w:p>
      <w:pPr>
        <w:pStyle w:val="Heading2"/>
      </w:pPr>
      <w:r>
        <w:t>KPI 1 Cobertura de esquema completo</w:t>
      </w:r>
    </w:p>
    <w:p>
      <w:r>
        <w:t>Muestra el porcentaje de la población de referencia que completó el esquema inicial. Se utilizará el último valor válido disponible de couv_complet en el mes seleccionado. Unidad: porcentaje. Cada vista mostrará la fecha efectiva del dato y distinguirá un corte mensual incompleto.</w:t>
      </w:r>
    </w:p>
    <w:p>
      <w:pPr>
        <w:pStyle w:val="Heading2"/>
      </w:pPr>
      <w:r>
        <w:t>KPI 2 Brecha de cobertura</w:t>
      </w:r>
    </w:p>
    <w:p>
      <w:r>
        <w:t>Muestra la distancia descriptiva respecto al 100 % de cobertura. Fórmula: 100 − cobertura de esquema completo. Unidad: puntos porcentuales. El 100 % se utiliza como referencia matemática; no se presenta como una meta sanitaria oficial ni como una cantidad exacta de personas sin vacunar.</w:t>
      </w:r>
    </w:p>
    <w:p>
      <w:pPr>
        <w:pStyle w:val="Heading2"/>
      </w:pPr>
      <w:r>
        <w:t>KPI 3 Variación mensual de cobertura</w:t>
      </w:r>
    </w:p>
    <w:p>
      <w:r>
        <w:t>Muestra cuánto cambió la cobertura respecto al mes calendario anterior. Fórmula: cobertura del mes actual − cobertura del mes anterior. Unidad: puntos porcentuales. Si falta alguno de los dos cortes comparables, se mostrará sin dato; no se sustituirá el mes anterior por otro periodo.</w:t>
      </w:r>
    </w:p>
    <w:p>
      <w:pPr>
        <w:pStyle w:val="Heading2"/>
      </w:pPr>
      <w:r>
        <w:t>Métricas complementarias</w:t>
      </w:r>
    </w:p>
    <w:tbl>
      <w:tblPr>
        <w:tblW w:type="auto" w:w="0"/>
        <w:tblLayout w:type="fixed"/>
        <w:tblLook w:firstColumn="1" w:firstRow="1" w:lastColumn="0" w:lastRow="0" w:noHBand="0" w:noVBand="1" w:val="04A0"/>
      </w:tblPr>
      <w:tblGrid>
        <w:gridCol w:w="4968"/>
        <w:gridCol w:w="4968"/>
      </w:tblGrid>
      <w:tr>
        <w:trPr>
          <w:cantSplit/>
          <w:tblHeader/>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shd w:fill="D9D9D9"/>
          </w:tcPr>
          <w:p>
            <w:pPr>
              <w:spacing w:after="60" w:line="252" w:lineRule="auto"/>
            </w:pPr>
            <w:r>
              <w:rPr>
                <w:b/>
                <w:sz w:val="20"/>
              </w:rPr>
              <w:t>Métrica</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shd w:fill="D9D9D9"/>
          </w:tcPr>
          <w:p>
            <w:pPr>
              <w:spacing w:after="60" w:line="252" w:lineRule="auto"/>
            </w:pPr>
            <w:r>
              <w:rPr>
                <w:b/>
                <w:sz w:val="20"/>
              </w:rPr>
              <w:t>Uso previsto</w:t>
            </w:r>
          </w:p>
        </w:tc>
      </w:tr>
      <w:tr>
        <w:trPr>
          <w:cantSplit/>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Ranking territorial</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Ordenar departamentos por cobertura para una misma fecha y población.</w:t>
            </w:r>
          </w:p>
        </w:tc>
      </w:tr>
      <w:tr>
        <w:trPr>
          <w:cantSplit/>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Diferencia frente a la mediana</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Ubicar un departamento respecto a la distribución territorial; no equivale a cobertura nacional.</w:t>
            </w:r>
          </w:p>
        </w:tc>
      </w:tr>
      <w:tr>
        <w:trPr>
          <w:cantSplit/>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Primeras dosis del mes</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Sumar cantidades diarias compatibles para observar actividad mensual.</w:t>
            </w:r>
          </w:p>
        </w:tc>
      </w:tr>
      <w:tr>
        <w:trPr>
          <w:cantSplit/>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Brecha entre edades</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Comparar grupos con definiciones compatibles dentro de un territorio y corte.</w:t>
            </w:r>
          </w:p>
        </w:tc>
      </w:tr>
      <w:tr>
        <w:trPr>
          <w:cantSplit/>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Completitud de información</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Registros con valor válido / registros esperados o evaluados × 100; documentar el denominador.</w:t>
            </w:r>
          </w:p>
        </w:tc>
      </w:tr>
    </w:tbl>
    <w:p>
      <w:pPr>
        <w:spacing w:after="0"/>
      </w:pPr>
    </w:p>
    <w:p>
      <w:pPr>
        <w:pStyle w:val="Heading2"/>
      </w:pPr>
      <w:r>
        <w:t>Reglas para evitar cálculos incorrectos</w:t>
      </w:r>
    </w:p>
    <w:p>
      <w:r>
        <w:t>Las cantidades diarias se suman en el tiempo. Los acumulados y porcentajes se toman a una fecha de corte. No se suman coberturas ni se usa el promedio simple de departamentos como cobertura nacional. Las categorías de total no se suman con sus desgloses. Un dato faltante se conserva como faltante y no se interpreta como cero.</w:t>
      </w:r>
    </w:p>
    <w:p>
      <w:r>
        <w:br w:type="page"/>
      </w:r>
    </w:p>
    <w:p>
      <w:pPr>
        <w:pStyle w:val="Heading1"/>
      </w:pPr>
      <w:r>
        <w:t>7 Visualizaciones y entregables</w:t>
      </w:r>
    </w:p>
    <w:tbl>
      <w:tblPr>
        <w:tblW w:type="auto" w:w="0"/>
        <w:tblLayout w:type="fixed"/>
        <w:tblLook w:firstColumn="1" w:firstRow="1" w:lastColumn="0" w:lastRow="0" w:noHBand="0" w:noVBand="1" w:val="04A0"/>
      </w:tblPr>
      <w:tblGrid>
        <w:gridCol w:w="4968"/>
        <w:gridCol w:w="4968"/>
      </w:tblGrid>
      <w:tr>
        <w:trPr>
          <w:cantSplit/>
          <w:tblHeader/>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shd w:fill="D9D9D9"/>
          </w:tcPr>
          <w:p>
            <w:pPr>
              <w:spacing w:after="60" w:line="252" w:lineRule="auto"/>
            </w:pPr>
            <w:r>
              <w:rPr>
                <w:b/>
                <w:sz w:val="20"/>
              </w:rPr>
              <w:t>Vista</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shd w:fill="D9D9D9"/>
          </w:tcPr>
          <w:p>
            <w:pPr>
              <w:spacing w:after="60" w:line="252" w:lineRule="auto"/>
            </w:pPr>
            <w:r>
              <w:rPr>
                <w:b/>
                <w:sz w:val="20"/>
              </w:rPr>
              <w:t>Propósito</w:t>
            </w:r>
          </w:p>
        </w:tc>
      </w:tr>
      <w:tr>
        <w:trPr>
          <w:cantSplit/>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Perfil de datos originales</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Mostrar estructura, fechas, faltantes y controles de calidad.</w:t>
            </w:r>
          </w:p>
        </w:tc>
      </w:tr>
      <w:tr>
        <w:trPr>
          <w:cantSplit/>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Comparación territorial</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Identificar departamentos con mayor y menor cobertura mediante barras ordenadas.</w:t>
            </w:r>
          </w:p>
        </w:tc>
      </w:tr>
      <w:tr>
        <w:trPr>
          <w:cantSplit/>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Tendencia mensual</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Observar cambios y diferencias a lo largo del tiempo.</w:t>
            </w:r>
          </w:p>
        </w:tc>
      </w:tr>
      <w:tr>
        <w:trPr>
          <w:cantSplit/>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Distribución de coberturas</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Examinar dispersión y valores extremos con histograma o diagrama de caja.</w:t>
            </w:r>
          </w:p>
        </w:tc>
      </w:tr>
      <w:tr>
        <w:trPr>
          <w:cantSplit/>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Mapa coroplético</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Localizar brechas territoriales para una fecha y población definidas.</w:t>
            </w:r>
          </w:p>
        </w:tc>
      </w:tr>
      <w:tr>
        <w:trPr>
          <w:cantSplit/>
        </w:trP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Tablero final</w:t>
            </w:r>
          </w:p>
        </w:tc>
        <w:tc>
          <w:tcPr>
            <w:tcW w:type="dxa" w:w="698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Integrar tres KPI, filtros, comparaciones y acceso a los hallazgos.</w:t>
            </w:r>
          </w:p>
        </w:tc>
      </w:tr>
    </w:tbl>
    <w:p>
      <w:pPr>
        <w:spacing w:after="0"/>
      </w:pPr>
    </w:p>
    <w:p>
      <w:r>
        <w:t>El mapa de segmentos será una vista complementaria cuando el análisis en Python lo justifique. Cada visualización tendrá fuente, fecha, unidad y una explicación breve de su interpretación.</w:t>
      </w:r>
    </w:p>
    <w:p>
      <w:pPr>
        <w:pStyle w:val="Heading2"/>
      </w:pPr>
      <w:r>
        <w:t>Productos que se entregarán</w:t>
      </w:r>
    </w:p>
    <w:p>
      <w:r>
        <w:t>Datos originales o enlaces reproducibles, datos procesados, diccionario, modelo dimensional, paquetes SSIS, scripts SQL, notebooks Python, archivo del tablero, proyecto y mapas de QGIS, informe, evidencias de evaluación y README. El repositorio conservará el historial de cambios y las instrucciones de ejecución.</w:t>
      </w:r>
    </w:p>
    <w:p>
      <w:pPr>
        <w:pStyle w:val="Heading1"/>
      </w:pPr>
      <w:r>
        <w:t>8 Evaluación y criterios de aceptación</w:t>
      </w:r>
    </w:p>
    <w:p>
      <w:r>
        <w:t>El flujo deberá poder ejecutarse de nuevo y dejar controles de filas, llaves y errores. Las dimensiones y hechos respetarán su nivel de detalle. Los tres KPI deberán coincidir con consultas de verificación. El tablero incluirá al menos seis vistas, mapa coroplético y tendencias mensuales, con filtros que no produzcan combinaciones engañosas.</w:t>
      </w:r>
    </w:p>
    <w:p>
      <w:r>
        <w:t>Se evaluará la comprensión con dos personas o, si no es viable, mediante una evaluación heurística estructurada. Se conservarán una versión inicial, una mejorada y el registro de cambios. Se revisarán contraste, etiquetas y alternativas al uso exclusivo del color.</w:t>
      </w:r>
    </w:p>
    <w:p>
      <w:r>
        <w:t>El desarrollo se documentará con CRISP-DM, el modelo de Munzner y PDCA. El informe aplicará los autores y las fichas normativas solicitados en la guía. La extensión del informe y la duración del video se confirmarán con la docente porque la consigna contiene indicaciones diferentes.</w:t>
      </w:r>
    </w:p>
    <w:p>
      <w:r>
        <w:br w:type="page"/>
      </w:r>
    </w:p>
    <w:p>
      <w:pPr>
        <w:pStyle w:val="Heading1"/>
      </w:pPr>
      <w:r>
        <w:t>9 Riesgos y medidas previstas</w:t>
      </w:r>
    </w:p>
    <w:tbl>
      <w:tblPr>
        <w:tblW w:type="auto" w:w="0"/>
        <w:tblLayout w:type="fixed"/>
        <w:tblLook w:firstColumn="1" w:firstRow="1" w:lastColumn="0" w:lastRow="0" w:noHBand="0" w:noVBand="1" w:val="04A0"/>
      </w:tblPr>
      <w:tblGrid>
        <w:gridCol w:w="4968"/>
        <w:gridCol w:w="4968"/>
      </w:tblGrid>
      <w:tr>
        <w:trPr>
          <w:cantSplit/>
          <w:tblHeader/>
        </w:trPr>
        <w:tc>
          <w:tcPr>
            <w:tcW w:type="dxa" w:w="3024"/>
            <w:tcBorders>
              <w:top w:val="single" w:sz="4" w:color="D9D9D9"/>
              <w:left w:val="single" w:sz="4" w:color="D9D9D9"/>
              <w:bottom w:val="single" w:sz="4" w:color="D9D9D9"/>
              <w:right w:val="single" w:sz="4" w:color="D9D9D9"/>
            </w:tcBorders>
            <w:tcMar>
              <w:top w:w="90" w:type="dxa"/>
              <w:left w:w="90" w:type="dxa"/>
              <w:bottom w:w="90" w:type="dxa"/>
              <w:right w:w="90" w:type="dxa"/>
            </w:tcMar>
            <w:shd w:fill="D9D9D9"/>
          </w:tcPr>
          <w:p>
            <w:pPr>
              <w:spacing w:after="60" w:line="252" w:lineRule="auto"/>
            </w:pPr>
            <w:r>
              <w:rPr>
                <w:b/>
                <w:sz w:val="20"/>
              </w:rPr>
              <w:t>Riesgo</w:t>
            </w:r>
          </w:p>
        </w:tc>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shd w:fill="D9D9D9"/>
          </w:tcPr>
          <w:p>
            <w:pPr>
              <w:spacing w:after="60" w:line="252" w:lineRule="auto"/>
            </w:pPr>
            <w:r>
              <w:rPr>
                <w:b/>
                <w:sz w:val="20"/>
              </w:rPr>
              <w:t>Cómo se abordará</w:t>
            </w:r>
          </w:p>
        </w:tc>
      </w:tr>
      <w:tr>
        <w:trPr>
          <w:cantSplit/>
        </w:trPr>
        <w:tc>
          <w:tcPr>
            <w:tcW w:type="dxa" w:w="302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Archivos incompletos o incompatibles</w:t>
            </w:r>
          </w:p>
        </w:tc>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Verificar columnas, fechas, filas y llaves antes de integrarlos.</w:t>
            </w:r>
          </w:p>
        </w:tc>
      </w:tr>
      <w:tr>
        <w:trPr>
          <w:cantSplit/>
        </w:trPr>
        <w:tc>
          <w:tcPr>
            <w:tcW w:type="dxa" w:w="302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Duplicación por mezcla de desgloses</w:t>
            </w:r>
          </w:p>
        </w:tc>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Separar tablas de hechos y documentar la población de cada medida.</w:t>
            </w:r>
          </w:p>
        </w:tc>
      </w:tr>
      <w:tr>
        <w:trPr>
          <w:cantSplit/>
        </w:trPr>
        <w:tc>
          <w:tcPr>
            <w:tcW w:type="dxa" w:w="302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Meses o indicadores sin información</w:t>
            </w:r>
          </w:p>
        </w:tc>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Mostrar ausencia de datos y fecha efectiva; no completar con ceros sin justificación.</w:t>
            </w:r>
          </w:p>
        </w:tc>
      </w:tr>
      <w:tr>
        <w:trPr>
          <w:cantSplit/>
        </w:trPr>
        <w:tc>
          <w:tcPr>
            <w:tcW w:type="dxa" w:w="302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Grupos de segmentación poco claros</w:t>
            </w:r>
          </w:p>
        </w:tc>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Evaluar estabilidad y utilidad; documentar resultados sin forzar etiquetas.</w:t>
            </w:r>
          </w:p>
        </w:tc>
      </w:tr>
      <w:tr>
        <w:trPr>
          <w:cantSplit/>
        </w:trPr>
        <w:tc>
          <w:tcPr>
            <w:tcW w:type="dxa" w:w="302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Interpretación como información actual</w:t>
            </w:r>
          </w:p>
        </w:tc>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20"/>
              </w:rPr>
              <w:t>Indicar en tablero e informe que el estudio corresponde a datos históricos.</w:t>
            </w:r>
          </w:p>
        </w:tc>
      </w:tr>
    </w:tbl>
    <w:p>
      <w:pPr>
        <w:spacing w:after="0"/>
      </w:pPr>
    </w:p>
    <w:p>
      <w:pPr>
        <w:pStyle w:val="Heading1"/>
      </w:pPr>
      <w:r>
        <w:t>10 Resultado esperado</w:t>
      </w:r>
    </w:p>
    <w:p>
      <w:r>
        <w:t>Se espera obtener una solución que permita reconocer dónde se concentraron las mayores brechas, qué edades presentaron menor cobertura y cómo cambió la situación mensualmente. La recomendación final identificará territorios que merecen una revisión posterior, sustentada en indicadores y en las limitaciones de la información.</w:t>
      </w:r>
    </w:p>
    <w:p>
      <w:r>
        <w:t>Este documento define el trabajo previsto. No constituye un informe de resultados ni una aprobación de la docente. Los hallazgos, porcentajes y segmentos se incorporarán una vez ejecutado y evaluado el análisis.</w:t>
      </w:r>
    </w:p>
    <w:p>
      <w:pPr>
        <w:pStyle w:val="Heading1"/>
      </w:pPr>
      <w:r>
        <w:t>11 Fuentes y documentos de referencia</w:t>
      </w:r>
    </w:p>
    <w:p>
      <w:r>
        <w:t>Santé publique France. Datos VAC-SI sobre personas vacunadas contra la COVID 19, publicados en data.gouv.fr. La licencia y los metadatos se verificarán y conservarán con cada descarga.</w:t>
      </w:r>
    </w:p>
    <w:p>
      <w:r>
        <w:t>https://www.data.gouv.fr/datasets/donnees-relatives-aux-personnes-vaccinees-contre-la-covid-19-1</w:t>
      </w:r>
    </w:p>
    <w:p>
      <w:r>
        <w:t>Publicación complementaria sobre profesionales y residentes en Ehpad y USLD</w:t>
      </w:r>
    </w:p>
    <w:p>
      <w:r>
        <w:t>https://www.data.gouv.fr/datasets/donnees-de-vaccination-relatives-aux-professionnels-et-resident-en-ehpad-et-usld</w:t>
      </w:r>
    </w:p>
    <w:p>
      <w:r>
        <w:t>Guía del proyecto integrador de Visualización de Datos, Ruta 05. Diccionario de vacunación de Francia y arquitectura acordada para el proyecto.</w:t>
      </w:r>
    </w:p>
    <w:sectPr w:rsidR="00FC693F" w:rsidRPr="0006063C" w:rsidSect="00034616">
      <w:footerReference w:type="default" r:id="rId9"/>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Ruta 05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