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sz w:val="28"/>
          <w:szCs w:val="28"/>
        </w:rPr>
        <w:t xml:space="preserve">Predicting Airbnb Listing Price Across Cities (NYC, Paris, Berlin)</w:t>
      </w:r>
    </w:p>
    <w:p>
      <w:pPr>
        <w:spacing w:after="40" w:before="0" w:line="240"/>
        <w:jc w:val="left"/>
      </w:pPr>
      <w:r>
        <w:rPr>
          <w:rFonts w:ascii="Calibri" w:cs="Calibri" w:eastAsia="Calibri" w:hAnsi="Calibri"/>
          <w:color w:val="444444"/>
          <w:sz w:val="16"/>
          <w:szCs w:val="16"/>
        </w:rPr>
        <w:t xml:space="preserve">UE24CS352A Machine Learning – Mini-Project | Vismay Chandra Dev (PES2UG24CS597), Vishwas Hosamath (PES2UG24CS596) | 5J | Code: https://github.com/&lt;user&gt;/&lt;repo&gt;</w:t>
      </w:r>
    </w:p>
    <w:p>
      <w:pPr>
        <w:pStyle w:val="Heading1"/>
        <w:spacing w:after="40" w:before="100"/>
      </w:pPr>
      <w:r>
        <w:rPr>
          <w:rFonts w:ascii="Calibri" w:cs="Calibri" w:eastAsia="Calibri" w:hAnsi="Calibri"/>
          <w:b/>
          <w:bCs/>
          <w:color w:val="1F3A5F"/>
          <w:sz w:val="21"/>
          <w:szCs w:val="21"/>
        </w:rPr>
        <w:t xml:space="preserve">1. Problem statement</w:t>
      </w:r>
    </w:p>
    <w:p>
      <w:pPr>
        <w:spacing w:after="50" w:before="0" w:line="240"/>
        <w:jc w:val="both"/>
      </w:pPr>
      <w:r>
        <w:rPr>
          <w:rFonts w:ascii="Calibri" w:cs="Calibri" w:eastAsia="Calibri" w:hAnsi="Calibri"/>
          <w:sz w:val="18"/>
          <w:szCs w:val="18"/>
        </w:rPr>
        <w:t xml:space="preserve">Nightly Airbnb prices are set by hosts by feel, which is hard for new hosts and opaque for guests. We predict the listing price from listing attributes in three cities and ask two questions: (i) which regression methods and feature groups work best, and (ii) does a model trained on some cities transfer to an unseen one? The task follows Luo, Zhou and Zhou (2019); we re-implemented it independently and consulted the authors’ notebooks for reference.</w:t>
      </w:r>
    </w:p>
    <w:p>
      <w:pPr>
        <w:pStyle w:val="Heading1"/>
        <w:spacing w:after="40" w:before="100"/>
      </w:pPr>
      <w:r>
        <w:rPr>
          <w:rFonts w:ascii="Calibri" w:cs="Calibri" w:eastAsia="Calibri" w:hAnsi="Calibri"/>
          <w:b/>
          <w:bCs/>
          <w:color w:val="1F3A5F"/>
          <w:sz w:val="21"/>
          <w:szCs w:val="21"/>
        </w:rPr>
        <w:t xml:space="preserve">2. Dataset</w:t>
      </w:r>
    </w:p>
    <w:p>
      <w:pPr>
        <w:spacing w:after="50" w:before="0" w:line="240"/>
        <w:jc w:val="both"/>
      </w:pPr>
      <w:r>
        <w:rPr>
          <w:rFonts w:ascii="Calibri" w:cs="Calibri" w:eastAsia="Calibri" w:hAnsi="Calibri"/>
          <w:sz w:val="18"/>
          <w:szCs w:val="18"/>
        </w:rPr>
        <w:t xml:space="preserve">We use the detailed </w:t>
      </w:r>
      <w:r>
        <w:rPr>
          <w:rFonts w:ascii="Calibri" w:cs="Calibri" w:eastAsia="Calibri" w:hAnsi="Calibri"/>
          <w:i/>
          <w:iCs/>
          <w:sz w:val="18"/>
          <w:szCs w:val="18"/>
        </w:rPr>
        <w:t xml:space="preserve">Inside Airbnb</w:t>
      </w:r>
      <w:r>
        <w:rPr>
          <w:rFonts w:ascii="Calibri" w:cs="Calibri" w:eastAsia="Calibri" w:hAnsi="Calibri"/>
          <w:sz w:val="18"/>
          <w:szCs w:val="18"/>
        </w:rPr>
        <w:t xml:space="preserve"> listing tables for New York City, Paris and Berlin (snapshot 07-10-2026; 90 columns). Raw rows: NYC 30,259, Paris 77,679, Berlin 12,776. After removing listings with a missing or zero price and those above $500/night, </w:t>
      </w:r>
      <w:r>
        <w:rPr>
          <w:rFonts w:ascii="Calibri" w:cs="Calibri" w:eastAsia="Calibri" w:hAnsi="Calibri"/>
          <w:b/>
          <w:bCs/>
          <w:sz w:val="18"/>
          <w:szCs w:val="18"/>
        </w:rPr>
        <w:t xml:space="preserve">19,148 (NYC), 42,089 (Paris) and 8,259 (Berlin)</w:t>
      </w:r>
      <w:r>
        <w:rPr>
          <w:rFonts w:ascii="Calibri" w:cs="Calibri" w:eastAsia="Calibri" w:hAnsi="Calibri"/>
          <w:sz w:val="18"/>
          <w:szCs w:val="18"/>
        </w:rPr>
        <w:t xml:space="preserve"> remain (the label-transformation experiment keeps the uncapped data). Each city is split 7:2:1 into train/validation/test (seed 42); Berlin is used only as an unseen test city. Our snapshot is newer than the paper’s and lacks </w:t>
      </w:r>
      <w:r>
        <w:rPr>
          <w:rFonts w:ascii="Calibri" w:cs="Calibri" w:eastAsia="Calibri" w:hAnsi="Calibri"/>
          <w:i/>
          <w:iCs/>
          <w:sz w:val="18"/>
          <w:szCs w:val="18"/>
        </w:rPr>
        <w:t xml:space="preserve">security_deposit, cleaning_fee, guests_included, extra_people, summary, transit, house_rules</w:t>
      </w:r>
      <w:r>
        <w:rPr>
          <w:rFonts w:ascii="Calibri" w:cs="Calibri" w:eastAsia="Calibri" w:hAnsi="Calibri"/>
          <w:sz w:val="18"/>
          <w:szCs w:val="18"/>
        </w:rPr>
        <w:t xml:space="preserve"> and several other text columns; </w:t>
      </w:r>
      <w:r>
        <w:rPr>
          <w:rFonts w:ascii="Calibri" w:cs="Calibri" w:eastAsia="Calibri" w:hAnsi="Calibri"/>
          <w:i/>
          <w:iCs/>
          <w:sz w:val="18"/>
          <w:szCs w:val="18"/>
        </w:rPr>
        <w:t xml:space="preserve">instant_bookable, host_response_time, host_verifications, host_since</w:t>
      </w:r>
      <w:r>
        <w:rPr>
          <w:rFonts w:ascii="Calibri" w:cs="Calibri" w:eastAsia="Calibri" w:hAnsi="Calibri"/>
          <w:sz w:val="18"/>
          <w:szCs w:val="18"/>
        </w:rPr>
        <w:t xml:space="preserve"> and </w:t>
      </w:r>
      <w:r>
        <w:rPr>
          <w:rFonts w:ascii="Calibri" w:cs="Calibri" w:eastAsia="Calibri" w:hAnsi="Calibri"/>
          <w:i/>
          <w:iCs/>
          <w:sz w:val="18"/>
          <w:szCs w:val="18"/>
        </w:rPr>
        <w:t xml:space="preserve">neighborhood_overview</w:t>
      </w:r>
      <w:r>
        <w:rPr>
          <w:rFonts w:ascii="Calibri" w:cs="Calibri" w:eastAsia="Calibri" w:hAnsi="Calibri"/>
          <w:sz w:val="18"/>
          <w:szCs w:val="18"/>
        </w:rPr>
        <w:t xml:space="preserve"> are present but empty. Absolute scores are therefore not directly comparable with the paper.</w:t>
      </w:r>
    </w:p>
    <w:p>
      <w:pPr>
        <w:pStyle w:val="Heading1"/>
        <w:spacing w:after="40" w:before="100"/>
      </w:pPr>
      <w:r>
        <w:rPr>
          <w:rFonts w:ascii="Calibri" w:cs="Calibri" w:eastAsia="Calibri" w:hAnsi="Calibri"/>
          <w:b/>
          <w:bCs/>
          <w:color w:val="1F3A5F"/>
          <w:sz w:val="21"/>
          <w:szCs w:val="21"/>
        </w:rPr>
        <w:t xml:space="preserve">3. Approach</w:t>
      </w:r>
    </w:p>
    <w:p>
      <w:pPr>
        <w:spacing w:after="50" w:before="0" w:line="240"/>
        <w:jc w:val="both"/>
      </w:pPr>
      <w:r>
        <w:rPr>
          <w:rFonts w:ascii="Calibri" w:cs="Calibri" w:eastAsia="Calibri" w:hAnsi="Calibri"/>
          <w:b/>
          <w:bCs/>
          <w:sz w:val="18"/>
          <w:szCs w:val="18"/>
        </w:rPr>
        <w:t xml:space="preserve">Features</w:t>
      </w:r>
      <w:r>
        <w:rPr>
          <w:rFonts w:ascii="Calibri" w:cs="Calibri" w:eastAsia="Calibri" w:hAnsi="Calibri"/>
          <w:sz w:val="18"/>
          <w:szCs w:val="18"/>
        </w:rPr>
        <w:t xml:space="preserve"> (all statistics fit on the training split only): </w:t>
      </w:r>
      <w:r>
        <w:rPr>
          <w:rFonts w:ascii="Calibri" w:cs="Calibri" w:eastAsia="Calibri" w:hAnsi="Calibri"/>
          <w:b/>
          <w:bCs/>
          <w:sz w:val="18"/>
          <w:szCs w:val="18"/>
        </w:rPr>
        <w:t xml:space="preserve">C</w:t>
      </w:r>
      <w:r>
        <w:rPr>
          <w:rFonts w:ascii="Calibri" w:cs="Calibri" w:eastAsia="Calibri" w:hAnsi="Calibri"/>
          <w:sz w:val="18"/>
          <w:szCs w:val="18"/>
        </w:rPr>
        <w:t xml:space="preserve"> continuous – 21 columns after dropping absent and highly correlated ones (|r| &gt; 0.9), mean-imputed, standardised; </w:t>
      </w:r>
      <w:r>
        <w:rPr>
          <w:rFonts w:ascii="Calibri" w:cs="Calibri" w:eastAsia="Calibri" w:hAnsi="Calibri"/>
          <w:b/>
          <w:bCs/>
          <w:sz w:val="18"/>
          <w:szCs w:val="18"/>
        </w:rPr>
        <w:t xml:space="preserve">I</w:t>
      </w:r>
      <w:r>
        <w:rPr>
          <w:rFonts w:ascii="Calibri" w:cs="Calibri" w:eastAsia="Calibri" w:hAnsi="Calibri"/>
          <w:sz w:val="18"/>
          <w:szCs w:val="18"/>
        </w:rPr>
        <w:t xml:space="preserve"> 2-degree interaction terms; </w:t>
      </w:r>
      <w:r>
        <w:rPr>
          <w:rFonts w:ascii="Calibri" w:cs="Calibri" w:eastAsia="Calibri" w:hAnsi="Calibri"/>
          <w:b/>
          <w:bCs/>
          <w:sz w:val="18"/>
          <w:szCs w:val="18"/>
        </w:rPr>
        <w:t xml:space="preserve">O</w:t>
      </w:r>
      <w:r>
        <w:rPr>
          <w:rFonts w:ascii="Calibri" w:cs="Calibri" w:eastAsia="Calibri" w:hAnsi="Calibri"/>
          <w:sz w:val="18"/>
          <w:szCs w:val="18"/>
        </w:rPr>
        <w:t xml:space="preserve"> one-hot categoricals plus multi-hot amenities (top 50), 339 columns for NYC; </w:t>
      </w:r>
      <w:r>
        <w:rPr>
          <w:rFonts w:ascii="Calibri" w:cs="Calibri" w:eastAsia="Calibri" w:hAnsi="Calibri"/>
          <w:b/>
          <w:bCs/>
          <w:sz w:val="18"/>
          <w:szCs w:val="18"/>
        </w:rPr>
        <w:t xml:space="preserve">T</w:t>
      </w:r>
      <w:r>
        <w:rPr>
          <w:rFonts w:ascii="Calibri" w:cs="Calibri" w:eastAsia="Calibri" w:hAnsi="Calibri"/>
          <w:sz w:val="18"/>
          <w:szCs w:val="18"/>
        </w:rPr>
        <w:t xml:space="preserve"> TF-IDF (uni+bigrams) of </w:t>
      </w:r>
      <w:r>
        <w:rPr>
          <w:rFonts w:ascii="Calibri" w:cs="Calibri" w:eastAsia="Calibri" w:hAnsi="Calibri"/>
          <w:i/>
          <w:iCs/>
          <w:sz w:val="18"/>
          <w:szCs w:val="18"/>
        </w:rPr>
        <w:t xml:space="preserve">name, description, host_about</w:t>
      </w:r>
      <w:r>
        <w:rPr>
          <w:rFonts w:ascii="Calibri" w:cs="Calibri" w:eastAsia="Calibri" w:hAnsi="Calibri"/>
          <w:sz w:val="18"/>
          <w:szCs w:val="18"/>
        </w:rPr>
        <w:t xml:space="preserve">, each reduced to 50 dimensions by truncated SVD; </w:t>
      </w:r>
      <w:r>
        <w:rPr>
          <w:rFonts w:ascii="Calibri" w:cs="Calibri" w:eastAsia="Calibri" w:hAnsi="Calibri"/>
          <w:b/>
          <w:bCs/>
          <w:sz w:val="18"/>
          <w:szCs w:val="18"/>
        </w:rPr>
        <w:t xml:space="preserve">D</w:t>
      </w:r>
      <w:r>
        <w:rPr>
          <w:rFonts w:ascii="Calibri" w:cs="Calibri" w:eastAsia="Calibri" w:hAnsi="Calibri"/>
          <w:sz w:val="18"/>
          <w:szCs w:val="18"/>
        </w:rPr>
        <w:t xml:space="preserve"> date features (days since the earliest date). </w:t>
      </w:r>
      <w:r>
        <w:rPr>
          <w:rFonts w:ascii="Calibri" w:cs="Calibri" w:eastAsia="Calibri" w:hAnsi="Calibri"/>
          <w:b/>
          <w:bCs/>
          <w:sz w:val="18"/>
          <w:szCs w:val="18"/>
        </w:rPr>
        <w:t xml:space="preserve">Label:</w:t>
      </w:r>
      <w:r>
        <w:rPr>
          <w:rFonts w:ascii="Calibri" w:cs="Calibri" w:eastAsia="Calibri" w:hAnsi="Calibri"/>
          <w:sz w:val="18"/>
          <w:szCs w:val="18"/>
        </w:rPr>
        <w:t xml:space="preserve"> raw price, square root or log; metrics are computed in the transformed space. </w:t>
      </w:r>
      <w:r>
        <w:rPr>
          <w:rFonts w:ascii="Calibri" w:cs="Calibri" w:eastAsia="Calibri" w:hAnsi="Calibri"/>
          <w:b/>
          <w:bCs/>
          <w:sz w:val="18"/>
          <w:szCs w:val="18"/>
        </w:rPr>
        <w:t xml:space="preserve">Models:</w:t>
      </w:r>
      <w:r>
        <w:rPr>
          <w:rFonts w:ascii="Calibri" w:cs="Calibri" w:eastAsia="Calibri" w:hAnsi="Calibri"/>
          <w:sz w:val="18"/>
          <w:szCs w:val="18"/>
        </w:rPr>
        <w:t xml:space="preserve"> Ridge, KNN (k=5), Random Forest (100 trees), XGBoost (300 trees, depth 6), and two neural networks: an SGD+Nesterov MLP (64-32, lr 0.005, L2 0.005, early stopping) and an Adam MLP (128-512-64, lr 1e-4, weight decay 1e-5). </w:t>
      </w:r>
      <w:r>
        <w:rPr>
          <w:rFonts w:ascii="Calibri" w:cs="Calibri" w:eastAsia="Calibri" w:hAnsi="Calibri"/>
          <w:b/>
          <w:bCs/>
          <w:sz w:val="18"/>
          <w:szCs w:val="18"/>
        </w:rPr>
        <w:t xml:space="preserve">Metrics:</w:t>
      </w:r>
      <w:r>
        <w:rPr>
          <w:rFonts w:ascii="Calibri" w:cs="Calibri" w:eastAsia="Calibri" w:hAnsi="Calibri"/>
          <w:sz w:val="18"/>
          <w:szCs w:val="18"/>
        </w:rPr>
        <w:t xml:space="preserve"> R², MSE, plus Spearman correlation, mean bias, and R² after calibrating the price level on 100 labelled target-city listings (to separate ranking quality from price-level shift).</w:t>
      </w:r>
    </w:p>
    <w:p>
      <w:pPr>
        <w:spacing w:after="50" w:before="0" w:line="240"/>
        <w:jc w:val="both"/>
      </w:pPr>
      <w:r>
        <w:rPr>
          <w:rFonts w:ascii="Calibri" w:cs="Calibri" w:eastAsia="Calibri" w:hAnsi="Calibri"/>
          <w:b/>
          <w:bCs/>
          <w:sz w:val="18"/>
          <w:szCs w:val="18"/>
        </w:rPr>
        <w:t xml:space="preserve">Transfer experiments.</w:t>
      </w:r>
      <w:r>
        <w:rPr>
          <w:rFonts w:ascii="Calibri" w:cs="Calibri" w:eastAsia="Calibri" w:hAnsi="Calibri"/>
          <w:sz w:val="18"/>
          <w:szCs w:val="18"/>
        </w:rPr>
        <w:t xml:space="preserve"> A neural network (C+O features, log label) is trained on NYC, Paris, or NYC+Paris and tested on Berlin under three preprocessing variants: </w:t>
      </w:r>
      <w:r>
        <w:rPr>
          <w:rFonts w:ascii="Calibri" w:cs="Calibri" w:eastAsia="Calibri" w:hAnsi="Calibri"/>
          <w:b/>
          <w:bCs/>
          <w:sz w:val="18"/>
          <w:szCs w:val="18"/>
        </w:rPr>
        <w:t xml:space="preserve">paper</w:t>
      </w:r>
      <w:r>
        <w:rPr>
          <w:rFonts w:ascii="Calibri" w:cs="Calibri" w:eastAsia="Calibri" w:hAnsi="Calibri"/>
          <w:sz w:val="18"/>
          <w:szCs w:val="18"/>
        </w:rPr>
        <w:t xml:space="preserve"> (standardise with training statistics), </w:t>
      </w:r>
      <w:r>
        <w:rPr>
          <w:rFonts w:ascii="Calibri" w:cs="Calibri" w:eastAsia="Calibri" w:hAnsi="Calibri"/>
          <w:b/>
          <w:bCs/>
          <w:sz w:val="18"/>
          <w:szCs w:val="18"/>
        </w:rPr>
        <w:t xml:space="preserve">robust</w:t>
      </w:r>
      <w:r>
        <w:rPr>
          <w:rFonts w:ascii="Calibri" w:cs="Calibri" w:eastAsia="Calibri" w:hAnsi="Calibri"/>
          <w:sz w:val="18"/>
          <w:szCs w:val="18"/>
        </w:rPr>
        <w:t xml:space="preserve"> (log1p on heavy-tailed counts and clip standardised values to ±5σ) and </w:t>
      </w:r>
      <w:r>
        <w:rPr>
          <w:rFonts w:ascii="Calibri" w:cs="Calibri" w:eastAsia="Calibri" w:hAnsi="Calibri"/>
          <w:b/>
          <w:bCs/>
          <w:sz w:val="18"/>
          <w:szCs w:val="18"/>
        </w:rPr>
        <w:t xml:space="preserve">robust+relgeo</w:t>
      </w:r>
      <w:r>
        <w:rPr>
          <w:rFonts w:ascii="Calibri" w:cs="Calibri" w:eastAsia="Calibri" w:hAnsi="Calibri"/>
          <w:sz w:val="18"/>
          <w:szCs w:val="18"/>
        </w:rPr>
        <w:t xml:space="preserve"> (additionally replace latitude/longitude by km north/east of the city’s median listing and distance to it).</w:t>
      </w:r>
    </w:p>
    <w:p>
      <w:pPr>
        <w:pStyle w:val="Heading1"/>
        <w:spacing w:after="40" w:before="100"/>
      </w:pPr>
      <w:r>
        <w:rPr>
          <w:rFonts w:ascii="Calibri" w:cs="Calibri" w:eastAsia="Calibri" w:hAnsi="Calibri"/>
          <w:b/>
          <w:bCs/>
          <w:color w:val="1F3A5F"/>
          <w:sz w:val="21"/>
          <w:szCs w:val="21"/>
        </w:rPr>
        <w:t xml:space="preserve">4. Implementation overview</w:t>
      </w:r>
    </w:p>
    <w:p>
      <w:pPr>
        <w:spacing w:after="50" w:before="0" w:line="240"/>
        <w:jc w:val="both"/>
      </w:pPr>
      <w:r>
        <w:rPr>
          <w:rFonts w:ascii="Calibri" w:cs="Calibri" w:eastAsia="Calibri" w:hAnsi="Calibri"/>
          <w:sz w:val="18"/>
          <w:szCs w:val="18"/>
        </w:rPr>
        <w:t xml:space="preserve">A single Python module (</w:t>
      </w:r>
      <w:r>
        <w:rPr>
          <w:rFonts w:ascii="Calibri" w:cs="Calibri" w:eastAsia="Calibri" w:hAnsi="Calibri"/>
          <w:i/>
          <w:iCs/>
          <w:sz w:val="18"/>
          <w:szCs w:val="18"/>
        </w:rPr>
        <w:t xml:space="preserve">airbnb_price.py</w:t>
      </w:r>
      <w:r>
        <w:rPr>
          <w:rFonts w:ascii="Calibri" w:cs="Calibri" w:eastAsia="Calibri" w:hAnsi="Calibri"/>
          <w:sz w:val="18"/>
          <w:szCs w:val="18"/>
        </w:rPr>
        <w:t xml:space="preserve">) implements </w:t>
      </w:r>
      <w:r>
        <w:rPr>
          <w:rFonts w:ascii="Calibri" w:cs="Calibri" w:eastAsia="Calibri" w:hAnsi="Calibri"/>
          <w:i/>
          <w:iCs/>
          <w:sz w:val="18"/>
          <w:szCs w:val="18"/>
        </w:rPr>
        <w:t xml:space="preserve">load_city</w:t>
      </w:r>
      <w:r>
        <w:rPr>
          <w:rFonts w:ascii="Calibri" w:cs="Calibri" w:eastAsia="Calibri" w:hAnsi="Calibri"/>
          <w:sz w:val="18"/>
          <w:szCs w:val="18"/>
        </w:rPr>
        <w:t xml:space="preserve"> (price parsing, cleaning, cap) → </w:t>
      </w:r>
      <w:r>
        <w:rPr>
          <w:rFonts w:ascii="Calibri" w:cs="Calibri" w:eastAsia="Calibri" w:hAnsi="Calibri"/>
          <w:i/>
          <w:iCs/>
          <w:sz w:val="18"/>
          <w:szCs w:val="18"/>
        </w:rPr>
        <w:t xml:space="preserve">split_city</w:t>
      </w:r>
      <w:r>
        <w:rPr>
          <w:rFonts w:ascii="Calibri" w:cs="Calibri" w:eastAsia="Calibri" w:hAnsi="Calibri"/>
          <w:sz w:val="18"/>
          <w:szCs w:val="18"/>
        </w:rPr>
        <w:t xml:space="preserve"> → </w:t>
      </w:r>
      <w:r>
        <w:rPr>
          <w:rFonts w:ascii="Calibri" w:cs="Calibri" w:eastAsia="Calibri" w:hAnsi="Calibri"/>
          <w:i/>
          <w:iCs/>
          <w:sz w:val="18"/>
          <w:szCs w:val="18"/>
        </w:rPr>
        <w:t xml:space="preserve">FeatureBuilder</w:t>
      </w:r>
      <w:r>
        <w:rPr>
          <w:rFonts w:ascii="Calibri" w:cs="Calibri" w:eastAsia="Calibri" w:hAnsi="Calibri"/>
          <w:sz w:val="18"/>
          <w:szCs w:val="18"/>
        </w:rPr>
        <w:t xml:space="preserve"> (fit/transform; missing columns become NaN so cities with different schemas can share one pipeline) → </w:t>
      </w:r>
      <w:r>
        <w:rPr>
          <w:rFonts w:ascii="Calibri" w:cs="Calibri" w:eastAsia="Calibri" w:hAnsi="Calibri"/>
          <w:i/>
          <w:iCs/>
          <w:sz w:val="18"/>
          <w:szCs w:val="18"/>
        </w:rPr>
        <w:t xml:space="preserve">make_model</w:t>
      </w:r>
      <w:r>
        <w:rPr>
          <w:rFonts w:ascii="Calibri" w:cs="Calibri" w:eastAsia="Calibri" w:hAnsi="Calibri"/>
          <w:sz w:val="18"/>
          <w:szCs w:val="18"/>
        </w:rPr>
        <w:t xml:space="preserve"> → </w:t>
      </w:r>
      <w:r>
        <w:rPr>
          <w:rFonts w:ascii="Calibri" w:cs="Calibri" w:eastAsia="Calibri" w:hAnsi="Calibri"/>
          <w:i/>
          <w:iCs/>
          <w:sz w:val="18"/>
          <w:szCs w:val="18"/>
        </w:rPr>
        <w:t xml:space="preserve">run_experiment</w:t>
      </w:r>
      <w:r>
        <w:rPr>
          <w:rFonts w:ascii="Calibri" w:cs="Calibri" w:eastAsia="Calibri" w:hAnsi="Calibri"/>
          <w:sz w:val="18"/>
          <w:szCs w:val="18"/>
        </w:rPr>
        <w:t xml:space="preserve">, with one function per paper table; </w:t>
      </w:r>
      <w:r>
        <w:rPr>
          <w:rFonts w:ascii="Calibri" w:cs="Calibri" w:eastAsia="Calibri" w:hAnsi="Calibri"/>
          <w:i/>
          <w:iCs/>
          <w:sz w:val="18"/>
          <w:szCs w:val="18"/>
        </w:rPr>
        <w:t xml:space="preserve">check_data.py</w:t>
      </w:r>
      <w:r>
        <w:rPr>
          <w:rFonts w:ascii="Calibri" w:cs="Calibri" w:eastAsia="Calibri" w:hAnsi="Calibri"/>
          <w:sz w:val="18"/>
          <w:szCs w:val="18"/>
        </w:rPr>
        <w:t xml:space="preserve"> audits which paper features a CSV provides. Outputs (CSV tables and figures) go to </w:t>
      </w:r>
      <w:r>
        <w:rPr>
          <w:rFonts w:ascii="Calibri" w:cs="Calibri" w:eastAsia="Calibri" w:hAnsi="Calibri"/>
          <w:i/>
          <w:iCs/>
          <w:sz w:val="18"/>
          <w:szCs w:val="18"/>
        </w:rPr>
        <w:t xml:space="preserve">results/</w:t>
      </w:r>
      <w:r>
        <w:rPr>
          <w:rFonts w:ascii="Calibri" w:cs="Calibri" w:eastAsia="Calibri" w:hAnsi="Calibri"/>
          <w:sz w:val="18"/>
          <w:szCs w:val="18"/>
        </w:rPr>
        <w:t xml:space="preserve">. Compared with the authors’ notebooks we fit TF-IDF/SVD/encoders on the training split only (they fit on all rows), added the Adam network to mirror their PyTorch model, and added the robust/relative-coordinate variants and diagnostics.</w:t>
      </w:r>
    </w:p>
    <w:p>
      <w:pPr>
        <w:pStyle w:val="Heading1"/>
        <w:spacing w:after="40" w:before="100"/>
      </w:pPr>
      <w:r>
        <w:rPr>
          <w:rFonts w:ascii="Calibri" w:cs="Calibri" w:eastAsia="Calibri" w:hAnsi="Calibri"/>
          <w:b/>
          <w:bCs/>
          <w:color w:val="1F3A5F"/>
          <w:sz w:val="21"/>
          <w:szCs w:val="21"/>
        </w:rPr>
        <w:t xml:space="preserve">5. Results</w:t>
      </w:r>
    </w:p>
    <w:p>
      <w:pPr>
        <w:spacing w:after="30" w:before="30" w:line="240"/>
        <w:jc w:val="left"/>
      </w:pPr>
      <w:r>
        <w:rPr>
          <w:rFonts w:ascii="Calibri" w:cs="Calibri" w:eastAsia="Calibri" w:hAnsi="Calibri"/>
          <w:b/>
          <w:bCs/>
          <w:sz w:val="15"/>
          <w:szCs w:val="15"/>
        </w:rPr>
        <w:t xml:space="preserve">Table 1 – NYC, continuous features, price ≤ $500, raw price.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1700"/>
        <w:gridCol w:w="1650"/>
        <w:gridCol w:w="2050"/>
        <w:gridCol w:w="1006"/>
      </w:tblGrid>
      <w:tr>
        <w:trPr>
          <w:tblHeader/>
        </w:trPr>
        <w:tc>
          <w:tcPr>
            <w:tcW w:type="dxa" w:w="13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left"/>
            </w:pPr>
            <w:r>
              <w:rPr>
                <w:rFonts w:ascii="Calibri" w:cs="Calibri" w:eastAsia="Calibri" w:hAnsi="Calibri"/>
                <w:b/>
                <w:bCs/>
                <w:sz w:val="16"/>
                <w:szCs w:val="16"/>
              </w:rPr>
              <w:t xml:space="preserve">Model</w:t>
            </w:r>
          </w:p>
        </w:tc>
        <w:tc>
          <w:tcPr>
            <w:tcW w:type="dxa" w:w="125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Ridge</w:t>
            </w:r>
          </w:p>
        </w:tc>
        <w:tc>
          <w:tcPr>
            <w:tcW w:type="dxa" w:w="125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KNN</w:t>
            </w:r>
          </w:p>
        </w:tc>
        <w:tc>
          <w:tcPr>
            <w:tcW w:type="dxa" w:w="17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Random Forest</w:t>
            </w:r>
          </w:p>
        </w:tc>
        <w:tc>
          <w:tcPr>
            <w:tcW w:type="dxa" w:w="165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NN (SGD 64-32)</w:t>
            </w:r>
          </w:p>
        </w:tc>
        <w:tc>
          <w:tcPr>
            <w:tcW w:type="dxa" w:w="205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NN (Adam 128-512-64)</w:t>
            </w:r>
          </w:p>
        </w:tc>
        <w:tc>
          <w:tcPr>
            <w:tcW w:type="dxa" w:w="1006"/>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XGBoost</w:t>
            </w:r>
          </w:p>
        </w:tc>
      </w:tr>
      <w:tr>
        <w:trPr>
          <w:tblHeader w:val="false"/>
        </w:trPr>
        <w:tc>
          <w:tcPr>
            <w:tcW w:type="dxa" w:w="13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Train R²</w:t>
            </w:r>
          </w:p>
        </w:tc>
        <w:tc>
          <w:tcPr>
            <w:tcW w:type="dxa" w:w="12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0.423</w:t>
            </w:r>
          </w:p>
        </w:tc>
        <w:tc>
          <w:tcPr>
            <w:tcW w:type="dxa" w:w="12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0.731</w:t>
            </w:r>
          </w:p>
        </w:tc>
        <w:tc>
          <w:tcPr>
            <w:tcW w:type="dxa" w:w="17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0.960</w:t>
            </w:r>
          </w:p>
        </w:tc>
        <w:tc>
          <w:tcPr>
            <w:tcW w:type="dxa" w:w="16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0.723</w:t>
            </w:r>
          </w:p>
        </w:tc>
        <w:tc>
          <w:tcPr>
            <w:tcW w:type="dxa" w:w="20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0.743</w:t>
            </w:r>
          </w:p>
        </w:tc>
        <w:tc>
          <w:tcPr>
            <w:tcW w:type="dxa" w:w="10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0.892</w:t>
            </w:r>
          </w:p>
        </w:tc>
      </w:tr>
      <w:tr>
        <w:trPr>
          <w:tblHeader w:val="false"/>
        </w:trPr>
        <w:tc>
          <w:tcPr>
            <w:tcW w:type="dxa" w:w="13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bCs/>
                <w:sz w:val="16"/>
                <w:szCs w:val="16"/>
              </w:rPr>
              <w:t xml:space="preserve">Test R²</w:t>
            </w:r>
          </w:p>
        </w:tc>
        <w:tc>
          <w:tcPr>
            <w:tcW w:type="dxa" w:w="12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bCs/>
                <w:sz w:val="16"/>
                <w:szCs w:val="16"/>
              </w:rPr>
              <w:t xml:space="preserve">0.446</w:t>
            </w:r>
          </w:p>
        </w:tc>
        <w:tc>
          <w:tcPr>
            <w:tcW w:type="dxa" w:w="12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bCs/>
                <w:sz w:val="16"/>
                <w:szCs w:val="16"/>
              </w:rPr>
              <w:t xml:space="preserve">0.607</w:t>
            </w:r>
          </w:p>
        </w:tc>
        <w:tc>
          <w:tcPr>
            <w:tcW w:type="dxa" w:w="17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bCs/>
                <w:sz w:val="16"/>
                <w:szCs w:val="16"/>
              </w:rPr>
              <w:t xml:space="preserve">0.717</w:t>
            </w:r>
          </w:p>
        </w:tc>
        <w:tc>
          <w:tcPr>
            <w:tcW w:type="dxa" w:w="16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bCs/>
                <w:sz w:val="16"/>
                <w:szCs w:val="16"/>
              </w:rPr>
              <w:t xml:space="preserve">0.666</w:t>
            </w:r>
          </w:p>
        </w:tc>
        <w:tc>
          <w:tcPr>
            <w:tcW w:type="dxa" w:w="20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bCs/>
                <w:sz w:val="16"/>
                <w:szCs w:val="16"/>
              </w:rPr>
              <w:t xml:space="preserve">0.686</w:t>
            </w:r>
          </w:p>
        </w:tc>
        <w:tc>
          <w:tcPr>
            <w:tcW w:type="dxa" w:w="10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bCs/>
                <w:sz w:val="16"/>
                <w:szCs w:val="16"/>
              </w:rPr>
              <w:t xml:space="preserve">0.740</w:t>
            </w:r>
          </w:p>
        </w:tc>
      </w:tr>
      <w:tr>
        <w:trPr>
          <w:tblHeader w:val="false"/>
        </w:trPr>
        <w:tc>
          <w:tcPr>
            <w:tcW w:type="dxa" w:w="13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Test MSE</w:t>
            </w:r>
          </w:p>
        </w:tc>
        <w:tc>
          <w:tcPr>
            <w:tcW w:type="dxa" w:w="12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7199</w:t>
            </w:r>
          </w:p>
        </w:tc>
        <w:tc>
          <w:tcPr>
            <w:tcW w:type="dxa" w:w="12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5109</w:t>
            </w:r>
          </w:p>
        </w:tc>
        <w:tc>
          <w:tcPr>
            <w:tcW w:type="dxa" w:w="17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3685</w:t>
            </w:r>
          </w:p>
        </w:tc>
        <w:tc>
          <w:tcPr>
            <w:tcW w:type="dxa" w:w="16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4344</w:t>
            </w:r>
          </w:p>
        </w:tc>
        <w:tc>
          <w:tcPr>
            <w:tcW w:type="dxa" w:w="205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4087</w:t>
            </w:r>
          </w:p>
        </w:tc>
        <w:tc>
          <w:tcPr>
            <w:tcW w:type="dxa" w:w="10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3379</w:t>
            </w:r>
          </w:p>
        </w:tc>
      </w:tr>
    </w:tbl>
    <w:p>
      <w:pPr>
        <w:spacing w:after="30"/>
      </w:pPr>
    </w:p>
    <w:p>
      <w:pPr>
        <w:spacing w:after="30" w:before="30" w:line="240"/>
        <w:jc w:val="left"/>
      </w:pPr>
      <w:r>
        <w:rPr>
          <w:rFonts w:ascii="Calibri" w:cs="Calibri" w:eastAsia="Calibri" w:hAnsi="Calibri"/>
          <w:b/>
          <w:bCs/>
          <w:sz w:val="15"/>
          <w:szCs w:val="15"/>
        </w:rPr>
        <w:t xml:space="preserve">Table 2 – XGBoost test R² by label transform and feature group.</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2206"/>
      </w:tblGrid>
      <w:tr>
        <w:trPr>
          <w:tblHeader/>
        </w:trPr>
        <w:tc>
          <w:tcPr>
            <w:tcW w:type="dxa" w:w="32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left"/>
            </w:pPr>
            <w:r>
              <w:rPr>
                <w:rFonts w:ascii="Calibri" w:cs="Calibri" w:eastAsia="Calibri" w:hAnsi="Calibri"/>
                <w:b/>
                <w:bCs/>
                <w:sz w:val="16"/>
                <w:szCs w:val="16"/>
              </w:rPr>
              <w:t xml:space="preserve">NYC, uncapped, C features</w:t>
            </w:r>
          </w:p>
        </w:tc>
        <w:tc>
          <w:tcPr>
            <w:tcW w:type="dxa" w:w="16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raw</w:t>
            </w:r>
          </w:p>
        </w:tc>
        <w:tc>
          <w:tcPr>
            <w:tcW w:type="dxa" w:w="16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sqrt</w:t>
            </w:r>
          </w:p>
        </w:tc>
        <w:tc>
          <w:tcPr>
            <w:tcW w:type="dxa" w:w="16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log</w:t>
            </w:r>
          </w:p>
        </w:tc>
        <w:tc>
          <w:tcPr>
            <w:tcW w:type="dxa" w:w="2206"/>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log + interactions</w:t>
            </w:r>
          </w:p>
        </w:tc>
      </w:tr>
      <w:tr>
        <w:trPr>
          <w:tblHeader w:val="false"/>
        </w:trPr>
        <w:tc>
          <w:tcPr>
            <w:tcW w:type="dxa" w:w="32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Test R²</w:t>
            </w:r>
          </w:p>
        </w:tc>
        <w:tc>
          <w:tcPr>
            <w:tcW w:type="dxa" w:w="16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0.470</w:t>
            </w:r>
          </w:p>
        </w:tc>
        <w:tc>
          <w:tcPr>
            <w:tcW w:type="dxa" w:w="16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0.689</w:t>
            </w:r>
          </w:p>
        </w:tc>
        <w:tc>
          <w:tcPr>
            <w:tcW w:type="dxa" w:w="16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0.808</w:t>
            </w:r>
          </w:p>
        </w:tc>
        <w:tc>
          <w:tcPr>
            <w:tcW w:type="dxa" w:w="22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0.803</w:t>
            </w:r>
          </w:p>
        </w:tc>
      </w:tr>
    </w:tbl>
    <w:p>
      <w:pPr>
        <w:spacing w:after="3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500"/>
        <w:gridCol w:w="1500"/>
        <w:gridCol w:w="2406"/>
      </w:tblGrid>
      <w:tr>
        <w:trPr>
          <w:tblHeader/>
        </w:trPr>
        <w:tc>
          <w:tcPr>
            <w:tcW w:type="dxa" w:w="15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left"/>
            </w:pPr>
            <w:r>
              <w:rPr>
                <w:rFonts w:ascii="Calibri" w:cs="Calibri" w:eastAsia="Calibri" w:hAnsi="Calibri"/>
                <w:b/>
                <w:bCs/>
                <w:sz w:val="16"/>
                <w:szCs w:val="16"/>
              </w:rPr>
              <w:t xml:space="preserve">NYC, capped</w:t>
            </w:r>
          </w:p>
        </w:tc>
        <w:tc>
          <w:tcPr>
            <w:tcW w:type="dxa" w:w="11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D only</w:t>
            </w:r>
          </w:p>
        </w:tc>
        <w:tc>
          <w:tcPr>
            <w:tcW w:type="dxa" w:w="11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O only</w:t>
            </w:r>
          </w:p>
        </w:tc>
        <w:tc>
          <w:tcPr>
            <w:tcW w:type="dxa" w:w="11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T only</w:t>
            </w:r>
          </w:p>
        </w:tc>
        <w:tc>
          <w:tcPr>
            <w:tcW w:type="dxa" w:w="15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C+O+T (raw)</w:t>
            </w:r>
          </w:p>
        </w:tc>
        <w:tc>
          <w:tcPr>
            <w:tcW w:type="dxa" w:w="15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C+O+T (log)</w:t>
            </w:r>
          </w:p>
        </w:tc>
        <w:tc>
          <w:tcPr>
            <w:tcW w:type="dxa" w:w="2406"/>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Paris C+O+T (raw / log)</w:t>
            </w:r>
          </w:p>
        </w:tc>
      </w:tr>
      <w:tr>
        <w:trPr>
          <w:tblHeader w:val="false"/>
        </w:trPr>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Test R²</w:t>
            </w:r>
          </w:p>
        </w:tc>
        <w:tc>
          <w:tcPr>
            <w:tcW w:type="dxa" w:w="11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0.005</w:t>
            </w:r>
          </w:p>
        </w:tc>
        <w:tc>
          <w:tcPr>
            <w:tcW w:type="dxa" w:w="11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0.498</w:t>
            </w:r>
          </w:p>
        </w:tc>
        <w:tc>
          <w:tcPr>
            <w:tcW w:type="dxa" w:w="11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0.442</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0.766</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0.825</w:t>
            </w:r>
          </w:p>
        </w:tc>
        <w:tc>
          <w:tcPr>
            <w:tcW w:type="dxa" w:w="24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0.734 / 0.826</w:t>
            </w:r>
          </w:p>
        </w:tc>
      </w:tr>
    </w:tbl>
    <w:p>
      <w:pPr>
        <w:spacing w:after="30"/>
      </w:pPr>
    </w:p>
    <w:p>
      <w:pPr>
        <w:spacing w:after="30" w:before="30" w:line="240"/>
        <w:jc w:val="left"/>
      </w:pPr>
      <w:r>
        <w:rPr>
          <w:rFonts w:ascii="Calibri" w:cs="Calibri" w:eastAsia="Calibri" w:hAnsi="Calibri"/>
          <w:b/>
          <w:bCs/>
          <w:sz w:val="15"/>
          <w:szCs w:val="15"/>
        </w:rPr>
        <w:t xml:space="preserve">Table 3 – Neural-network transfer to Berlin</w:t>
      </w:r>
      <w:r>
        <w:rPr>
          <w:rFonts w:ascii="Calibri" w:cs="Calibri" w:eastAsia="Calibri" w:hAnsi="Calibri"/>
          <w:sz w:val="15"/>
          <w:szCs w:val="15"/>
        </w:rPr>
        <w:t xml:space="preserve"> (in-city = test split of the training cities; calibrated = 100 Berlin labels).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500"/>
        <w:gridCol w:w="1800"/>
        <w:gridCol w:w="2106"/>
      </w:tblGrid>
      <w:tr>
        <w:trPr>
          <w:tblHeader/>
        </w:trPr>
        <w:tc>
          <w:tcPr>
            <w:tcW w:type="dxa" w:w="15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left"/>
            </w:pPr>
            <w:r>
              <w:rPr>
                <w:rFonts w:ascii="Calibri" w:cs="Calibri" w:eastAsia="Calibri" w:hAnsi="Calibri"/>
                <w:b/>
                <w:bCs/>
                <w:sz w:val="16"/>
                <w:szCs w:val="16"/>
              </w:rPr>
              <w:t xml:space="preserve">Train on</w:t>
            </w:r>
          </w:p>
        </w:tc>
        <w:tc>
          <w:tcPr>
            <w:tcW w:type="dxa" w:w="18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Variant</w:t>
            </w:r>
          </w:p>
        </w:tc>
        <w:tc>
          <w:tcPr>
            <w:tcW w:type="dxa" w:w="15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In-city R²</w:t>
            </w:r>
          </w:p>
        </w:tc>
        <w:tc>
          <w:tcPr>
            <w:tcW w:type="dxa" w:w="15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Berlin R²</w:t>
            </w:r>
          </w:p>
        </w:tc>
        <w:tc>
          <w:tcPr>
            <w:tcW w:type="dxa" w:w="1800"/>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Berlin Spearman</w:t>
            </w:r>
          </w:p>
        </w:tc>
        <w:tc>
          <w:tcPr>
            <w:tcW w:type="dxa" w:w="2106"/>
            <w:tcBorders>
              <w:top w:val="single" w:color="9AA5B1" w:sz="4"/>
              <w:left w:val="single" w:color="9AA5B1" w:sz="4"/>
              <w:bottom w:val="single" w:color="9AA5B1" w:sz="4"/>
              <w:right w:val="single" w:color="9AA5B1" w:sz="4"/>
            </w:tcBorders>
            <w:shd w:fill="E6ECF4" w:color="auto" w:val="clear"/>
            <w:tcMar>
              <w:top w:type="dxa" w:w="20"/>
              <w:left w:type="dxa" w:w="70"/>
              <w:bottom w:type="dxa" w:w="20"/>
              <w:right w:type="dxa" w:w="70"/>
            </w:tcMar>
          </w:tcPr>
          <w:p>
            <w:pPr>
              <w:jc w:val="center"/>
            </w:pPr>
            <w:r>
              <w:rPr>
                <w:rFonts w:ascii="Calibri" w:cs="Calibri" w:eastAsia="Calibri" w:hAnsi="Calibri"/>
                <w:b/>
                <w:bCs/>
                <w:sz w:val="16"/>
                <w:szCs w:val="16"/>
              </w:rPr>
              <w:t xml:space="preserve">Berlin R² calibrated</w:t>
            </w:r>
          </w:p>
        </w:tc>
      </w:tr>
      <w:tr>
        <w:trPr>
          <w:tblHeader w:val="false"/>
        </w:trPr>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NYC</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paper</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0.792</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−7922.7</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0.801</w:t>
            </w:r>
          </w:p>
        </w:tc>
        <w:tc>
          <w:tcPr>
            <w:tcW w:type="dxa" w:w="21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0.613</w:t>
            </w:r>
          </w:p>
        </w:tc>
      </w:tr>
      <w:tr>
        <w:trPr>
          <w:tblHeader w:val="false"/>
        </w:trPr>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Paris</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paper</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0.763</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−2317.5</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0.559</w:t>
            </w:r>
          </w:p>
        </w:tc>
        <w:tc>
          <w:tcPr>
            <w:tcW w:type="dxa" w:w="21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0.291</w:t>
            </w:r>
          </w:p>
        </w:tc>
      </w:tr>
      <w:tr>
        <w:trPr>
          <w:tblHeader w:val="false"/>
        </w:trPr>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NYC+Paris</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paper</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0.781</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0.812</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0.872</w:t>
            </w:r>
          </w:p>
        </w:tc>
        <w:tc>
          <w:tcPr>
            <w:tcW w:type="dxa" w:w="21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0.827</w:t>
            </w:r>
          </w:p>
        </w:tc>
      </w:tr>
      <w:tr>
        <w:trPr>
          <w:tblHeader w:val="false"/>
        </w:trPr>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NYC</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robust</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0.793</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0.604</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0.790</w:t>
            </w:r>
          </w:p>
        </w:tc>
        <w:tc>
          <w:tcPr>
            <w:tcW w:type="dxa" w:w="21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0.716</w:t>
            </w:r>
          </w:p>
        </w:tc>
      </w:tr>
      <w:tr>
        <w:trPr>
          <w:tblHeader w:val="false"/>
        </w:trPr>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Paris</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robust</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0.789</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−1.814</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0.838</w:t>
            </w:r>
          </w:p>
        </w:tc>
        <w:tc>
          <w:tcPr>
            <w:tcW w:type="dxa" w:w="21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0.710</w:t>
            </w:r>
          </w:p>
        </w:tc>
      </w:tr>
      <w:tr>
        <w:trPr>
          <w:tblHeader w:val="false"/>
        </w:trPr>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NYC+Paris</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robust</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0.785</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0.822</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0.877</w:t>
            </w:r>
          </w:p>
        </w:tc>
        <w:tc>
          <w:tcPr>
            <w:tcW w:type="dxa" w:w="21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0.843</w:t>
            </w:r>
          </w:p>
        </w:tc>
      </w:tr>
      <w:tr>
        <w:trPr>
          <w:tblHeader w:val="false"/>
        </w:trPr>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NYC</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robust+relgeo</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0.802</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0.058</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0.854</w:t>
            </w:r>
          </w:p>
        </w:tc>
        <w:tc>
          <w:tcPr>
            <w:tcW w:type="dxa" w:w="21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0.801</w:t>
            </w:r>
          </w:p>
        </w:tc>
      </w:tr>
      <w:tr>
        <w:trPr>
          <w:tblHeader w:val="false"/>
        </w:trPr>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Paris</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robust+relgeo</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0.794</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0.752</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0.839</w:t>
            </w:r>
          </w:p>
        </w:tc>
        <w:tc>
          <w:tcPr>
            <w:tcW w:type="dxa" w:w="21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0.771</w:t>
            </w:r>
          </w:p>
        </w:tc>
      </w:tr>
      <w:tr>
        <w:trPr>
          <w:tblHeader w:val="false"/>
        </w:trPr>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left"/>
            </w:pPr>
            <w:r>
              <w:rPr>
                <w:rFonts w:ascii="Calibri" w:cs="Calibri" w:eastAsia="Calibri" w:hAnsi="Calibri"/>
                <w:b w:val="false"/>
                <w:bCs w:val="false"/>
                <w:sz w:val="16"/>
                <w:szCs w:val="16"/>
              </w:rPr>
              <w:t xml:space="preserve">NYC+Paris</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robust+relgeo</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0.791</w:t>
            </w:r>
          </w:p>
        </w:tc>
        <w:tc>
          <w:tcPr>
            <w:tcW w:type="dxa" w:w="15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0.481</w:t>
            </w:r>
          </w:p>
        </w:tc>
        <w:tc>
          <w:tcPr>
            <w:tcW w:type="dxa" w:w="1800"/>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0.866</w:t>
            </w:r>
          </w:p>
        </w:tc>
        <w:tc>
          <w:tcPr>
            <w:tcW w:type="dxa" w:w="2106"/>
            <w:tcBorders>
              <w:top w:val="single" w:color="9AA5B1" w:sz="4"/>
              <w:left w:val="single" w:color="9AA5B1" w:sz="4"/>
              <w:bottom w:val="single" w:color="9AA5B1" w:sz="4"/>
              <w:right w:val="single" w:color="9AA5B1" w:sz="4"/>
            </w:tcBorders>
            <w:tcMar>
              <w:top w:type="dxa" w:w="20"/>
              <w:left w:type="dxa" w:w="70"/>
              <w:bottom w:type="dxa" w:w="20"/>
              <w:right w:type="dxa" w:w="70"/>
            </w:tcMar>
          </w:tcPr>
          <w:p>
            <w:pPr>
              <w:jc w:val="center"/>
            </w:pPr>
            <w:r>
              <w:rPr>
                <w:rFonts w:ascii="Calibri" w:cs="Calibri" w:eastAsia="Calibri" w:hAnsi="Calibri"/>
                <w:b w:val="false"/>
                <w:bCs w:val="false"/>
                <w:sz w:val="16"/>
                <w:szCs w:val="16"/>
              </w:rPr>
              <w:t xml:space="preserve">0.816</w:t>
            </w:r>
          </w:p>
        </w:tc>
      </w:tr>
    </w:tbl>
    <w:p>
      <w:pPr>
        <w:spacing w:after="0" w:before="60"/>
      </w:pPr>
      <w:r>
        <w:drawing>
          <wp:inline distT="0" distB="0" distL="0" distR="0">
            <wp:extent cx="4191000" cy="1752600"/>
            <wp:effectExtent t="0" r="0" b="0" l="0"/>
            <wp:docPr id="1" name="transfer_summary" descr="Bar chart of Berlin R2, Spearman and calibrated R2 per transfer setup" title="Transfer to Ber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1752600"/>
                    </a:xfrm>
                    <a:prstGeom prst="rect">
                      <a:avLst/>
                    </a:prstGeom>
                  </pic:spPr>
                </pic:pic>
              </a:graphicData>
            </a:graphic>
          </wp:inline>
        </w:drawing>
      </w:r>
    </w:p>
    <w:p>
      <w:pPr>
        <w:spacing w:after="30" w:before="30" w:line="240"/>
        <w:jc w:val="left"/>
      </w:pPr>
      <w:r>
        <w:rPr>
          <w:rFonts w:ascii="Calibri" w:cs="Calibri" w:eastAsia="Calibri" w:hAnsi="Calibri"/>
          <w:sz w:val="15"/>
          <w:szCs w:val="15"/>
        </w:rPr>
        <w:t xml:space="preserve">Figure 1 – Berlin transfer: raw R² (clipped at −1), Spearman, and R² after 100-label calibration.</w:t>
      </w:r>
    </w:p>
    <w:p>
      <w:pPr>
        <w:pStyle w:val="Heading1"/>
        <w:spacing w:after="40" w:before="100"/>
      </w:pPr>
      <w:r>
        <w:rPr>
          <w:rFonts w:ascii="Calibri" w:cs="Calibri" w:eastAsia="Calibri" w:hAnsi="Calibri"/>
          <w:b/>
          <w:bCs/>
          <w:color w:val="1F3A5F"/>
          <w:sz w:val="21"/>
          <w:szCs w:val="21"/>
        </w:rPr>
        <w:t xml:space="preserve">6. Conclusions</w:t>
      </w:r>
    </w:p>
    <w:p>
      <w:pPr>
        <w:pStyle w:val="ListParagraph"/>
        <w:numPr>
          <w:ilvl w:val="0"/>
          <w:numId w:val="2"/>
        </w:numPr>
        <w:spacing w:after="30" w:line="240"/>
        <w:jc w:val="both"/>
      </w:pPr>
      <w:r>
        <w:rPr>
          <w:rFonts w:ascii="Calibri" w:cs="Calibri" w:eastAsia="Calibri" w:hAnsi="Calibri"/>
          <w:b/>
          <w:bCs/>
          <w:sz w:val="18"/>
          <w:szCs w:val="18"/>
        </w:rPr>
        <w:t xml:space="preserve">Model ranking matches the paper:</w:t>
      </w:r>
      <w:r>
        <w:rPr>
          <w:rFonts w:ascii="Calibri" w:cs="Calibri" w:eastAsia="Calibri" w:hAnsi="Calibri"/>
          <w:sz w:val="18"/>
          <w:szCs w:val="18"/>
        </w:rPr>
        <w:t xml:space="preserve"> XGBoost (test R² 0.740) &gt; Random Forest (0.717) &gt; neural networks (0.666 / 0.686) &gt; KNN (0.607) &gt; Ridge (0.446). Forests overfit most (train 0.960 vs test 0.717).</w:t>
      </w:r>
    </w:p>
    <w:p>
      <w:pPr>
        <w:pStyle w:val="ListParagraph"/>
        <w:numPr>
          <w:ilvl w:val="0"/>
          <w:numId w:val="2"/>
        </w:numPr>
        <w:spacing w:after="30" w:line="240"/>
        <w:jc w:val="both"/>
      </w:pPr>
      <w:r>
        <w:rPr>
          <w:rFonts w:ascii="Calibri" w:cs="Calibri" w:eastAsia="Calibri" w:hAnsi="Calibri"/>
          <w:b/>
          <w:bCs/>
          <w:sz w:val="18"/>
          <w:szCs w:val="18"/>
        </w:rPr>
        <w:t xml:space="preserve">The log label is the biggest single gain</w:t>
      </w:r>
      <w:r>
        <w:rPr>
          <w:rFonts w:ascii="Calibri" w:cs="Calibri" w:eastAsia="Calibri" w:hAnsi="Calibri"/>
          <w:sz w:val="18"/>
          <w:szCs w:val="18"/>
        </w:rPr>
        <w:t xml:space="preserve"> (0.470 to 0.808 without a price cap); interaction terms gave no gain (0.803) and overfit. Categorical and text features help (all groups, log label: 0.825); date features carry no signal (0.005).</w:t>
      </w:r>
    </w:p>
    <w:p>
      <w:pPr>
        <w:pStyle w:val="ListParagraph"/>
        <w:numPr>
          <w:ilvl w:val="0"/>
          <w:numId w:val="2"/>
        </w:numPr>
        <w:spacing w:after="30" w:line="240"/>
        <w:jc w:val="both"/>
      </w:pPr>
      <w:r>
        <w:rPr>
          <w:rFonts w:ascii="Calibri" w:cs="Calibri" w:eastAsia="Calibri" w:hAnsi="Calibri"/>
          <w:b/>
          <w:bCs/>
          <w:sz w:val="18"/>
          <w:szCs w:val="18"/>
        </w:rPr>
        <w:t xml:space="preserve">Naive transfer fails numerically, not because the ranking is lost.</w:t>
      </w:r>
      <w:r>
        <w:rPr>
          <w:rFonts w:ascii="Calibri" w:cs="Calibri" w:eastAsia="Calibri" w:hAnsi="Calibri"/>
          <w:sz w:val="18"/>
          <w:szCs w:val="18"/>
        </w:rPr>
        <w:t xml:space="preserve"> With training-city standardisation, Berlin coordinates and extreme </w:t>
      </w:r>
      <w:r>
        <w:rPr>
          <w:rFonts w:ascii="Calibri" w:cs="Calibri" w:eastAsia="Calibri" w:hAnsi="Calibri"/>
          <w:i/>
          <w:iCs/>
          <w:sz w:val="18"/>
          <w:szCs w:val="18"/>
        </w:rPr>
        <w:t xml:space="preserve">maximum_nights</w:t>
      </w:r>
      <w:r>
        <w:rPr>
          <w:rFonts w:ascii="Calibri" w:cs="Calibri" w:eastAsia="Calibri" w:hAnsi="Calibri"/>
          <w:sz w:val="18"/>
          <w:szCs w:val="18"/>
        </w:rPr>
        <w:t xml:space="preserve"> values reach thousands of standard deviations and the network diverges (R² = −7923). Robust preprocessing removes the blow-up.</w:t>
      </w:r>
    </w:p>
    <w:p>
      <w:pPr>
        <w:pStyle w:val="ListParagraph"/>
        <w:numPr>
          <w:ilvl w:val="0"/>
          <w:numId w:val="2"/>
        </w:numPr>
        <w:spacing w:after="30" w:line="240"/>
        <w:jc w:val="both"/>
      </w:pPr>
      <w:r>
        <w:rPr>
          <w:rFonts w:ascii="Calibri" w:cs="Calibri" w:eastAsia="Calibri" w:hAnsi="Calibri"/>
          <w:b/>
          <w:bCs/>
          <w:sz w:val="18"/>
          <w:szCs w:val="18"/>
        </w:rPr>
        <w:t xml:space="preserve">Ranking transfers, price level does not.</w:t>
      </w:r>
      <w:r>
        <w:rPr>
          <w:rFonts w:ascii="Calibri" w:cs="Calibri" w:eastAsia="Calibri" w:hAnsi="Calibri"/>
          <w:sz w:val="18"/>
          <w:szCs w:val="18"/>
        </w:rPr>
        <w:t xml:space="preserve"> Berlin Spearman is 0.79–0.88 for the non-diverged variants, close to in-city values, while the bias reflects city price levels (NYC-trained relative-coordinate model over-predicts Berlin by about 0.80 log units, roughly 2.2×). Calibrating with only 100 Berlin listings lifts R² to 0.71–0.84; for NYC to Berlin with relative coordinates it reaches 0.801, matching NYC’s in-city 0.802. Combined NYC+Paris training with raw coordinates scores highest uncalibrated (0.822), which we suspect (not proven) is because raw coordinates let the network infer a city-level price level.</w:t>
      </w:r>
    </w:p>
    <w:p>
      <w:pPr>
        <w:pStyle w:val="ListParagraph"/>
        <w:numPr>
          <w:ilvl w:val="0"/>
          <w:numId w:val="2"/>
        </w:numPr>
        <w:spacing w:after="30" w:line="240"/>
        <w:jc w:val="both"/>
      </w:pPr>
      <w:r>
        <w:rPr>
          <w:rFonts w:ascii="Calibri" w:cs="Calibri" w:eastAsia="Calibri" w:hAnsi="Calibri"/>
          <w:b/>
          <w:bCs/>
          <w:sz w:val="18"/>
          <w:szCs w:val="18"/>
        </w:rPr>
        <w:t xml:space="preserve">Limitations:</w:t>
      </w:r>
      <w:r>
        <w:rPr>
          <w:rFonts w:ascii="Calibri" w:cs="Calibri" w:eastAsia="Calibri" w:hAnsi="Calibri"/>
          <w:sz w:val="18"/>
          <w:szCs w:val="18"/>
        </w:rPr>
        <w:t xml:space="preserve"> single random seed per run, a newer snapshot with fewer features than the paper, a $500 price cap, and one random 100-listing calibration draw. Prices are as provided in the files (currency not verified).</w:t>
      </w:r>
    </w:p>
    <w:sectPr>
      <w:pgSz w:w="11906" w:h="16838" w:orient="portrait"/>
      <w:pgMar w:top="640" w:right="850" w:bottom="6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535c6d5864ff7a87b1e6937f3f4558b5e23d0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Airbnb Listing Price Across Cities</dc:title>
  <dc:creator>Vismay Chandra Dev (PES2UG24CS597), Vishwas Hosamath (PES2UG24CS596)</dc:creator>
  <cp:lastModifiedBy>Un-named</cp:lastModifiedBy>
  <cp:revision>1</cp:revision>
  <dcterms:created xsi:type="dcterms:W3CDTF">2026-10-07T05:39:00.428Z</dcterms:created>
  <dcterms:modified xsi:type="dcterms:W3CDTF">2026-10-07T05:39:00.432Z</dcterms:modified>
</cp:coreProperties>
</file>

<file path=docProps/custom.xml><?xml version="1.0" encoding="utf-8"?>
<Properties xmlns="http://schemas.openxmlformats.org/officeDocument/2006/custom-properties" xmlns:vt="http://schemas.openxmlformats.org/officeDocument/2006/docPropsVTypes"/>
</file>