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SRN : </w:t>
        <w:tab/>
        <w:t xml:space="preserve">PES1UG24AM325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Name : Vismay H S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: F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Subject : SE Lab1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FR and Non FR requirements table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Use-Case Flow Specification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Case: Generate Optimized Collection Route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Primary Actor: Sanitation Supervisor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Supporting Actors: Truck Driver (receives the route), Smart Bin Sensor (provides the fill-level data used to build the route)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Preconditions: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Supervisor is logged into the sanitation portal.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Bin fill-level data from the sensors is not older than 15 minutes.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The list of trucks and drivers available for the day is already entered in the system.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Postconditions: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One or more collection routes are created and assigned to trucks.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Truck drivers can see their route manifest on the app.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Any bins that were left out of the route are recorded by the system.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Main Success Scenario: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Supervisor logs in and selects "Generate Routes."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System pulls the latest fill-level readings for all bins.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System checks each bin and keeps only the ones that are above 80% full.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Supervisor selects the date and picks which trucks are available that day.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System works out the best route for each truck based on bin location and truck capacity.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System shows the supervisor a preview of the routes, along with the number of bins and estimated time.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Supervisor checks the preview and confirms 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System assigns each route to a truck driver and publishes the manifest.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Truck driver gets the route on the mobile app.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 Use case ends.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Alternate Flow – 3a: Supervisor Manually Tags a Bin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- 3a</w:t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  <w:t xml:space="preserve">. While the bins are being checked in step 3, the supervisor notices a bin that is below 80% full but still needs to be picked up (for example, a complaint was filed about it).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- 3a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  <w:t xml:space="preserve">. Supervisor manually tags this bin for collection.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- 3a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  <w:t xml:space="preserve">. The system adds the tagged bin to the list along with the bins above 80%, and the flow continues from step 4.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