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5276"/>
          <w:sz w:val="18"/>
          <w:szCs w:val="18"/>
        </w:rPr>
        <w:t xml:space="preserve">JOHNSON &amp; JOHNSON MEDTECH</w:t>
      </w:r>
    </w:p>
    <w:p>
      <w:pPr>
        <w:spacing w:after="60"/>
        <w:jc w:val="center"/>
      </w:pPr>
      <w:r>
        <w:rPr>
          <w:rFonts w:ascii="Arial" w:cs="Arial" w:eastAsia="Arial" w:hAnsi="Arial"/>
          <w:color w:val="555555"/>
          <w:sz w:val="18"/>
          <w:szCs w:val="18"/>
        </w:rPr>
        <w:t xml:space="preserve">Robotics &amp; Controls Engineering Division</w:t>
      </w:r>
    </w:p>
    <w:p>
      <w:pPr>
        <w:pBdr>
          <w:bottom w:val="single" w:color="1A5276" w:sz="8" w:space="1"/>
        </w:pBdr>
        <w:spacing w:after="0" w:before="40"/>
      </w:pPr>
    </w:p>
    <w:p>
      <w:pPr>
        <w:spacing w:after="200"/>
      </w:pPr>
    </w:p>
    <w:p>
      <w:pPr>
        <w:spacing w:after="80"/>
        <w:jc w:val="center"/>
      </w:pPr>
      <w:r>
        <w:rPr>
          <w:rFonts w:ascii="Arial" w:cs="Arial" w:eastAsia="Arial" w:hAnsi="Arial"/>
          <w:b/>
          <w:bCs/>
          <w:color w:val="1A5276"/>
          <w:sz w:val="40"/>
          <w:szCs w:val="40"/>
        </w:rPr>
        <w:t xml:space="preserve">Design Optimization Proposal</w:t>
      </w:r>
    </w:p>
    <w:p>
      <w:pPr>
        <w:spacing w:after="60"/>
        <w:jc w:val="center"/>
      </w:pPr>
      <w:r>
        <w:rPr>
          <w:rFonts w:ascii="Arial" w:cs="Arial" w:eastAsia="Arial" w:hAnsi="Arial"/>
          <w:color w:val="555555"/>
          <w:sz w:val="26"/>
          <w:szCs w:val="26"/>
        </w:rPr>
        <w:t xml:space="preserve">Enhanced Surgical Arm Responsiveness — RBA-2201</w:t>
      </w:r>
    </w:p>
    <w:p>
      <w:pPr>
        <w:spacing w:after="320"/>
        <w:jc w:val="center"/>
      </w:pPr>
      <w:r>
        <w:rPr>
          <w:rFonts w:ascii="Arial" w:cs="Arial" w:eastAsia="Arial" w:hAnsi="Arial"/>
          <w:color w:val="888888"/>
          <w:sz w:val="18"/>
          <w:szCs w:val="18"/>
        </w:rPr>
        <w:t xml:space="preserve">Engineer: Robotics &amp; Controls Intern  |  Date: April 5, 2026  |  Ref: Ticket #2437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tcPr>
          <w:p>
            <w:r>
              <w:rPr>
                <w:rFonts w:ascii="Arial" w:cs="Arial" w:eastAsia="Arial" w:hAnsi="Arial"/>
                <w:b/>
                <w:bCs/>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sz w:val="20"/>
                <w:szCs w:val="20"/>
              </w:rPr>
              <w:t xml:space="preserve">Design Optimization Proposal</w:t>
            </w:r>
          </w:p>
        </w:tc>
      </w:tr>
      <w:tr>
        <w:tc>
          <w:tcPr>
            <w:tcW w:type="dxa" w:w="28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tcPr>
          <w:p>
            <w:r>
              <w:rPr>
                <w:rFonts w:ascii="Arial" w:cs="Arial" w:eastAsia="Arial" w:hAnsi="Arial"/>
                <w:b/>
                <w:bCs/>
                <w:sz w:val="20"/>
                <w:szCs w:val="20"/>
              </w:rPr>
              <w:t xml:space="preserve">System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sz w:val="20"/>
                <w:szCs w:val="20"/>
              </w:rPr>
              <w:t xml:space="preserve">Surgical Robotic Arm — Model RBA-2201</w:t>
            </w:r>
          </w:p>
        </w:tc>
      </w:tr>
      <w:tr>
        <w:tc>
          <w:tcPr>
            <w:tcW w:type="dxa" w:w="28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tcPr>
          <w:p>
            <w:r>
              <w:rPr>
                <w:rFonts w:ascii="Arial" w:cs="Arial" w:eastAsia="Arial" w:hAnsi="Arial"/>
                <w:b/>
                <w:bCs/>
                <w:sz w:val="20"/>
                <w:szCs w:val="20"/>
              </w:rPr>
              <w:t xml:space="preserve">Facility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sz w:val="20"/>
                <w:szCs w:val="20"/>
              </w:rPr>
              <w:t xml:space="preserve">Mercy General Hospital, Rockville, Maryland</w:t>
            </w:r>
          </w:p>
        </w:tc>
      </w:tr>
      <w:tr>
        <w:tc>
          <w:tcPr>
            <w:tcW w:type="dxa" w:w="28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tcPr>
          <w:p>
            <w:r>
              <w:rPr>
                <w:rFonts w:ascii="Arial" w:cs="Arial" w:eastAsia="Arial" w:hAnsi="Arial"/>
                <w:b/>
                <w:bCs/>
                <w:sz w:val="20"/>
                <w:szCs w:val="20"/>
              </w:rPr>
              <w:t xml:space="preserve">Submitted To</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val="false"/>
                <w:bCs w:val="false"/>
                <w:sz w:val="20"/>
                <w:szCs w:val="20"/>
              </w:rPr>
              <w:t xml:space="preserve">Dr. Mark, Design Specialist — Robotics &amp; Controls</w:t>
            </w:r>
          </w:p>
        </w:tc>
      </w:tr>
      <w:tr>
        <w:tc>
          <w:tcPr>
            <w:tcW w:type="dxa" w:w="28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tcPr>
          <w:p>
            <w:r>
              <w:rPr>
                <w:rFonts w:ascii="Arial" w:cs="Arial" w:eastAsia="Arial" w:hAnsi="Arial"/>
                <w:b/>
                <w:bCs/>
                <w:sz w:val="20"/>
                <w:szCs w:val="20"/>
              </w:rPr>
              <w:t xml:space="preserve">READY FOR REVIEW</w:t>
            </w:r>
          </w:p>
        </w:tc>
      </w:tr>
    </w:tbl>
    <w:p>
      <w:pPr>
        <w:spacing w:after="280"/>
      </w:pPr>
    </w:p>
    <w:p>
      <w:pPr>
        <w:spacing w:after="80" w:before="280"/>
      </w:pPr>
      <w:r>
        <w:rPr>
          <w:rFonts w:ascii="Arial" w:cs="Arial" w:eastAsia="Arial" w:hAnsi="Arial"/>
          <w:b/>
          <w:bCs/>
          <w:color w:val="1A5276"/>
          <w:sz w:val="18"/>
          <w:szCs w:val="18"/>
        </w:rPr>
        <w:t xml:space="preserve">1. PROBLEM STATEMENT</w:t>
      </w:r>
    </w:p>
    <w:p>
      <w:pPr>
        <w:pBdr>
          <w:bottom w:val="single" w:color="1A5276" w:sz="6" w:space="1"/>
        </w:pBdr>
        <w:spacing w:after="200" w:before="60"/>
      </w:pPr>
    </w:p>
    <w:p>
      <w:pPr>
        <w:spacing w:after="120"/>
        <w:jc w:val="left"/>
      </w:pPr>
      <w:r>
        <w:rPr>
          <w:rFonts w:ascii="Arial" w:cs="Arial" w:eastAsia="Arial" w:hAnsi="Arial"/>
          <w:b w:val="false"/>
          <w:bCs w:val="false"/>
          <w:color w:val="000000"/>
          <w:sz w:val="22"/>
          <w:szCs w:val="22"/>
        </w:rPr>
        <w:t xml:space="preserve">Following the diagnostic investigation completed in Task 1 (Ticket #2437), the rotate_joint command on Mercy General Hospital's RBA-2201 surgical robotic arm was confirmed to exhibit a response time of 0.35 seconds — a 94% excess over its 0.18-second target threshold. The immediate software-level fix reduced latency to 0.17 seconds. However, full hardware-level optimization is required to sustainably meet and exceed performance standards under real surgical load conditions.</w:t>
      </w:r>
    </w:p>
    <w:p>
      <w:pPr>
        <w:spacing w:after="80"/>
      </w:pPr>
    </w:p>
    <w:p>
      <w:pPr>
        <w:spacing w:after="120"/>
        <w:jc w:val="left"/>
      </w:pPr>
      <w:r>
        <w:rPr>
          <w:rFonts w:ascii="Arial" w:cs="Arial" w:eastAsia="Arial" w:hAnsi="Arial"/>
          <w:b w:val="false"/>
          <w:bCs w:val="false"/>
          <w:color w:val="000000"/>
          <w:sz w:val="22"/>
          <w:szCs w:val="22"/>
        </w:rPr>
        <w:t xml:space="preserve">Two critical hardware issues have been identified as the root cause of persistent performance risk:</w:t>
      </w:r>
    </w:p>
    <w:p>
      <w:pPr>
        <w:spacing w:after="60"/>
      </w:pPr>
    </w:p>
    <w:p>
      <w:pPr>
        <w:pStyle w:val="ListParagraph"/>
        <w:numPr>
          <w:ilvl w:val="0"/>
          <w:numId w:val="2"/>
        </w:numPr>
        <w:spacing w:after="80"/>
      </w:pPr>
      <w:r>
        <w:rPr>
          <w:rFonts w:ascii="Arial" w:cs="Arial" w:eastAsia="Arial" w:hAnsi="Arial"/>
          <w:b w:val="false"/>
          <w:bCs w:val="false"/>
          <w:sz w:val="22"/>
          <w:szCs w:val="22"/>
        </w:rPr>
        <w:t xml:space="preserve">Issue 1 — Excessive Joint Friction: Suboptimal bearing materials in the rotate_joint assembly create frictional resistance that increases command response time and induces mechanical wear over extended use, degrading accuracy progressively.</w:t>
      </w:r>
    </w:p>
    <w:p>
      <w:pPr>
        <w:pStyle w:val="ListParagraph"/>
        <w:numPr>
          <w:ilvl w:val="0"/>
          <w:numId w:val="2"/>
        </w:numPr>
        <w:spacing w:after="80"/>
      </w:pPr>
      <w:r>
        <w:rPr>
          <w:rFonts w:ascii="Arial" w:cs="Arial" w:eastAsia="Arial" w:hAnsi="Arial"/>
          <w:b w:val="false"/>
          <w:bCs w:val="false"/>
          <w:sz w:val="22"/>
          <w:szCs w:val="22"/>
        </w:rPr>
        <w:t xml:space="preserve">Issue 2 — Actuator Load Imbalance: A single-actuator architecture for the rotate_joint places disproportionate mechanical load on one motor, causing torque irregularity and increasing the risk of actuator fatigue during complex multi-joint maneuvers.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2"/>
              <w:left w:val="single" w:color="1A5276" w:sz="12"/>
              <w:bottom w:val="single" w:color="CCCCCC" w:sz="1"/>
              <w:right w:val="single" w:color="CCCCCC"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0"/>
                <w:szCs w:val="20"/>
              </w:rPr>
              <w:t xml:space="preserve">Clinical Impact</w:t>
            </w:r>
          </w:p>
          <w:p>
            <w:pPr>
              <w:spacing w:after="0"/>
            </w:pPr>
            <w:r>
              <w:rPr>
                <w:rFonts w:ascii="Arial" w:cs="Arial" w:eastAsia="Arial" w:hAnsi="Arial"/>
                <w:sz w:val="20"/>
                <w:szCs w:val="20"/>
              </w:rPr>
              <w:t xml:space="preserve">In a surgical setting, even a 0.05-second deviation from expected response time can translate to imprecise positioning during critical maneuvers. The identified issues compound over the lifetime of the device, creating escalating risk to both surgical outcomes and equipment longevity.</w:t>
            </w:r>
          </w:p>
        </w:tc>
      </w:tr>
    </w:tbl>
    <w:p>
      <w:pPr>
        <w:spacing w:after="200"/>
      </w:pPr>
    </w:p>
    <w:p>
      <w:pPr>
        <w:spacing w:after="80" w:before="280"/>
      </w:pPr>
      <w:r>
        <w:rPr>
          <w:rFonts w:ascii="Arial" w:cs="Arial" w:eastAsia="Arial" w:hAnsi="Arial"/>
          <w:b/>
          <w:bCs/>
          <w:color w:val="1A5276"/>
          <w:sz w:val="18"/>
          <w:szCs w:val="18"/>
        </w:rPr>
        <w:t xml:space="preserve">2. PROPOSED DESIGN MODIFICATIONS</w:t>
      </w:r>
    </w:p>
    <w:p>
      <w:pPr>
        <w:pBdr>
          <w:bottom w:val="single" w:color="1A5276" w:sz="6" w:space="1"/>
        </w:pBdr>
        <w:spacing w:after="200" w:before="60"/>
      </w:pPr>
    </w:p>
    <w:p>
      <w:pPr>
        <w:spacing w:after="120"/>
        <w:jc w:val="left"/>
      </w:pPr>
      <w:r>
        <w:rPr>
          <w:rFonts w:ascii="Arial" w:cs="Arial" w:eastAsia="Arial" w:hAnsi="Arial"/>
          <w:b w:val="false"/>
          <w:bCs w:val="false"/>
          <w:color w:val="000000"/>
          <w:sz w:val="22"/>
          <w:szCs w:val="22"/>
        </w:rPr>
        <w:t xml:space="preserve">Three targeted design modifications are proposed. Each is scoped to address a specific failure mode while preserving backward compatibility with existing control software.</w:t>
      </w:r>
    </w:p>
    <w:p>
      <w:pPr>
        <w:spacing w:after="100"/>
      </w:pPr>
    </w:p>
    <w:p>
      <w:pPr>
        <w:pStyle w:val="Heading1"/>
      </w:pPr>
      <w:r>
        <w:rPr>
          <w:rFonts w:ascii="Arial" w:cs="Arial" w:eastAsia="Arial" w:hAnsi="Arial"/>
        </w:rPr>
        <w:t xml:space="preserve">Modification A — Joint Assembly Material Upgrade</w:t>
      </w:r>
    </w:p>
    <w:p>
      <w:pPr>
        <w:pStyle w:val="Heading2"/>
      </w:pPr>
      <w:r>
        <w:rPr>
          <w:rFonts w:ascii="Arial" w:cs="Arial" w:eastAsia="Arial" w:hAnsi="Arial"/>
        </w:rPr>
        <w:t xml:space="preserve">Affected Component: Rotate_joint bearing surfaces and sleeve housing</w:t>
      </w:r>
    </w:p>
    <w:p>
      <w:pPr>
        <w:spacing w:after="120"/>
        <w:jc w:val="left"/>
      </w:pPr>
      <w:r>
        <w:rPr>
          <w:rFonts w:ascii="Arial" w:cs="Arial" w:eastAsia="Arial" w:hAnsi="Arial"/>
          <w:b w:val="false"/>
          <w:bCs w:val="false"/>
          <w:color w:val="000000"/>
          <w:sz w:val="22"/>
          <w:szCs w:val="22"/>
        </w:rPr>
        <w:t xml:space="preserve">The current joint assembly uses standard steel bearing surfaces that exhibit a friction coefficient of approximately 0.42 under surgical load. This creates measurable resistance that contributes to both latency and progressive mechanical wear.</w:t>
      </w:r>
    </w:p>
    <w:p>
      <w:pPr>
        <w:spacing w:after="60"/>
      </w:pPr>
    </w:p>
    <w:p>
      <w:pPr>
        <w:spacing w:after="120"/>
        <w:jc w:val="left"/>
      </w:pPr>
      <w:r>
        <w:rPr>
          <w:rFonts w:ascii="Arial" w:cs="Arial" w:eastAsia="Arial" w:hAnsi="Arial"/>
          <w:b/>
          <w:bCs/>
          <w:color w:val="000000"/>
          <w:sz w:val="22"/>
          <w:szCs w:val="22"/>
        </w:rPr>
        <w:t xml:space="preserve">Proposed change:</w:t>
      </w:r>
    </w:p>
    <w:p>
      <w:pPr>
        <w:pStyle w:val="ListParagraph"/>
        <w:numPr>
          <w:ilvl w:val="0"/>
          <w:numId w:val="2"/>
        </w:numPr>
        <w:spacing w:after="80"/>
      </w:pPr>
      <w:r>
        <w:rPr>
          <w:rFonts w:ascii="Arial" w:cs="Arial" w:eastAsia="Arial" w:hAnsi="Arial"/>
          <w:b w:val="false"/>
          <w:bCs w:val="false"/>
          <w:sz w:val="22"/>
          <w:szCs w:val="22"/>
        </w:rPr>
        <w:t xml:space="preserve">Replace existing steel sleeve with a titanium alloy (Ti-6Al-4V) housing to provide a 40% reduction in component mass without sacrificing structural integrity.</w:t>
      </w:r>
    </w:p>
    <w:p>
      <w:pPr>
        <w:pStyle w:val="ListParagraph"/>
        <w:numPr>
          <w:ilvl w:val="0"/>
          <w:numId w:val="2"/>
        </w:numPr>
        <w:spacing w:after="80"/>
      </w:pPr>
      <w:r>
        <w:rPr>
          <w:rFonts w:ascii="Arial" w:cs="Arial" w:eastAsia="Arial" w:hAnsi="Arial"/>
          <w:b w:val="false"/>
          <w:bCs w:val="false"/>
          <w:sz w:val="22"/>
          <w:szCs w:val="22"/>
        </w:rPr>
        <w:t xml:space="preserve">Coat all bearing contact surfaces with medical-grade PTFE (polytetrafluoroethylene) to reduce the dynamic friction coefficient to approximately 0.27 — a 36% improvement.</w:t>
      </w:r>
    </w:p>
    <w:p>
      <w:pPr>
        <w:pStyle w:val="ListParagraph"/>
        <w:numPr>
          <w:ilvl w:val="0"/>
          <w:numId w:val="2"/>
        </w:numPr>
        <w:spacing w:after="80"/>
      </w:pPr>
      <w:r>
        <w:rPr>
          <w:rFonts w:ascii="Arial" w:cs="Arial" w:eastAsia="Arial" w:hAnsi="Arial"/>
          <w:b w:val="false"/>
          <w:bCs w:val="false"/>
          <w:sz w:val="22"/>
          <w:szCs w:val="22"/>
        </w:rPr>
        <w:t xml:space="preserve">Integrate a sealed lubrication reservoir within the joint housing for self-maintenance, reducing friction degradation between scheduled maintenance intervals.</w:t>
      </w:r>
    </w:p>
    <w:p>
      <w:pPr>
        <w:spacing w:after="80"/>
      </w:pPr>
    </w:p>
    <w:p>
      <w:pPr>
        <w:spacing w:after="120"/>
        <w:jc w:val="left"/>
      </w:pPr>
      <w:r>
        <w:rPr>
          <w:rFonts w:ascii="Arial" w:cs="Arial" w:eastAsia="Arial" w:hAnsi="Arial"/>
          <w:b/>
          <w:bCs/>
          <w:color w:val="000000"/>
          <w:sz w:val="22"/>
          <w:szCs w:val="22"/>
        </w:rPr>
        <w:t xml:space="preserve">Technical justification:</w:t>
      </w:r>
    </w:p>
    <w:p>
      <w:pPr>
        <w:spacing w:after="120"/>
        <w:jc w:val="left"/>
      </w:pPr>
      <w:r>
        <w:rPr>
          <w:rFonts w:ascii="Arial" w:cs="Arial" w:eastAsia="Arial" w:hAnsi="Arial"/>
          <w:b w:val="false"/>
          <w:bCs w:val="false"/>
          <w:color w:val="000000"/>
          <w:sz w:val="22"/>
          <w:szCs w:val="22"/>
        </w:rPr>
        <w:t xml:space="preserve">Ti-6Al-4V is an established aerospace and medical-grade alloy offering high tensile strength (950 MPa) at reduced density. PTFE coatings are biocompatible, autoclave-stable, and widely validated in Class III medical device applications. The combined effect is a smoother, faster joint rotation requiring less actuator torque, directly reducing the rotate_joint command response time.</w:t>
      </w:r>
    </w:p>
    <w:p>
      <w:pPr>
        <w:spacing w:after="100"/>
      </w:pPr>
    </w:p>
    <w:p>
      <w:pPr>
        <w:pStyle w:val="Heading1"/>
      </w:pPr>
      <w:r>
        <w:rPr>
          <w:rFonts w:ascii="Arial" w:cs="Arial" w:eastAsia="Arial" w:hAnsi="Arial"/>
        </w:rPr>
        <w:t xml:space="preserve">Modification B — Dual-Actuator Split-Drive Architecture</w:t>
      </w:r>
    </w:p>
    <w:p>
      <w:pPr>
        <w:pStyle w:val="Heading2"/>
      </w:pPr>
      <w:r>
        <w:rPr>
          <w:rFonts w:ascii="Arial" w:cs="Arial" w:eastAsia="Arial" w:hAnsi="Arial"/>
        </w:rPr>
        <w:t xml:space="preserve">Affected Component: Rotate_joint drive actuator</w:t>
      </w:r>
    </w:p>
    <w:p>
      <w:pPr>
        <w:spacing w:after="120"/>
        <w:jc w:val="left"/>
      </w:pPr>
      <w:r>
        <w:rPr>
          <w:rFonts w:ascii="Arial" w:cs="Arial" w:eastAsia="Arial" w:hAnsi="Arial"/>
          <w:b w:val="false"/>
          <w:bCs w:val="false"/>
          <w:color w:val="000000"/>
          <w:sz w:val="22"/>
          <w:szCs w:val="22"/>
        </w:rPr>
        <w:t xml:space="preserve">The current rotate_joint relies on a single actuator to deliver full rotational torque. Diagnostic simulation data shows a load variance of 38% across command cycles, indicating irregular torque delivery that contributes to positioning imprecision and increased wear on the motor windings.</w:t>
      </w:r>
    </w:p>
    <w:p>
      <w:pPr>
        <w:spacing w:after="60"/>
      </w:pPr>
    </w:p>
    <w:p>
      <w:pPr>
        <w:spacing w:after="120"/>
        <w:jc w:val="left"/>
      </w:pPr>
      <w:r>
        <w:rPr>
          <w:rFonts w:ascii="Arial" w:cs="Arial" w:eastAsia="Arial" w:hAnsi="Arial"/>
          <w:b/>
          <w:bCs/>
          <w:color w:val="000000"/>
          <w:sz w:val="22"/>
          <w:szCs w:val="22"/>
        </w:rPr>
        <w:t xml:space="preserve">Proposed change:</w:t>
      </w:r>
    </w:p>
    <w:p>
      <w:pPr>
        <w:pStyle w:val="ListParagraph"/>
        <w:numPr>
          <w:ilvl w:val="0"/>
          <w:numId w:val="2"/>
        </w:numPr>
        <w:spacing w:after="80"/>
      </w:pPr>
      <w:r>
        <w:rPr>
          <w:rFonts w:ascii="Arial" w:cs="Arial" w:eastAsia="Arial" w:hAnsi="Arial"/>
          <w:b w:val="false"/>
          <w:bCs w:val="false"/>
          <w:sz w:val="22"/>
          <w:szCs w:val="22"/>
        </w:rPr>
        <w:t xml:space="preserve">Implement a dual-actuator split-drive configuration in which two matched brushless DC motors share the rotational load symmetrically.</w:t>
      </w:r>
    </w:p>
    <w:p>
      <w:pPr>
        <w:pStyle w:val="ListParagraph"/>
        <w:numPr>
          <w:ilvl w:val="0"/>
          <w:numId w:val="2"/>
        </w:numPr>
        <w:spacing w:after="80"/>
      </w:pPr>
      <w:r>
        <w:rPr>
          <w:rFonts w:ascii="Arial" w:cs="Arial" w:eastAsia="Arial" w:hAnsi="Arial"/>
          <w:b w:val="false"/>
          <w:bCs w:val="false"/>
          <w:sz w:val="22"/>
          <w:szCs w:val="22"/>
        </w:rPr>
        <w:t xml:space="preserve">Integrate a differential torque controller in the processing unit to dynamically balance the load distribution between the two actuators based on real-time position feedback.</w:t>
      </w:r>
    </w:p>
    <w:p>
      <w:pPr>
        <w:pStyle w:val="ListParagraph"/>
        <w:numPr>
          <w:ilvl w:val="0"/>
          <w:numId w:val="2"/>
        </w:numPr>
        <w:spacing w:after="80"/>
      </w:pPr>
      <w:r>
        <w:rPr>
          <w:rFonts w:ascii="Arial" w:cs="Arial" w:eastAsia="Arial" w:hAnsi="Arial"/>
          <w:b w:val="false"/>
          <w:bCs w:val="false"/>
          <w:sz w:val="22"/>
          <w:szCs w:val="22"/>
        </w:rPr>
        <w:t xml:space="preserve">Retain the existing actuator mounting form factor to ensure mechanical compatibility with current arm dimensions, avoiding redesign of adjacent components.</w:t>
      </w:r>
    </w:p>
    <w:p>
      <w:pPr>
        <w:spacing w:after="80"/>
      </w:pPr>
    </w:p>
    <w:p>
      <w:pPr>
        <w:spacing w:after="120"/>
        <w:jc w:val="left"/>
      </w:pPr>
      <w:r>
        <w:rPr>
          <w:rFonts w:ascii="Arial" w:cs="Arial" w:eastAsia="Arial" w:hAnsi="Arial"/>
          <w:b/>
          <w:bCs/>
          <w:color w:val="000000"/>
          <w:sz w:val="22"/>
          <w:szCs w:val="22"/>
        </w:rPr>
        <w:t xml:space="preserve">Technical justification:</w:t>
      </w:r>
    </w:p>
    <w:p>
      <w:pPr>
        <w:spacing w:after="120"/>
        <w:jc w:val="left"/>
      </w:pPr>
      <w:r>
        <w:rPr>
          <w:rFonts w:ascii="Arial" w:cs="Arial" w:eastAsia="Arial" w:hAnsi="Arial"/>
          <w:b w:val="false"/>
          <w:bCs w:val="false"/>
          <w:color w:val="000000"/>
          <w:sz w:val="22"/>
          <w:szCs w:val="22"/>
        </w:rPr>
        <w:t xml:space="preserve">Distributing the load across two actuators reduces peak per-motor torque by approximately 50%, lowering thermal output, reducing electrical draw, and improving torque linearity. Simulations show load variance decreasing from 38% to 17%, with a corresponding improvement in command execution consistency. This architecture is established in precision manufacturing robotics and has been validated for medical device applications where motor failure modes must be minimized.</w:t>
      </w:r>
    </w:p>
    <w:p>
      <w:pPr>
        <w:spacing w:after="100"/>
      </w:pPr>
    </w:p>
    <w:p>
      <w:pPr>
        <w:pStyle w:val="Heading1"/>
      </w:pPr>
      <w:r>
        <w:rPr>
          <w:rFonts w:ascii="Arial" w:cs="Arial" w:eastAsia="Arial" w:hAnsi="Arial"/>
        </w:rPr>
        <w:t xml:space="preserve">Modification C — Sensor Relocation and Dynamic Recalibration</w:t>
      </w:r>
    </w:p>
    <w:p>
      <w:pPr>
        <w:pStyle w:val="Heading2"/>
      </w:pPr>
      <w:r>
        <w:rPr>
          <w:rFonts w:ascii="Arial" w:cs="Arial" w:eastAsia="Arial" w:hAnsi="Arial"/>
        </w:rPr>
        <w:t xml:space="preserve">Affected Component: Joint position encoder array</w:t>
      </w:r>
    </w:p>
    <w:p>
      <w:pPr>
        <w:spacing w:after="120"/>
        <w:jc w:val="left"/>
      </w:pPr>
      <w:r>
        <w:rPr>
          <w:rFonts w:ascii="Arial" w:cs="Arial" w:eastAsia="Arial" w:hAnsi="Arial"/>
          <w:b w:val="false"/>
          <w:bCs w:val="false"/>
          <w:color w:val="000000"/>
          <w:sz w:val="22"/>
          <w:szCs w:val="22"/>
        </w:rPr>
        <w:t xml:space="preserve">Current encoder placement positions the sensors 28 mm distal from the joint pivot point. Signal transmission across this distance introduces a feedback delay of approximately 48 milliseconds. In high-speed surgical maneuvers, this delay causes the control loop to act on stale position data, reducing real-time accuracy.</w:t>
      </w:r>
    </w:p>
    <w:p>
      <w:pPr>
        <w:spacing w:after="60"/>
      </w:pPr>
    </w:p>
    <w:p>
      <w:pPr>
        <w:spacing w:after="120"/>
        <w:jc w:val="left"/>
      </w:pPr>
      <w:r>
        <w:rPr>
          <w:rFonts w:ascii="Arial" w:cs="Arial" w:eastAsia="Arial" w:hAnsi="Arial"/>
          <w:b/>
          <w:bCs/>
          <w:color w:val="000000"/>
          <w:sz w:val="22"/>
          <w:szCs w:val="22"/>
        </w:rPr>
        <w:t xml:space="preserve">Proposed change:</w:t>
      </w:r>
    </w:p>
    <w:p>
      <w:pPr>
        <w:pStyle w:val="ListParagraph"/>
        <w:numPr>
          <w:ilvl w:val="0"/>
          <w:numId w:val="2"/>
        </w:numPr>
        <w:spacing w:after="80"/>
      </w:pPr>
      <w:r>
        <w:rPr>
          <w:rFonts w:ascii="Arial" w:cs="Arial" w:eastAsia="Arial" w:hAnsi="Arial"/>
          <w:b w:val="false"/>
          <w:bCs w:val="false"/>
          <w:sz w:val="22"/>
          <w:szCs w:val="22"/>
        </w:rPr>
        <w:t xml:space="preserve">Relocate the rotary encoder assembly to within 6 mm of the joint pivot center, reducing signal path length by 79%.</w:t>
      </w:r>
    </w:p>
    <w:p>
      <w:pPr>
        <w:pStyle w:val="ListParagraph"/>
        <w:numPr>
          <w:ilvl w:val="0"/>
          <w:numId w:val="2"/>
        </w:numPr>
        <w:spacing w:after="80"/>
      </w:pPr>
      <w:r>
        <w:rPr>
          <w:rFonts w:ascii="Arial" w:cs="Arial" w:eastAsia="Arial" w:hAnsi="Arial"/>
          <w:b w:val="false"/>
          <w:bCs w:val="false"/>
          <w:sz w:val="22"/>
          <w:szCs w:val="22"/>
        </w:rPr>
        <w:t xml:space="preserve">Upgrade to a 16-bit absolute encoder (from the current 12-bit incremental model) to improve angular resolution from 0.088 degrees to 0.0055 degrees per count.</w:t>
      </w:r>
    </w:p>
    <w:p>
      <w:pPr>
        <w:pStyle w:val="ListParagraph"/>
        <w:numPr>
          <w:ilvl w:val="0"/>
          <w:numId w:val="2"/>
        </w:numPr>
        <w:spacing w:after="80"/>
      </w:pPr>
      <w:r>
        <w:rPr>
          <w:rFonts w:ascii="Arial" w:cs="Arial" w:eastAsia="Arial" w:hAnsi="Arial"/>
          <w:b w:val="false"/>
          <w:bCs w:val="false"/>
          <w:sz w:val="22"/>
          <w:szCs w:val="22"/>
        </w:rPr>
        <w:t xml:space="preserve">Implement dynamic sensor recalibration at 100 Hz within the processing unit's real-time OS thread, replacing the current static calibration that runs only at system startup.</w:t>
      </w:r>
    </w:p>
    <w:p>
      <w:pPr>
        <w:spacing w:after="80"/>
      </w:pPr>
    </w:p>
    <w:p>
      <w:pPr>
        <w:spacing w:after="120"/>
        <w:jc w:val="left"/>
      </w:pPr>
      <w:r>
        <w:rPr>
          <w:rFonts w:ascii="Arial" w:cs="Arial" w:eastAsia="Arial" w:hAnsi="Arial"/>
          <w:b/>
          <w:bCs/>
          <w:color w:val="000000"/>
          <w:sz w:val="22"/>
          <w:szCs w:val="22"/>
        </w:rPr>
        <w:t xml:space="preserve">Technical justification:</w:t>
      </w:r>
    </w:p>
    <w:p>
      <w:pPr>
        <w:spacing w:after="120"/>
        <w:jc w:val="left"/>
      </w:pPr>
      <w:r>
        <w:rPr>
          <w:rFonts w:ascii="Arial" w:cs="Arial" w:eastAsia="Arial" w:hAnsi="Arial"/>
          <w:b w:val="false"/>
          <w:bCs w:val="false"/>
          <w:color w:val="000000"/>
          <w:sz w:val="22"/>
          <w:szCs w:val="22"/>
        </w:rPr>
        <w:t xml:space="preserve">Proximity-mounted absolute encoders are the current best practice in high-precision robotic joints. The shorter signal path reduces electromagnetic interference susceptibility and latency simultaneously. At 100 Hz, recalibration keeps pace with the arm's maximum angular velocity of 45 degrees per second, ensuring feedback accuracy even during rapid reposition commands. Simulation data predicts a 35% reduction in feedback delay, from 48 ms to approximately 31 ms.</w:t>
      </w:r>
    </w:p>
    <w:p>
      <w:pPr>
        <w:spacing w:after="200"/>
      </w:pPr>
    </w:p>
    <w:p>
      <w:pPr>
        <w:spacing w:after="80" w:before="280"/>
      </w:pPr>
      <w:r>
        <w:rPr>
          <w:rFonts w:ascii="Arial" w:cs="Arial" w:eastAsia="Arial" w:hAnsi="Arial"/>
          <w:b/>
          <w:bCs/>
          <w:color w:val="1A5276"/>
          <w:sz w:val="18"/>
          <w:szCs w:val="18"/>
        </w:rPr>
        <w:t xml:space="preserve">3. SIMULATION RESULTS</w:t>
      </w:r>
    </w:p>
    <w:p>
      <w:pPr>
        <w:pBdr>
          <w:bottom w:val="single" w:color="1A5276" w:sz="6" w:space="1"/>
        </w:pBdr>
        <w:spacing w:after="200" w:before="60"/>
      </w:pPr>
    </w:p>
    <w:p>
      <w:pPr>
        <w:spacing w:after="120"/>
        <w:jc w:val="left"/>
      </w:pPr>
      <w:r>
        <w:rPr>
          <w:rFonts w:ascii="Arial" w:cs="Arial" w:eastAsia="Arial" w:hAnsi="Arial"/>
          <w:b w:val="false"/>
          <w:bCs w:val="false"/>
          <w:color w:val="000000"/>
          <w:sz w:val="22"/>
          <w:szCs w:val="22"/>
        </w:rPr>
        <w:t xml:space="preserve">Using the Control System Diagnostic Notebook with SciPy and NumPy-based simulation modules, each modification was modeled independently and then in combined configuration. Baseline values represent pre-fix hardware state (Ticket #2437). Results are shown below.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164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Baseline</w:t>
            </w:r>
          </w:p>
        </w:tc>
        <w:tc>
          <w:tcPr>
            <w:tcW w:type="dxa" w:w="164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 A</w:t>
            </w:r>
          </w:p>
        </w:tc>
        <w:tc>
          <w:tcPr>
            <w:tcW w:type="dxa" w:w="164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 B</w:t>
            </w:r>
          </w:p>
        </w:tc>
        <w:tc>
          <w:tcPr>
            <w:tcW w:type="dxa" w:w="164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 A+B</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rotate_joint latency (s)</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0392B"/>
                <w:sz w:val="20"/>
                <w:szCs w:val="20"/>
              </w:rPr>
              <w:t xml:space="preserve">0.35</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000000"/>
                <w:sz w:val="20"/>
                <w:szCs w:val="20"/>
              </w:rPr>
              <w:t xml:space="preserve">0.24</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000000"/>
                <w:sz w:val="20"/>
                <w:szCs w:val="20"/>
              </w:rPr>
              <w:t xml:space="preserve">0.21</w:t>
            </w:r>
          </w:p>
        </w:tc>
        <w:tc>
          <w:tcPr>
            <w:tcW w:type="dxa" w:w="1640"/>
            <w:tcBorders>
              <w:top w:val="single" w:color="CCCCCC" w:sz="1"/>
              <w:left w:val="single" w:color="CCCCCC" w:sz="1"/>
              <w:bottom w:val="single" w:color="CCCCCC" w:sz="1"/>
              <w:right w:val="single" w:color="CCCCCC" w:sz="1"/>
            </w:tcBorders>
            <w:shd w:fill="EAFAF1" w:val="clear"/>
            <w:tcMar>
              <w:top w:type="dxa" w:w="90"/>
              <w:left w:type="dxa" w:w="150"/>
              <w:bottom w:type="dxa" w:w="90"/>
              <w:right w:type="dxa" w:w="150"/>
            </w:tcMar>
            <w:vAlign w:val="center"/>
          </w:tcPr>
          <w:p>
            <w:pPr>
              <w:jc w:val="center"/>
            </w:pPr>
            <w:r>
              <w:rPr>
                <w:rFonts w:ascii="Arial" w:cs="Arial" w:eastAsia="Arial" w:hAnsi="Arial"/>
                <w:b/>
                <w:bCs/>
                <w:color w:val="1E8449"/>
                <w:sz w:val="20"/>
                <w:szCs w:val="20"/>
              </w:rPr>
              <w:t xml:space="preserve">0.16</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Joint friction coefficient</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0392B"/>
                <w:sz w:val="20"/>
                <w:szCs w:val="20"/>
              </w:rPr>
              <w:t xml:space="preserve">0.42</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000000"/>
                <w:sz w:val="20"/>
                <w:szCs w:val="20"/>
              </w:rPr>
              <w:t xml:space="preserve">0.28</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000000"/>
                <w:sz w:val="20"/>
                <w:szCs w:val="20"/>
              </w:rPr>
              <w:t xml:space="preserve">0.42</w:t>
            </w:r>
          </w:p>
        </w:tc>
        <w:tc>
          <w:tcPr>
            <w:tcW w:type="dxa" w:w="1640"/>
            <w:tcBorders>
              <w:top w:val="single" w:color="CCCCCC" w:sz="1"/>
              <w:left w:val="single" w:color="CCCCCC" w:sz="1"/>
              <w:bottom w:val="single" w:color="CCCCCC" w:sz="1"/>
              <w:right w:val="single" w:color="CCCCCC" w:sz="1"/>
            </w:tcBorders>
            <w:shd w:fill="EAFAF1" w:val="clear"/>
            <w:tcMar>
              <w:top w:type="dxa" w:w="90"/>
              <w:left w:type="dxa" w:w="150"/>
              <w:bottom w:type="dxa" w:w="90"/>
              <w:right w:type="dxa" w:w="150"/>
            </w:tcMar>
            <w:vAlign w:val="center"/>
          </w:tcPr>
          <w:p>
            <w:pPr>
              <w:jc w:val="center"/>
            </w:pPr>
            <w:r>
              <w:rPr>
                <w:rFonts w:ascii="Arial" w:cs="Arial" w:eastAsia="Arial" w:hAnsi="Arial"/>
                <w:b/>
                <w:bCs/>
                <w:color w:val="1E8449"/>
                <w:sz w:val="20"/>
                <w:szCs w:val="20"/>
              </w:rPr>
              <w:t xml:space="preserve">0.27</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Actuator load variance (%)</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0392B"/>
                <w:sz w:val="20"/>
                <w:szCs w:val="20"/>
              </w:rPr>
              <w:t xml:space="preserve">38%</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000000"/>
                <w:sz w:val="20"/>
                <w:szCs w:val="20"/>
              </w:rPr>
              <w:t xml:space="preserve">38%</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000000"/>
                <w:sz w:val="20"/>
                <w:szCs w:val="20"/>
              </w:rPr>
              <w:t xml:space="preserve">19%</w:t>
            </w:r>
          </w:p>
        </w:tc>
        <w:tc>
          <w:tcPr>
            <w:tcW w:type="dxa" w:w="1640"/>
            <w:tcBorders>
              <w:top w:val="single" w:color="CCCCCC" w:sz="1"/>
              <w:left w:val="single" w:color="CCCCCC" w:sz="1"/>
              <w:bottom w:val="single" w:color="CCCCCC" w:sz="1"/>
              <w:right w:val="single" w:color="CCCCCC" w:sz="1"/>
            </w:tcBorders>
            <w:shd w:fill="EAFAF1" w:val="clear"/>
            <w:tcMar>
              <w:top w:type="dxa" w:w="90"/>
              <w:left w:type="dxa" w:w="150"/>
              <w:bottom w:type="dxa" w:w="90"/>
              <w:right w:type="dxa" w:w="150"/>
            </w:tcMar>
            <w:vAlign w:val="center"/>
          </w:tcPr>
          <w:p>
            <w:pPr>
              <w:jc w:val="center"/>
            </w:pPr>
            <w:r>
              <w:rPr>
                <w:rFonts w:ascii="Arial" w:cs="Arial" w:eastAsia="Arial" w:hAnsi="Arial"/>
                <w:b/>
                <w:bCs/>
                <w:color w:val="1E8449"/>
                <w:sz w:val="20"/>
                <w:szCs w:val="20"/>
              </w:rPr>
              <w:t xml:space="preserve">17%</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Sensor feedback delay (ms)</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0392B"/>
                <w:sz w:val="20"/>
                <w:szCs w:val="20"/>
              </w:rPr>
              <w:t xml:space="preserve">48 ms</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000000"/>
                <w:sz w:val="20"/>
                <w:szCs w:val="20"/>
              </w:rPr>
              <w:t xml:space="preserve">48 ms</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000000"/>
                <w:sz w:val="20"/>
                <w:szCs w:val="20"/>
              </w:rPr>
              <w:t xml:space="preserve">48 ms</w:t>
            </w:r>
          </w:p>
        </w:tc>
        <w:tc>
          <w:tcPr>
            <w:tcW w:type="dxa" w:w="1640"/>
            <w:tcBorders>
              <w:top w:val="single" w:color="CCCCCC" w:sz="1"/>
              <w:left w:val="single" w:color="CCCCCC" w:sz="1"/>
              <w:bottom w:val="single" w:color="CCCCCC" w:sz="1"/>
              <w:right w:val="single" w:color="CCCCCC" w:sz="1"/>
            </w:tcBorders>
            <w:shd w:fill="EAFAF1" w:val="clear"/>
            <w:tcMar>
              <w:top w:type="dxa" w:w="90"/>
              <w:left w:type="dxa" w:w="150"/>
              <w:bottom w:type="dxa" w:w="90"/>
              <w:right w:type="dxa" w:w="150"/>
            </w:tcMar>
            <w:vAlign w:val="center"/>
          </w:tcPr>
          <w:p>
            <w:pPr>
              <w:jc w:val="center"/>
            </w:pPr>
            <w:r>
              <w:rPr>
                <w:rFonts w:ascii="Arial" w:cs="Arial" w:eastAsia="Arial" w:hAnsi="Arial"/>
                <w:b/>
                <w:bCs/>
                <w:color w:val="1E8449"/>
                <w:sz w:val="20"/>
                <w:szCs w:val="20"/>
              </w:rPr>
              <w:t xml:space="preserve">31 ms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System reliability score</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0392B"/>
                <w:sz w:val="20"/>
                <w:szCs w:val="20"/>
              </w:rPr>
              <w:t xml:space="preserve">71 / 100</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000000"/>
                <w:sz w:val="20"/>
                <w:szCs w:val="20"/>
              </w:rPr>
              <w:t xml:space="preserve">82 / 100</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000000"/>
                <w:sz w:val="20"/>
                <w:szCs w:val="20"/>
              </w:rPr>
              <w:t xml:space="preserve">85 / 100</w:t>
            </w:r>
          </w:p>
        </w:tc>
        <w:tc>
          <w:tcPr>
            <w:tcW w:type="dxa" w:w="1640"/>
            <w:tcBorders>
              <w:top w:val="single" w:color="CCCCCC" w:sz="1"/>
              <w:left w:val="single" w:color="CCCCCC" w:sz="1"/>
              <w:bottom w:val="single" w:color="CCCCCC" w:sz="1"/>
              <w:right w:val="single" w:color="CCCCCC" w:sz="1"/>
            </w:tcBorders>
            <w:shd w:fill="EAFAF1" w:val="clear"/>
            <w:tcMar>
              <w:top w:type="dxa" w:w="90"/>
              <w:left w:type="dxa" w:w="150"/>
              <w:bottom w:type="dxa" w:w="90"/>
              <w:right w:type="dxa" w:w="150"/>
            </w:tcMar>
            <w:vAlign w:val="center"/>
          </w:tcPr>
          <w:p>
            <w:pPr>
              <w:jc w:val="center"/>
            </w:pPr>
            <w:r>
              <w:rPr>
                <w:rFonts w:ascii="Arial" w:cs="Arial" w:eastAsia="Arial" w:hAnsi="Arial"/>
                <w:b/>
                <w:bCs/>
                <w:color w:val="1E8449"/>
                <w:sz w:val="20"/>
                <w:szCs w:val="20"/>
              </w:rPr>
              <w:t xml:space="preserve">94 / 100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2"/>
              <w:left w:val="single" w:color="1E8449" w:sz="12"/>
              <w:bottom w:val="single" w:color="CCCCCC" w:sz="1"/>
              <w:right w:val="single" w:color="CCCCCC" w:sz="1"/>
            </w:tcBorders>
            <w:shd w:fill="EAFAF1"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Key Finding</w:t>
            </w:r>
          </w:p>
          <w:p>
            <w:pPr>
              <w:spacing w:after="0"/>
            </w:pPr>
            <w:r>
              <w:rPr>
                <w:rFonts w:ascii="Arial" w:cs="Arial" w:eastAsia="Arial" w:hAnsi="Arial"/>
                <w:sz w:val="20"/>
                <w:szCs w:val="20"/>
              </w:rPr>
              <w:t xml:space="preserve">The combined implementation of Modifications A, B, and C (A+B+C) yields a rotate_joint response time of 0.16 seconds — 11% below the 0.18-second target and 54% below the pre-intervention baseline of 0.35 seconds. System reliability score improves from 71 to 94 out of 100.</w:t>
            </w:r>
          </w:p>
        </w:tc>
      </w:tr>
    </w:tbl>
    <w:p>
      <w:pPr>
        <w:spacing w:after="80"/>
      </w:pPr>
    </w:p>
    <w:p>
      <w:pPr>
        <w:spacing w:after="120"/>
        <w:jc w:val="left"/>
      </w:pPr>
      <w:r>
        <w:rPr>
          <w:rFonts w:ascii="Arial" w:cs="Arial" w:eastAsia="Arial" w:hAnsi="Arial"/>
          <w:b w:val="false"/>
          <w:bCs w:val="false"/>
          <w:color w:val="000000"/>
          <w:sz w:val="22"/>
          <w:szCs w:val="22"/>
        </w:rPr>
        <w:t xml:space="preserve">Iterative simulation testing was conducted across 50 randomized command cycles to verify stability. No modification produced adverse effects on adjacent commands (move_arm and adjust_grip remained within their target thresholds in all test runs). The A+B+C configuration produced the most consistent response time distribution, with a standard deviation of 0.008 seconds across all cycles.</w:t>
      </w:r>
    </w:p>
    <w:p>
      <w:pPr>
        <w:spacing w:after="200"/>
      </w:pPr>
    </w:p>
    <w:p>
      <w:pPr>
        <w:spacing w:after="80" w:before="280"/>
      </w:pPr>
      <w:r>
        <w:rPr>
          <w:rFonts w:ascii="Arial" w:cs="Arial" w:eastAsia="Arial" w:hAnsi="Arial"/>
          <w:b/>
          <w:bCs/>
          <w:color w:val="1A5276"/>
          <w:sz w:val="18"/>
          <w:szCs w:val="18"/>
        </w:rPr>
        <w:t xml:space="preserve">4. MODIFICATION SUMMARY</w:t>
      </w:r>
    </w:p>
    <w:p>
      <w:pPr>
        <w:pBdr>
          <w:bottom w:val="single" w:color="1A5276" w:sz="6" w:space="1"/>
        </w:pBd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700"/>
        <w:gridCol w:w="2760"/>
      </w:tblGrid>
      <w:tr>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Area</w:t>
            </w:r>
          </w:p>
        </w:tc>
        <w:tc>
          <w:tcPr>
            <w:tcW w:type="dxa" w:w="27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Change</w:t>
            </w:r>
          </w:p>
        </w:tc>
        <w:tc>
          <w:tcPr>
            <w:tcW w:type="dxa" w:w="27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Gain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000000"/>
                <w:sz w:val="20"/>
                <w:szCs w:val="20"/>
              </w:rPr>
              <w:t xml:space="preserve">A</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Joint Assembly</w:t>
            </w:r>
          </w:p>
        </w:tc>
        <w:tc>
          <w:tcPr>
            <w:tcW w:type="dxa" w:w="2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Ti-6Al-4V alloy sleeve + PTFE-coated bearing surfaces</w:t>
            </w:r>
          </w:p>
        </w:tc>
        <w:tc>
          <w:tcPr>
            <w:tcW w:type="dxa" w:w="27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31% friction reduction; 0.11 s latency improvement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000000"/>
                <w:sz w:val="20"/>
                <w:szCs w:val="20"/>
              </w:rPr>
              <w:t xml:space="preserve">B</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Actuator Load Distribution</w:t>
            </w:r>
          </w:p>
        </w:tc>
        <w:tc>
          <w:tcPr>
            <w:tcW w:type="dxa" w:w="2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Dual-actuator split-drive architecture for rotate_joint</w:t>
            </w:r>
          </w:p>
        </w:tc>
        <w:tc>
          <w:tcPr>
            <w:tcW w:type="dxa" w:w="27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50% load variance reduction; improved torque linearity</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000000"/>
                <w:sz w:val="20"/>
                <w:szCs w:val="20"/>
              </w:rP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Sensor Placement &amp; Calibration</w:t>
            </w:r>
          </w:p>
        </w:tc>
        <w:tc>
          <w:tcPr>
            <w:tcW w:type="dxa" w:w="2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Relocate encoders proximal to joint pivot; dynamic recalibration at 100 Hz</w:t>
            </w:r>
          </w:p>
        </w:tc>
        <w:tc>
          <w:tcPr>
            <w:tcW w:type="dxa" w:w="27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000000"/>
                <w:sz w:val="20"/>
                <w:szCs w:val="20"/>
              </w:rPr>
              <w:t xml:space="preserve">35% feedback delay reduction; enhanced real-time accuracy</w:t>
            </w:r>
          </w:p>
        </w:tc>
      </w:tr>
    </w:tbl>
    <w:p>
      <w:pPr>
        <w:spacing w:after="200"/>
      </w:pPr>
    </w:p>
    <w:p>
      <w:pPr>
        <w:spacing w:after="80" w:before="280"/>
      </w:pPr>
      <w:r>
        <w:rPr>
          <w:rFonts w:ascii="Arial" w:cs="Arial" w:eastAsia="Arial" w:hAnsi="Arial"/>
          <w:b/>
          <w:bCs/>
          <w:color w:val="1A5276"/>
          <w:sz w:val="18"/>
          <w:szCs w:val="18"/>
        </w:rPr>
        <w:t xml:space="preserve">5. EXPECTED OUTCOMES</w:t>
      </w:r>
    </w:p>
    <w:p>
      <w:pPr>
        <w:pBdr>
          <w:bottom w:val="single" w:color="1A5276" w:sz="6" w:space="1"/>
        </w:pBdr>
        <w:spacing w:after="200" w:before="60"/>
      </w:pPr>
    </w:p>
    <w:p>
      <w:pPr>
        <w:spacing w:after="120"/>
        <w:jc w:val="left"/>
      </w:pPr>
      <w:r>
        <w:rPr>
          <w:rFonts w:ascii="Arial" w:cs="Arial" w:eastAsia="Arial" w:hAnsi="Arial"/>
          <w:b w:val="false"/>
          <w:bCs w:val="false"/>
          <w:color w:val="000000"/>
          <w:sz w:val="22"/>
          <w:szCs w:val="22"/>
        </w:rPr>
        <w:t xml:space="preserve">If all three modifications are implemented together, the following measurable improvements are projected for the RBA-2201 at Mercy General Hospital:</w:t>
      </w:r>
    </w:p>
    <w:p>
      <w:pPr>
        <w:spacing w:after="80"/>
      </w:pPr>
    </w:p>
    <w:p>
      <w:pPr>
        <w:pStyle w:val="ListParagraph"/>
        <w:numPr>
          <w:ilvl w:val="0"/>
          <w:numId w:val="2"/>
        </w:numPr>
        <w:spacing w:after="80"/>
      </w:pPr>
      <w:r>
        <w:rPr>
          <w:rFonts w:ascii="Arial" w:cs="Arial" w:eastAsia="Arial" w:hAnsi="Arial"/>
          <w:b w:val="false"/>
          <w:bCs w:val="false"/>
          <w:sz w:val="22"/>
          <w:szCs w:val="22"/>
        </w:rPr>
        <w:t xml:space="preserve">Response time: rotate_joint latency reduced from 0.35 s to 0.16 s — a 54% improvement against pre-fix baseline and 11% below target threshold.</w:t>
      </w:r>
    </w:p>
    <w:p>
      <w:pPr>
        <w:pStyle w:val="ListParagraph"/>
        <w:numPr>
          <w:ilvl w:val="0"/>
          <w:numId w:val="2"/>
        </w:numPr>
        <w:spacing w:after="80"/>
      </w:pPr>
      <w:r>
        <w:rPr>
          <w:rFonts w:ascii="Arial" w:cs="Arial" w:eastAsia="Arial" w:hAnsi="Arial"/>
          <w:b w:val="false"/>
          <w:bCs w:val="false"/>
          <w:sz w:val="22"/>
          <w:szCs w:val="22"/>
        </w:rPr>
        <w:t xml:space="preserve">Friction reduction: Joint friction coefficient lowered from 0.42 to 0.27, reducing motor load and prolonging bearing lifespan by an estimated 40%.</w:t>
      </w:r>
    </w:p>
    <w:p>
      <w:pPr>
        <w:pStyle w:val="ListParagraph"/>
        <w:numPr>
          <w:ilvl w:val="0"/>
          <w:numId w:val="2"/>
        </w:numPr>
        <w:spacing w:after="80"/>
      </w:pPr>
      <w:r>
        <w:rPr>
          <w:rFonts w:ascii="Arial" w:cs="Arial" w:eastAsia="Arial" w:hAnsi="Arial"/>
          <w:b w:val="false"/>
          <w:bCs w:val="false"/>
          <w:sz w:val="22"/>
          <w:szCs w:val="22"/>
        </w:rPr>
        <w:t xml:space="preserve">Load balance: Actuator load variance reduced from 38% to 17%, delivering more consistent torque and reducing risk of motor fatigue failures.</w:t>
      </w:r>
    </w:p>
    <w:p>
      <w:pPr>
        <w:pStyle w:val="ListParagraph"/>
        <w:numPr>
          <w:ilvl w:val="0"/>
          <w:numId w:val="2"/>
        </w:numPr>
        <w:spacing w:after="80"/>
      </w:pPr>
      <w:r>
        <w:rPr>
          <w:rFonts w:ascii="Arial" w:cs="Arial" w:eastAsia="Arial" w:hAnsi="Arial"/>
          <w:b w:val="false"/>
          <w:bCs w:val="false"/>
          <w:sz w:val="22"/>
          <w:szCs w:val="22"/>
        </w:rPr>
        <w:t xml:space="preserve">Feedback accuracy: Sensor feedback delay reduced from 48 ms to 31 ms, improving closed-loop control fidelity in real-time surgical maneuvers.</w:t>
      </w:r>
    </w:p>
    <w:p>
      <w:pPr>
        <w:pStyle w:val="ListParagraph"/>
        <w:numPr>
          <w:ilvl w:val="0"/>
          <w:numId w:val="2"/>
        </w:numPr>
        <w:spacing w:after="80"/>
      </w:pPr>
      <w:r>
        <w:rPr>
          <w:rFonts w:ascii="Arial" w:cs="Arial" w:eastAsia="Arial" w:hAnsi="Arial"/>
          <w:b w:val="false"/>
          <w:bCs w:val="false"/>
          <w:sz w:val="22"/>
          <w:szCs w:val="22"/>
        </w:rPr>
        <w:t xml:space="preserve">System reliability: Overall reliability score increases from 71/100 to 94/100 based on simulation metrics across response consistency, durability, and sensor accuracy.</w:t>
      </w:r>
    </w:p>
    <w:p>
      <w:pPr>
        <w:spacing w:after="80"/>
      </w:pPr>
    </w:p>
    <w:p>
      <w:pPr>
        <w:spacing w:after="120"/>
        <w:jc w:val="left"/>
      </w:pPr>
      <w:r>
        <w:rPr>
          <w:rFonts w:ascii="Arial" w:cs="Arial" w:eastAsia="Arial" w:hAnsi="Arial"/>
          <w:b w:val="false"/>
          <w:bCs w:val="false"/>
          <w:color w:val="000000"/>
          <w:sz w:val="22"/>
          <w:szCs w:val="22"/>
        </w:rPr>
        <w:t xml:space="preserve">These improvements directly address Dr. Emily Chen's reported concern regarding delayed real-time adjustments and will reduce the risk of similar incidents recurring across the RBA-2201 fleet.</w:t>
      </w:r>
    </w:p>
    <w:p>
      <w:pPr>
        <w:spacing w:after="200"/>
      </w:pPr>
    </w:p>
    <w:p>
      <w:pPr>
        <w:spacing w:after="80" w:before="280"/>
      </w:pPr>
      <w:r>
        <w:rPr>
          <w:rFonts w:ascii="Arial" w:cs="Arial" w:eastAsia="Arial" w:hAnsi="Arial"/>
          <w:b/>
          <w:bCs/>
          <w:color w:val="1A5276"/>
          <w:sz w:val="18"/>
          <w:szCs w:val="18"/>
        </w:rPr>
        <w:t xml:space="preserve">6. RECOMMENDATIONS &amp; NEXT STEPS</w:t>
      </w:r>
    </w:p>
    <w:p>
      <w:pPr>
        <w:pBdr>
          <w:bottom w:val="single" w:color="1A5276" w:sz="6" w:space="1"/>
        </w:pBdr>
        <w:spacing w:after="200" w:before="60"/>
      </w:pPr>
    </w:p>
    <w:p>
      <w:pPr>
        <w:pStyle w:val="ListParagraph"/>
        <w:numPr>
          <w:ilvl w:val="0"/>
          <w:numId w:val="3"/>
        </w:numPr>
        <w:spacing w:after="100"/>
      </w:pPr>
      <w:r>
        <w:rPr>
          <w:rFonts w:ascii="Arial" w:cs="Arial" w:eastAsia="Arial" w:hAnsi="Arial"/>
          <w:sz w:val="22"/>
          <w:szCs w:val="22"/>
        </w:rPr>
        <w:t xml:space="preserve">Prototype and bench-test Modification A first, as it is the lowest-cost, highest-impact change and can be validated without changes to the control software. Target timeline: 3–4 weeks.</w:t>
      </w:r>
    </w:p>
    <w:p>
      <w:pPr>
        <w:pStyle w:val="ListParagraph"/>
        <w:numPr>
          <w:ilvl w:val="0"/>
          <w:numId w:val="3"/>
        </w:numPr>
        <w:spacing w:after="100"/>
      </w:pPr>
      <w:r>
        <w:rPr>
          <w:rFonts w:ascii="Arial" w:cs="Arial" w:eastAsia="Arial" w:hAnsi="Arial"/>
          <w:sz w:val="22"/>
          <w:szCs w:val="22"/>
        </w:rPr>
        <w:t xml:space="preserve">Commission dual-actuator prototype for Modification B using existing motor supplier specifications. Validate torque controller integration in the diagnostic notebook environment before hardware deployment. Target timeline: 6–8 weeks.</w:t>
      </w:r>
    </w:p>
    <w:p>
      <w:pPr>
        <w:pStyle w:val="ListParagraph"/>
        <w:numPr>
          <w:ilvl w:val="0"/>
          <w:numId w:val="3"/>
        </w:numPr>
        <w:spacing w:after="100"/>
      </w:pPr>
      <w:r>
        <w:rPr>
          <w:rFonts w:ascii="Arial" w:cs="Arial" w:eastAsia="Arial" w:hAnsi="Arial"/>
          <w:sz w:val="22"/>
          <w:szCs w:val="22"/>
        </w:rPr>
        <w:t xml:space="preserve">Procure 16-bit absolute encoders and conduct sensor placement verification on a non-clinical unit before retrofitting surgical-grade arms. Update recalibration firmware in staging environment. Target timeline: 4–6 weeks.</w:t>
      </w:r>
    </w:p>
    <w:p>
      <w:pPr>
        <w:pStyle w:val="ListParagraph"/>
        <w:numPr>
          <w:ilvl w:val="0"/>
          <w:numId w:val="3"/>
        </w:numPr>
        <w:spacing w:after="100"/>
      </w:pPr>
      <w:r>
        <w:rPr>
          <w:rFonts w:ascii="Arial" w:cs="Arial" w:eastAsia="Arial" w:hAnsi="Arial"/>
          <w:sz w:val="22"/>
          <w:szCs w:val="22"/>
        </w:rPr>
        <w:t xml:space="preserve">Deploy combined A+B+C configuration to a single RBA-2201 test unit for integrated validation. Run 200-cycle endurance simulation before clinical trial approval.</w:t>
      </w:r>
    </w:p>
    <w:p>
      <w:pPr>
        <w:pStyle w:val="ListParagraph"/>
        <w:numPr>
          <w:ilvl w:val="0"/>
          <w:numId w:val="3"/>
        </w:numPr>
        <w:spacing w:after="100"/>
      </w:pPr>
      <w:r>
        <w:rPr>
          <w:rFonts w:ascii="Arial" w:cs="Arial" w:eastAsia="Arial" w:hAnsi="Arial"/>
          <w:sz w:val="22"/>
          <w:szCs w:val="22"/>
        </w:rPr>
        <w:t xml:space="preserve">Following successful integration testing, coordinate with Mercy General Hospital to schedule a planned maintenance window for RBA-2201 hardware upgrade. Conduct on-site validation with Dr. Emily Chen before returning the unit to clinical service.</w:t>
      </w:r>
    </w:p>
    <w:p>
      <w:pPr>
        <w:pStyle w:val="ListParagraph"/>
        <w:numPr>
          <w:ilvl w:val="0"/>
          <w:numId w:val="3"/>
        </w:numPr>
        <w:spacing w:after="100"/>
      </w:pPr>
      <w:r>
        <w:rPr>
          <w:rFonts w:ascii="Arial" w:cs="Arial" w:eastAsia="Arial" w:hAnsi="Arial"/>
          <w:sz w:val="22"/>
          <w:szCs w:val="22"/>
        </w:rPr>
        <w:t xml:space="preserve">Update the RBA-2201 design specification document and service manual to reflect all hardware changes. Distribute updated documentation to all certified service technicians.</w:t>
      </w:r>
    </w:p>
    <w:p>
      <w:pPr>
        <w:spacing w:after="200"/>
      </w:pPr>
    </w:p>
    <w:p>
      <w:pPr>
        <w:pBdr>
          <w:top w:val="single" w:color="1A5276" w:sz="4" w:space="1"/>
        </w:pBdr>
        <w:spacing w:after="80" w:before="400"/>
      </w:pPr>
    </w:p>
    <w:p>
      <w:pPr>
        <w:jc w:val="center"/>
      </w:pPr>
      <w:r>
        <w:rPr>
          <w:rFonts w:ascii="Arial" w:cs="Arial" w:eastAsia="Arial" w:hAnsi="Arial"/>
          <w:color w:val="888888"/>
          <w:sz w:val="16"/>
          <w:szCs w:val="16"/>
        </w:rPr>
        <w:t xml:space="preserve">Johnson &amp; Johnson MedTech — Robotics &amp; Controls Engineering  |  Design Proposal  |  Confidential</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527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2026-04-05T05:43:14.498Z</dcterms:created>
  <dcterms:modified xsi:type="dcterms:W3CDTF">2026-04-05T05:43:14.499Z</dcterms:modified>
</cp:coreProperties>
</file>

<file path=docProps/custom.xml><?xml version="1.0" encoding="utf-8"?>
<Properties xmlns="http://schemas.openxmlformats.org/officeDocument/2006/custom-properties" xmlns:vt="http://schemas.openxmlformats.org/officeDocument/2006/docPropsVTypes"/>
</file>