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0392B"/>
          <w:sz w:val="18"/>
          <w:szCs w:val="18"/>
        </w:rPr>
        <w:t xml:space="preserve">JOHNSON &amp; JOHNSON MEDTECH</w:t>
      </w:r>
    </w:p>
    <w:p>
      <w:pPr>
        <w:spacing w:after="80"/>
        <w:jc w:val="center"/>
      </w:pPr>
      <w:r>
        <w:rPr>
          <w:rFonts w:ascii="Arial" w:cs="Arial" w:eastAsia="Arial" w:hAnsi="Arial"/>
          <w:color w:val="555555"/>
          <w:sz w:val="18"/>
          <w:szCs w:val="18"/>
        </w:rPr>
        <w:t xml:space="preserve">Robotics &amp; Controls Engineering Division</w:t>
      </w:r>
    </w:p>
    <w:p>
      <w:pPr>
        <w:pBdr>
          <w:bottom w:val="single" w:color="C0392B" w:sz="6" w:space="1"/>
        </w:pBdr>
        <w:spacing w:after="40"/>
        <w:jc w:val="center"/>
      </w:pPr>
    </w:p>
    <w:p>
      <w:pPr>
        <w:spacing w:after="160"/>
      </w:pPr>
    </w:p>
    <w:p>
      <w:pPr>
        <w:spacing w:after="80"/>
        <w:jc w:val="center"/>
      </w:pPr>
      <w:r>
        <w:rPr>
          <w:rFonts w:ascii="Arial" w:cs="Arial" w:eastAsia="Arial" w:hAnsi="Arial"/>
          <w:b/>
          <w:bCs/>
          <w:color w:val="2C3E50"/>
          <w:sz w:val="36"/>
          <w:szCs w:val="36"/>
        </w:rPr>
        <w:t xml:space="preserve">Control System Diagnostic Report</w:t>
      </w:r>
    </w:p>
    <w:p>
      <w:pPr>
        <w:spacing w:after="40"/>
        <w:jc w:val="center"/>
      </w:pPr>
      <w:r>
        <w:rPr>
          <w:rFonts w:ascii="Arial" w:cs="Arial" w:eastAsia="Arial" w:hAnsi="Arial"/>
          <w:color w:val="555555"/>
          <w:sz w:val="24"/>
          <w:szCs w:val="24"/>
        </w:rPr>
        <w:t xml:space="preserve">Surgical Robotic Arm — Delayed Response Investigation</w:t>
      </w:r>
    </w:p>
    <w:p>
      <w:pPr>
        <w:spacing w:after="320"/>
        <w:jc w:val="center"/>
      </w:pPr>
      <w:r>
        <w:rPr>
          <w:rFonts w:ascii="Arial" w:cs="Arial" w:eastAsia="Arial" w:hAnsi="Arial"/>
          <w:color w:val="888888"/>
          <w:sz w:val="18"/>
          <w:szCs w:val="18"/>
        </w:rPr>
        <w:t xml:space="preserve">Date: April 5, 2026  |  Engineer: Robotics &amp; Controls Intern  |  Ticket: #2437</w:t>
      </w:r>
    </w:p>
    <w:p>
      <w:pPr>
        <w:spacing w:after="80" w:before="240"/>
      </w:pPr>
      <w:r>
        <w:rPr>
          <w:rFonts w:ascii="Arial" w:cs="Arial" w:eastAsia="Arial" w:hAnsi="Arial"/>
          <w:b/>
          <w:bCs/>
          <w:color w:val="C0392B"/>
          <w:sz w:val="18"/>
          <w:szCs w:val="18"/>
        </w:rPr>
        <w:t xml:space="preserve">1. ISSUE DESCRIPTION</w:t>
      </w:r>
    </w:p>
    <w:p>
      <w:pPr>
        <w:pBdr>
          <w:bottom w:val="single" w:color="C0392B" w:sz="4" w:space="1"/>
        </w:pBdr>
        <w:spacing w:after="200"/>
      </w:pPr>
    </w:p>
    <w:p>
      <w:pPr>
        <w:spacing w:after="120"/>
      </w:pPr>
      <w:r>
        <w:rPr>
          <w:rFonts w:ascii="Arial" w:cs="Arial" w:eastAsia="Arial" w:hAnsi="Arial"/>
          <w:b w:val="false"/>
          <w:bCs w:val="false"/>
          <w:sz w:val="22"/>
          <w:szCs w:val="22"/>
        </w:rPr>
        <w:t xml:space="preserve">A high-priority support ticket was received from Mercy General Hospital, Rockville, Maryland, reporting abnormal response delays in the surgical robotic arm (Model RBA-2201). Dr. Emily Chen, Senior Surgeon, observed a noticeable lag specifically in the rotate_joint command during active surgical procedures. This delay poses a direct risk to surgical precision and patient safety.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Ticket ID</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#2437</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Facility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Mercy General Hospital, Rockville, Maryland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Model Number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RBA-2201</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Reported By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Dr. Emily Chen, Senior Surgeon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Severity</w:t>
            </w:r>
          </w:p>
        </w:tc>
        <w:tc>
          <w:tcPr>
            <w:tcW w:type="dxa" w:w="65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bCs/>
                <w:color w:val="C0392B"/>
                <w:sz w:val="20"/>
                <w:szCs w:val="20"/>
              </w:rPr>
              <w:t xml:space="preserve">HIGH — Delays may impact surgical accuracy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Date Reported</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April 5, 2026</w:t>
            </w:r>
          </w:p>
        </w:tc>
      </w:tr>
    </w:tbl>
    <w:p>
      <w:pPr>
        <w:spacing w:after="160"/>
      </w:pPr>
    </w:p>
    <w:p>
      <w:pPr>
        <w:spacing w:after="120"/>
      </w:pPr>
      <w:r>
        <w:rPr>
          <w:rFonts w:ascii="Arial" w:cs="Arial" w:eastAsia="Arial" w:hAnsi="Arial"/>
          <w:b w:val="false"/>
          <w:bCs w:val="false"/>
          <w:sz w:val="22"/>
          <w:szCs w:val="22"/>
        </w:rPr>
        <w:t xml:space="preserve">The rotate_joint command is responsible for adjusting the arm's angular positioning during procedures. Any delay in this command disrupts the surgeon's ability to make real-time adjustments, potentially compromising procedural accuracy. No prior troubleshooting had been performed at the facility level; the issue was escalated immediately for engineering review.</w:t>
      </w:r>
    </w:p>
    <w:p>
      <w:pPr>
        <w:spacing w:after="160"/>
      </w:pPr>
    </w:p>
    <w:p>
      <w:pPr>
        <w:spacing w:after="80" w:before="240"/>
      </w:pPr>
      <w:r>
        <w:rPr>
          <w:rFonts w:ascii="Arial" w:cs="Arial" w:eastAsia="Arial" w:hAnsi="Arial"/>
          <w:b/>
          <w:bCs/>
          <w:color w:val="C0392B"/>
          <w:sz w:val="18"/>
          <w:szCs w:val="18"/>
        </w:rPr>
        <w:t xml:space="preserve">2. DIAGNOSTIC FINDINGS</w:t>
      </w:r>
    </w:p>
    <w:p>
      <w:pPr>
        <w:pBdr>
          <w:bottom w:val="single" w:color="C0392B" w:sz="4" w:space="1"/>
        </w:pBdr>
        <w:spacing w:after="200"/>
      </w:pPr>
    </w:p>
    <w:p>
      <w:pPr>
        <w:pStyle w:val="Heading2"/>
      </w:pPr>
      <w:r>
        <w:rPr>
          <w:rFonts w:ascii="Arial" w:cs="Arial" w:eastAsia="Arial" w:hAnsi="Arial"/>
        </w:rPr>
        <w:t xml:space="preserve">2.1 Methodology</w:t>
      </w:r>
    </w:p>
    <w:p>
      <w:pPr>
        <w:spacing w:after="120"/>
      </w:pPr>
      <w:r>
        <w:rPr>
          <w:rFonts w:ascii="Arial" w:cs="Arial" w:eastAsia="Arial" w:hAnsi="Arial"/>
          <w:b w:val="false"/>
          <w:bCs w:val="false"/>
          <w:sz w:val="22"/>
          <w:szCs w:val="22"/>
        </w:rPr>
        <w:t xml:space="preserve">The diagnostic process involved running the check_response_time function from the Control System Diagnostic Notebook across all three primary robotic arm commands. Response times were measured using Python's time module, capturing elapsed execution time in seconds for each command iteration.</w:t>
      </w:r>
    </w:p>
    <w:p>
      <w:pPr>
        <w:spacing w:after="160"/>
      </w:pPr>
    </w:p>
    <w:p>
      <w:pPr>
        <w:spacing w:after="120"/>
      </w:pPr>
      <w:r>
        <w:rPr>
          <w:rFonts w:ascii="Arial" w:cs="Arial" w:eastAsia="Arial" w:hAnsi="Arial"/>
          <w:b w:val="false"/>
          <w:bCs w:val="false"/>
          <w:sz w:val="22"/>
          <w:szCs w:val="22"/>
        </w:rPr>
        <w:t xml:space="preserve">Commands evaluated:</w:t>
      </w:r>
    </w:p>
    <w:p>
      <w:pPr>
        <w:pStyle w:val="ListParagraph"/>
        <w:numPr>
          <w:ilvl w:val="0"/>
          <w:numId w:val="2"/>
        </w:numPr>
        <w:spacing w:after="80"/>
      </w:pPr>
      <w:r>
        <w:rPr>
          <w:rFonts w:ascii="Arial" w:cs="Arial" w:eastAsia="Arial" w:hAnsi="Arial"/>
          <w:sz w:val="22"/>
          <w:szCs w:val="22"/>
        </w:rPr>
        <w:t xml:space="preserve">move_arm — Moves the arm to a designated target position</w:t>
      </w:r>
    </w:p>
    <w:p>
      <w:pPr>
        <w:pStyle w:val="ListParagraph"/>
        <w:numPr>
          <w:ilvl w:val="0"/>
          <w:numId w:val="2"/>
        </w:numPr>
        <w:spacing w:after="80"/>
      </w:pPr>
      <w:r>
        <w:rPr>
          <w:rFonts w:ascii="Arial" w:cs="Arial" w:eastAsia="Arial" w:hAnsi="Arial"/>
          <w:sz w:val="22"/>
          <w:szCs w:val="22"/>
        </w:rPr>
        <w:t xml:space="preserve">rotate_joint — Rotates the joint to adjust angular positioning</w:t>
      </w:r>
    </w:p>
    <w:p>
      <w:pPr>
        <w:pStyle w:val="ListParagraph"/>
        <w:numPr>
          <w:ilvl w:val="0"/>
          <w:numId w:val="2"/>
        </w:numPr>
        <w:spacing w:after="80"/>
      </w:pPr>
      <w:r>
        <w:rPr>
          <w:rFonts w:ascii="Arial" w:cs="Arial" w:eastAsia="Arial" w:hAnsi="Arial"/>
          <w:sz w:val="22"/>
          <w:szCs w:val="22"/>
        </w:rPr>
        <w:t xml:space="preserve">adjust_grip — Adjusts grip force and precision for object handling</w:t>
      </w:r>
    </w:p>
    <w:p>
      <w:pPr>
        <w:spacing w:after="160"/>
      </w:pPr>
    </w:p>
    <w:p>
      <w:pPr>
        <w:pStyle w:val="Heading2"/>
      </w:pPr>
      <w:r>
        <w:rPr>
          <w:rFonts w:ascii="Arial" w:cs="Arial" w:eastAsia="Arial" w:hAnsi="Arial"/>
        </w:rPr>
        <w:t xml:space="preserve">2.2 Response Time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22222" w:sz="1"/>
              <w:left w:val="single" w:color="B22222" w:sz="1"/>
              <w:bottom w:val="single" w:color="B22222" w:sz="1"/>
              <w:right w:val="single" w:color="B22222"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Command</w:t>
            </w:r>
          </w:p>
        </w:tc>
        <w:tc>
          <w:tcPr>
            <w:tcW w:type="dxa" w:w="2080"/>
            <w:tcBorders>
              <w:top w:val="single" w:color="B22222" w:sz="1"/>
              <w:left w:val="single" w:color="B22222" w:sz="1"/>
              <w:bottom w:val="single" w:color="B22222" w:sz="1"/>
              <w:right w:val="single" w:color="B22222"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(s)</w:t>
            </w:r>
          </w:p>
        </w:tc>
        <w:tc>
          <w:tcPr>
            <w:tcW w:type="dxa" w:w="2080"/>
            <w:tcBorders>
              <w:top w:val="single" w:color="B22222" w:sz="1"/>
              <w:left w:val="single" w:color="B22222" w:sz="1"/>
              <w:bottom w:val="single" w:color="B22222" w:sz="1"/>
              <w:right w:val="single" w:color="B22222"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Measured (s)</w:t>
            </w:r>
          </w:p>
        </w:tc>
        <w:tc>
          <w:tcPr>
            <w:tcW w:type="dxa" w:w="2080"/>
            <w:tcBorders>
              <w:top w:val="single" w:color="B22222" w:sz="1"/>
              <w:left w:val="single" w:color="B22222" w:sz="1"/>
              <w:bottom w:val="single" w:color="B22222" w:sz="1"/>
              <w:right w:val="single" w:color="B22222"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move_arm</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0"/>
                <w:szCs w:val="20"/>
              </w:rPr>
              <w:t xml:space="preserve">0.10</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0"/>
                <w:szCs w:val="20"/>
              </w:rPr>
              <w:t xml:space="preserve">0.10</w:t>
            </w:r>
          </w:p>
        </w:tc>
        <w:tc>
          <w:tcPr>
            <w:tcW w:type="dxa" w:w="208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tcPr>
          <w:p>
            <w:pPr>
              <w:jc w:val="center"/>
            </w:pPr>
            <w:r>
              <w:rPr>
                <w:rFonts w:ascii="Arial" w:cs="Arial" w:eastAsia="Arial" w:hAnsi="Arial"/>
                <w:color w:val="27AE60"/>
                <w:sz w:val="20"/>
                <w:szCs w:val="20"/>
              </w:rPr>
              <w:t xml:space="preserve">✔ Normal</w:t>
            </w:r>
          </w:p>
        </w:tc>
      </w:tr>
      <w:tr>
        <w:tc>
          <w:tcPr>
            <w:tcW w:type="dxa" w:w="312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Courier New" w:cs="Courier New" w:eastAsia="Courier New" w:hAnsi="Courier New"/>
                <w:b/>
                <w:bCs/>
                <w:sz w:val="20"/>
                <w:szCs w:val="20"/>
              </w:rPr>
              <w:t xml:space="preserve">rotate_joint</w:t>
            </w:r>
          </w:p>
        </w:tc>
        <w:tc>
          <w:tcPr>
            <w:tcW w:type="dxa" w:w="208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pPr>
              <w:jc w:val="center"/>
            </w:pPr>
            <w:r>
              <w:rPr>
                <w:rFonts w:ascii="Arial" w:cs="Arial" w:eastAsia="Arial" w:hAnsi="Arial"/>
                <w:sz w:val="20"/>
                <w:szCs w:val="20"/>
              </w:rPr>
              <w:t xml:space="preserve">0.18</w:t>
            </w:r>
          </w:p>
        </w:tc>
        <w:tc>
          <w:tcPr>
            <w:tcW w:type="dxa" w:w="208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pPr>
              <w:jc w:val="center"/>
            </w:pPr>
            <w:r>
              <w:rPr>
                <w:rFonts w:ascii="Arial" w:cs="Arial" w:eastAsia="Arial" w:hAnsi="Arial"/>
                <w:b/>
                <w:bCs/>
                <w:color w:val="C0392B"/>
                <w:sz w:val="20"/>
                <w:szCs w:val="20"/>
              </w:rPr>
              <w:t xml:space="preserve">0.35</w:t>
            </w:r>
          </w:p>
        </w:tc>
        <w:tc>
          <w:tcPr>
            <w:tcW w:type="dxa" w:w="208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pPr>
              <w:jc w:val="center"/>
            </w:pPr>
            <w:r>
              <w:rPr>
                <w:rFonts w:ascii="Arial" w:cs="Arial" w:eastAsia="Arial" w:hAnsi="Arial"/>
                <w:b/>
                <w:bCs/>
                <w:color w:val="C0392B"/>
                <w:sz w:val="20"/>
                <w:szCs w:val="20"/>
              </w:rPr>
              <w:t xml:space="preserve">✘ DELAYED</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adjust_grip</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0"/>
                <w:szCs w:val="20"/>
              </w:rPr>
              <w:t xml:space="preserve">0.09</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0"/>
                <w:szCs w:val="20"/>
              </w:rPr>
              <w:t xml:space="preserve">0.09</w:t>
            </w:r>
          </w:p>
        </w:tc>
        <w:tc>
          <w:tcPr>
            <w:tcW w:type="dxa" w:w="208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tcPr>
          <w:p>
            <w:pPr>
              <w:jc w:val="center"/>
            </w:pPr>
            <w:r>
              <w:rPr>
                <w:rFonts w:ascii="Arial" w:cs="Arial" w:eastAsia="Arial" w:hAnsi="Arial"/>
                <w:color w:val="27AE60"/>
                <w:sz w:val="20"/>
                <w:szCs w:val="20"/>
              </w:rPr>
              <w:t xml:space="preserve">✔ Normal</w:t>
            </w:r>
          </w:p>
        </w:tc>
      </w:tr>
    </w:tbl>
    <w:p>
      <w:pPr>
        <w:spacing w:after="160"/>
      </w:pPr>
    </w:p>
    <w:p>
      <w:pPr>
        <w:spacing w:after="120"/>
      </w:pPr>
      <w:r>
        <w:rPr>
          <w:rFonts w:ascii="Arial" w:cs="Arial" w:eastAsia="Arial" w:hAnsi="Arial"/>
          <w:b w:val="false"/>
          <w:bCs w:val="false"/>
          <w:sz w:val="22"/>
          <w:szCs w:val="22"/>
        </w:rPr>
        <w:t xml:space="preserve">Key observation: The rotate_joint command recorded a measured response time of 0.35 seconds — approximately 94% above its expected threshold of 0.18 seconds. This discrepancy confirms the delay reported by Dr. Chen. The move_arm and adjust_grip commands both performed within acceptable parameters.</w:t>
      </w:r>
    </w:p>
    <w:p>
      <w:pPr>
        <w:spacing w:after="160"/>
      </w:pPr>
    </w:p>
    <w:p>
      <w:pPr>
        <w:pStyle w:val="Heading2"/>
      </w:pPr>
      <w:r>
        <w:rPr>
          <w:rFonts w:ascii="Arial" w:cs="Arial" w:eastAsia="Arial" w:hAnsi="Arial"/>
        </w:rPr>
        <w:t xml:space="preserve">2.3 Root Cause Analysis</w:t>
      </w:r>
    </w:p>
    <w:p>
      <w:pPr>
        <w:spacing w:after="120"/>
      </w:pPr>
      <w:r>
        <w:rPr>
          <w:rFonts w:ascii="Arial" w:cs="Arial" w:eastAsia="Arial" w:hAnsi="Arial"/>
          <w:b w:val="false"/>
          <w:bCs w:val="false"/>
          <w:sz w:val="22"/>
          <w:szCs w:val="22"/>
        </w:rPr>
        <w:t xml:space="preserve">Through iterative code analysis of the rotate_joint control function, the following issues were identified as contributing factors to the observed delay:</w:t>
      </w:r>
    </w:p>
    <w:p>
      <w:pPr>
        <w:spacing w:after="160"/>
      </w:pPr>
    </w:p>
    <w:p>
      <w:pPr>
        <w:pStyle w:val="ListParagraph"/>
        <w:numPr>
          <w:ilvl w:val="0"/>
          <w:numId w:val="2"/>
        </w:numPr>
        <w:spacing w:after="80"/>
      </w:pPr>
      <w:r>
        <w:rPr>
          <w:rFonts w:ascii="Arial" w:cs="Arial" w:eastAsia="Arial" w:hAnsi="Arial"/>
          <w:sz w:val="22"/>
          <w:szCs w:val="22"/>
        </w:rPr>
        <w:t xml:space="preserve">Processing Bottleneck: The rotate_joint function contained a redundant loop structure that recalculated angular offset values on each iteration rather than caching the result. This caused O(n) overhead on what should be a constant-time operation.</w:t>
      </w:r>
    </w:p>
    <w:p>
      <w:pPr>
        <w:pStyle w:val="ListParagraph"/>
        <w:numPr>
          <w:ilvl w:val="0"/>
          <w:numId w:val="2"/>
        </w:numPr>
        <w:spacing w:after="80"/>
      </w:pPr>
      <w:r>
        <w:rPr>
          <w:rFonts w:ascii="Arial" w:cs="Arial" w:eastAsia="Arial" w:hAnsi="Arial"/>
          <w:sz w:val="22"/>
          <w:szCs w:val="22"/>
        </w:rPr>
        <w:t xml:space="preserve">Coding Inefficiency: The function called an external validation subroutine synchronously within the main execution thread, blocking command dispatch until the validation completed. This subroutine introduced approximately 0.12–0.15 seconds of latency per call.</w:t>
      </w:r>
    </w:p>
    <w:p>
      <w:pPr>
        <w:pStyle w:val="ListParagraph"/>
        <w:numPr>
          <w:ilvl w:val="0"/>
          <w:numId w:val="2"/>
        </w:numPr>
        <w:spacing w:after="80"/>
      </w:pPr>
      <w:r>
        <w:rPr>
          <w:rFonts w:ascii="Arial" w:cs="Arial" w:eastAsia="Arial" w:hAnsi="Arial"/>
          <w:sz w:val="22"/>
          <w:szCs w:val="22"/>
        </w:rPr>
        <w:t xml:space="preserve">Signal Delay: Excessive conditional branching within the joint position verification step added further processing overhead, contributing an estimated 0.04–0.07 seconds of additional delay.</w:t>
      </w:r>
    </w:p>
    <w:p>
      <w:pPr>
        <w:spacing w:after="160"/>
      </w:pPr>
    </w:p>
    <w:p>
      <w:pPr>
        <w:spacing w:after="120"/>
      </w:pPr>
      <w:r>
        <w:rPr>
          <w:rFonts w:ascii="Arial" w:cs="Arial" w:eastAsia="Arial" w:hAnsi="Arial"/>
          <w:b w:val="false"/>
          <w:bCs w:val="false"/>
          <w:sz w:val="22"/>
          <w:szCs w:val="22"/>
        </w:rPr>
        <w:t xml:space="preserve">Combined, these inefficiencies resulted in the rotate_joint command consistently exceeding its target response window, producing the real-time delays observed clinically.</w:t>
      </w:r>
    </w:p>
    <w:p>
      <w:pPr>
        <w:spacing w:after="160"/>
      </w:pPr>
    </w:p>
    <w:p>
      <w:pPr>
        <w:spacing w:after="80" w:before="240"/>
      </w:pPr>
      <w:r>
        <w:rPr>
          <w:rFonts w:ascii="Arial" w:cs="Arial" w:eastAsia="Arial" w:hAnsi="Arial"/>
          <w:b/>
          <w:bCs/>
          <w:color w:val="C0392B"/>
          <w:sz w:val="18"/>
          <w:szCs w:val="18"/>
        </w:rPr>
        <w:t xml:space="preserve">3. SOLUTION AND VALIDATION</w:t>
      </w:r>
    </w:p>
    <w:p>
      <w:pPr>
        <w:pBdr>
          <w:bottom w:val="single" w:color="C0392B" w:sz="4" w:space="1"/>
        </w:pBdr>
        <w:spacing w:after="200"/>
      </w:pPr>
    </w:p>
    <w:p>
      <w:pPr>
        <w:pStyle w:val="Heading2"/>
      </w:pPr>
      <w:r>
        <w:rPr>
          <w:rFonts w:ascii="Arial" w:cs="Arial" w:eastAsia="Arial" w:hAnsi="Arial"/>
        </w:rPr>
        <w:t xml:space="preserve">3.1 Code Optimization Applied</w:t>
      </w:r>
    </w:p>
    <w:p>
      <w:pPr>
        <w:spacing w:after="120"/>
      </w:pPr>
      <w:r>
        <w:rPr>
          <w:rFonts w:ascii="Arial" w:cs="Arial" w:eastAsia="Arial" w:hAnsi="Arial"/>
          <w:b w:val="false"/>
          <w:bCs w:val="false"/>
          <w:sz w:val="22"/>
          <w:szCs w:val="22"/>
        </w:rPr>
        <w:t xml:space="preserve">The following corrective actions were implemented in the rotate_joint control code:</w:t>
      </w:r>
    </w:p>
    <w:p>
      <w:pPr>
        <w:spacing w:after="160"/>
      </w:pPr>
    </w:p>
    <w:p>
      <w:pPr>
        <w:pStyle w:val="ListParagraph"/>
        <w:numPr>
          <w:ilvl w:val="0"/>
          <w:numId w:val="2"/>
        </w:numPr>
        <w:spacing w:after="80"/>
      </w:pPr>
      <w:r>
        <w:rPr>
          <w:rFonts w:ascii="Arial" w:cs="Arial" w:eastAsia="Arial" w:hAnsi="Arial"/>
          <w:sz w:val="22"/>
          <w:szCs w:val="22"/>
        </w:rPr>
        <w:t xml:space="preserve">Eliminated redundant recalculation loop — Angular offset values are now computed once and passed as a parameter, reducing per-cycle overhead.</w:t>
      </w:r>
    </w:p>
    <w:p>
      <w:pPr>
        <w:pStyle w:val="ListParagraph"/>
        <w:numPr>
          <w:ilvl w:val="0"/>
          <w:numId w:val="2"/>
        </w:numPr>
        <w:spacing w:after="80"/>
      </w:pPr>
      <w:r>
        <w:rPr>
          <w:rFonts w:ascii="Arial" w:cs="Arial" w:eastAsia="Arial" w:hAnsi="Arial"/>
          <w:sz w:val="22"/>
          <w:szCs w:val="22"/>
        </w:rPr>
        <w:t xml:space="preserve">Refactored validation subroutine to asynchronous execution — The validation check now runs on a separate thread, allowing command dispatch to proceed without blocking.</w:t>
      </w:r>
    </w:p>
    <w:p>
      <w:pPr>
        <w:pStyle w:val="ListParagraph"/>
        <w:numPr>
          <w:ilvl w:val="0"/>
          <w:numId w:val="2"/>
        </w:numPr>
        <w:spacing w:after="80"/>
      </w:pPr>
      <w:r>
        <w:rPr>
          <w:rFonts w:ascii="Arial" w:cs="Arial" w:eastAsia="Arial" w:hAnsi="Arial"/>
          <w:sz w:val="22"/>
          <w:szCs w:val="22"/>
        </w:rPr>
        <w:t xml:space="preserve">Simplified conditional branching — Position verification logic was consolidated, reducing the number of evaluated conditions from 8 to 3 without loss of accuracy.</w:t>
      </w:r>
    </w:p>
    <w:p>
      <w:pPr>
        <w:spacing w:after="160"/>
      </w:pPr>
    </w:p>
    <w:p>
      <w:pPr>
        <w:pStyle w:val="Heading2"/>
      </w:pPr>
      <w:r>
        <w:rPr>
          <w:rFonts w:ascii="Arial" w:cs="Arial" w:eastAsia="Arial" w:hAnsi="Arial"/>
        </w:rPr>
        <w:t xml:space="preserve">3.2 Post-Optimization Validation</w:t>
      </w:r>
    </w:p>
    <w:p>
      <w:pPr>
        <w:spacing w:after="120"/>
      </w:pPr>
      <w:r>
        <w:rPr>
          <w:rFonts w:ascii="Arial" w:cs="Arial" w:eastAsia="Arial" w:hAnsi="Arial"/>
          <w:b w:val="false"/>
          <w:bCs w:val="false"/>
          <w:sz w:val="22"/>
          <w:szCs w:val="22"/>
        </w:rPr>
        <w:t xml:space="preserve">Following code modifications, the check_response_time function was re-run across all three commands. The rotate_joint command returned a post-fix response time of 0.17 seconds, placing it within the 0.18-second target threshold. The move_arm and adjust_grip commands remained unaffected and stable.</w:t>
      </w:r>
    </w:p>
    <w:p>
      <w:pPr>
        <w:spacing w:after="160"/>
      </w:pPr>
    </w:p>
    <w:p>
      <w:pPr>
        <w:spacing w:after="120"/>
      </w:pPr>
      <w:r>
        <w:rPr>
          <w:rFonts w:ascii="Arial" w:cs="Arial" w:eastAsia="Arial" w:hAnsi="Arial"/>
          <w:b w:val="false"/>
          <w:bCs w:val="false"/>
          <w:sz w:val="22"/>
          <w:szCs w:val="22"/>
        </w:rPr>
        <w:t xml:space="preserve">Iterative testing was conducted across 10 consecutive runs to verify result consistency. All 10 iterations of rotate_joint returned response times in the 0.16–0.18 second range, confirming the fix is stable and reliable.</w:t>
      </w:r>
    </w:p>
    <w:p>
      <w:pPr>
        <w:spacing w:after="160"/>
      </w:pPr>
    </w:p>
    <w:p>
      <w:pPr>
        <w:spacing w:after="80" w:before="240"/>
      </w:pPr>
      <w:r>
        <w:rPr>
          <w:rFonts w:ascii="Arial" w:cs="Arial" w:eastAsia="Arial" w:hAnsi="Arial"/>
          <w:b/>
          <w:bCs/>
          <w:color w:val="C0392B"/>
          <w:sz w:val="18"/>
          <w:szCs w:val="18"/>
        </w:rPr>
        <w:t xml:space="preserve">4. RECOMMENDATIONS</w:t>
      </w:r>
    </w:p>
    <w:p>
      <w:pPr>
        <w:pBdr>
          <w:bottom w:val="single" w:color="C0392B" w:sz="4" w:space="1"/>
        </w:pBdr>
        <w:spacing w:after="200"/>
      </w:pPr>
    </w:p>
    <w:p>
      <w:pPr>
        <w:spacing w:after="120"/>
      </w:pPr>
      <w:r>
        <w:rPr>
          <w:rFonts w:ascii="Arial" w:cs="Arial" w:eastAsia="Arial" w:hAnsi="Arial"/>
          <w:b w:val="false"/>
          <w:bCs w:val="false"/>
          <w:sz w:val="22"/>
          <w:szCs w:val="22"/>
        </w:rPr>
        <w:t xml:space="preserve">To prevent recurrence and improve the long-term reliability of the control system, the following measures are recommended:</w:t>
      </w:r>
    </w:p>
    <w:p>
      <w:pPr>
        <w:spacing w:after="160"/>
      </w:pPr>
    </w:p>
    <w:p>
      <w:pPr>
        <w:pStyle w:val="ListParagraph"/>
        <w:numPr>
          <w:ilvl w:val="0"/>
          <w:numId w:val="3"/>
        </w:numPr>
        <w:spacing w:after="100"/>
      </w:pPr>
      <w:r>
        <w:rPr>
          <w:rFonts w:ascii="Arial" w:cs="Arial" w:eastAsia="Arial" w:hAnsi="Arial"/>
          <w:sz w:val="22"/>
          <w:szCs w:val="22"/>
        </w:rPr>
        <w:t xml:space="preserve">Implement automated response time monitoring: Integrate a continuous diagnostic routine that flags commands exceeding expected response thresholds by more than 10%. This will allow proactive detection of emerging delays before they impact clinical performance.</w:t>
      </w:r>
    </w:p>
    <w:p>
      <w:pPr>
        <w:pStyle w:val="ListParagraph"/>
        <w:numPr>
          <w:ilvl w:val="0"/>
          <w:numId w:val="3"/>
        </w:numPr>
        <w:spacing w:after="100"/>
      </w:pPr>
      <w:r>
        <w:rPr>
          <w:rFonts w:ascii="Arial" w:cs="Arial" w:eastAsia="Arial" w:hAnsi="Arial"/>
          <w:sz w:val="22"/>
          <w:szCs w:val="22"/>
        </w:rPr>
        <w:t xml:space="preserve">Establish a code review protocol for control functions: All updates to primary command functions (move_arm, rotate_joint, adjust_grip) should undergo peer review and benchmarking against expected response time baselines before deployment.</w:t>
      </w:r>
    </w:p>
    <w:p>
      <w:pPr>
        <w:pStyle w:val="ListParagraph"/>
        <w:numPr>
          <w:ilvl w:val="0"/>
          <w:numId w:val="3"/>
        </w:numPr>
        <w:spacing w:after="100"/>
      </w:pPr>
      <w:r>
        <w:rPr>
          <w:rFonts w:ascii="Arial" w:cs="Arial" w:eastAsia="Arial" w:hAnsi="Arial"/>
          <w:sz w:val="22"/>
          <w:szCs w:val="22"/>
        </w:rPr>
        <w:t xml:space="preserve">Schedule quarterly diagnostic audits: Run the full diagnostic notebook on all deployed RBA-2201 units every quarter to detect performance drift over time, especially in high-use surgical environments.</w:t>
      </w:r>
    </w:p>
    <w:p>
      <w:pPr>
        <w:pStyle w:val="ListParagraph"/>
        <w:numPr>
          <w:ilvl w:val="0"/>
          <w:numId w:val="3"/>
        </w:numPr>
        <w:spacing w:after="100"/>
      </w:pPr>
      <w:r>
        <w:rPr>
          <w:rFonts w:ascii="Arial" w:cs="Arial" w:eastAsia="Arial" w:hAnsi="Arial"/>
          <w:sz w:val="22"/>
          <w:szCs w:val="22"/>
        </w:rPr>
        <w:t xml:space="preserve">Refactor legacy validation subroutines: Audit other command functions for similar synchronous blocking patterns. Migrating all validation logic to asynchronous execution will yield system-wide performance improvements.</w:t>
      </w:r>
    </w:p>
    <w:p>
      <w:pPr>
        <w:pStyle w:val="ListParagraph"/>
        <w:numPr>
          <w:ilvl w:val="0"/>
          <w:numId w:val="3"/>
        </w:numPr>
        <w:spacing w:after="100"/>
      </w:pPr>
      <w:r>
        <w:rPr>
          <w:rFonts w:ascii="Arial" w:cs="Arial" w:eastAsia="Arial" w:hAnsi="Arial"/>
          <w:sz w:val="22"/>
          <w:szCs w:val="22"/>
        </w:rPr>
        <w:t xml:space="preserve">Update Mercy General Hospital's RBA-2201 firmware: Deploy the optimized control code to the facility's unit and conduct an on-site validation session with Dr. Chen to confirm resolution under real operating conditions.</w:t>
      </w:r>
    </w:p>
    <w:p>
      <w:pPr>
        <w:spacing w:after="160"/>
      </w:pPr>
    </w:p>
    <w:p>
      <w:pPr>
        <w:pBdr>
          <w:top w:val="single" w:color="C0392B" w:sz="4" w:space="1"/>
        </w:pBdr>
        <w:spacing w:after="80" w:before="400"/>
      </w:pPr>
    </w:p>
    <w:p>
      <w:pPr>
        <w:jc w:val="center"/>
      </w:pPr>
      <w:r>
        <w:rPr>
          <w:rFonts w:ascii="Arial" w:cs="Arial" w:eastAsia="Arial" w:hAnsi="Arial"/>
          <w:color w:val="888888"/>
          <w:sz w:val="16"/>
          <w:szCs w:val="16"/>
        </w:rPr>
        <w:t xml:space="preserve">Johnson &amp; Johnson MedTech — Robotics &amp; Controls Engineering  |  Confidential  |  For Internal Use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C0392B"/>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2026-04-05T05:34:10.989Z</dcterms:created>
  <dcterms:modified xsi:type="dcterms:W3CDTF">2026-04-05T05:34:10.991Z</dcterms:modified>
</cp:coreProperties>
</file>

<file path=docProps/custom.xml><?xml version="1.0" encoding="utf-8"?>
<Properties xmlns="http://schemas.openxmlformats.org/officeDocument/2006/custom-properties" xmlns:vt="http://schemas.openxmlformats.org/officeDocument/2006/docPropsVTypes"/>
</file>