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6rluaa42zdvo" w:id="0"/>
      <w:bookmarkEnd w:id="0"/>
      <w:r w:rsidDel="00000000" w:rsidR="00000000" w:rsidRPr="00000000">
        <w:rPr>
          <w:b w:val="1"/>
          <w:color w:val="ff0000"/>
          <w:rtl w:val="0"/>
        </w:rPr>
        <w:t xml:space="preserve">Groupe planification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Objectifs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Fournir planning des livraisons (liste ordonné des points/heure de passage)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Fournir planning des livreurs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Fournir planning des collectes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aw52duby4k64" w:id="1"/>
      <w:bookmarkEnd w:id="1"/>
      <w:r w:rsidDel="00000000" w:rsidR="00000000" w:rsidRPr="00000000">
        <w:rPr>
          <w:rtl w:val="0"/>
        </w:rPr>
        <w:t xml:space="preserve">PLANNING LIVRAISON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Interfaces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</w:t>
      </w:r>
    </w:p>
    <w:p w:rsidR="00000000" w:rsidDel="00000000" w:rsidP="00000000" w:rsidRDefault="00000000" w:rsidRPr="00000000" w14:paraId="00000009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Base Commandes clients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 des livreurs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 des clients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Base des livraisons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Concepts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AJAX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JQuery UI (sortable,datepicker 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Map.js (bonus)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Actions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Sélectionnez les commandes et reliquats  à livrer par date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Sélectionner le(s) livreur(s) ayant le tonnage nécessaire et disponible(s) 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Organiser les livraisons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Positionner les adresses dans une liste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Afficher les points sur une map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Trier manuellement la liste des  les adresses pour avoir un parcours sur la map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Actualiser la map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q5ocsmtp781y" w:id="2"/>
      <w:bookmarkEnd w:id="2"/>
      <w:r w:rsidDel="00000000" w:rsidR="00000000" w:rsidRPr="00000000">
        <w:rPr>
          <w:rtl w:val="0"/>
        </w:rPr>
        <w:t xml:space="preserve">PLANNING </w:t>
      </w:r>
      <w:r w:rsidDel="00000000" w:rsidR="00000000" w:rsidRPr="00000000">
        <w:rPr>
          <w:rtl w:val="0"/>
        </w:rPr>
        <w:t xml:space="preserve">COLLECTE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Interfaces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Base des commandes fournisseurs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 des fournisseurs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 des livreurs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Out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Base des collectes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Concepts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AJAX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JQuery UI (draggable sortable,datepicker )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Map.js (bonus)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Actions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Sélectionnez les commandes fournisseurs à collecter par date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Sélectionner manuellement le(s) livreur(s) ayant le tonnage nécessaire et disponible(s) 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Organiser les collectes (cf livraisons)</w:t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yi5c6cel5jlq" w:id="3"/>
      <w:bookmarkEnd w:id="3"/>
      <w:r w:rsidDel="00000000" w:rsidR="00000000" w:rsidRPr="00000000">
        <w:rPr>
          <w:rtl w:val="0"/>
        </w:rPr>
        <w:t xml:space="preserve">PLANNING LIVREUR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Interfaces 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 des livreurs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 des livraisons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 des collectes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 des congés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Planning livreur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Concepts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AJAX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JQuery UI (sortable,datepicker )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CalenStyle.js (malus)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Identifier le livreur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Afficher son planning 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Par mode d’affichage </w:t>
      </w:r>
    </w:p>
    <w:p w:rsidR="00000000" w:rsidDel="00000000" w:rsidP="00000000" w:rsidRDefault="00000000" w:rsidRPr="00000000" w14:paraId="0000003B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Calendrier (défaut)</w:t>
      </w:r>
    </w:p>
    <w:p w:rsidR="00000000" w:rsidDel="00000000" w:rsidP="00000000" w:rsidRDefault="00000000" w:rsidRPr="00000000" w14:paraId="0000003C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Liste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Période</w:t>
      </w:r>
    </w:p>
    <w:p w:rsidR="00000000" w:rsidDel="00000000" w:rsidP="00000000" w:rsidRDefault="00000000" w:rsidRPr="00000000" w14:paraId="0000003E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Journée</w:t>
      </w:r>
    </w:p>
    <w:p w:rsidR="00000000" w:rsidDel="00000000" w:rsidP="00000000" w:rsidRDefault="00000000" w:rsidRPr="00000000" w14:paraId="0000003F">
      <w:pPr>
        <w:numPr>
          <w:ilvl w:val="4"/>
          <w:numId w:val="2"/>
        </w:numPr>
        <w:spacing w:after="0" w:afterAutospacing="0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Semaine (défaut)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29xjegylj6yz" w:id="4"/>
      <w:bookmarkEnd w:id="4"/>
      <w:r w:rsidDel="00000000" w:rsidR="00000000" w:rsidRPr="00000000">
        <w:rPr>
          <w:rtl w:val="0"/>
        </w:rPr>
        <w:t xml:space="preserve">GESTION DU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4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Mouvement produit (reel, prévisionnel )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</w:t>
      </w:r>
    </w:p>
    <w:p w:rsidR="00000000" w:rsidDel="00000000" w:rsidP="00000000" w:rsidRDefault="00000000" w:rsidRPr="00000000" w14:paraId="00000045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Stock produits (reel, prévisionnel)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Concepts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AJAX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  <w:rPr>
          <w:color w:val="ff00ff"/>
          <w:u w:val="none"/>
        </w:rPr>
      </w:pPr>
      <w:r w:rsidDel="00000000" w:rsidR="00000000" w:rsidRPr="00000000">
        <w:rPr>
          <w:color w:val="ff00ff"/>
          <w:rtl w:val="0"/>
        </w:rPr>
        <w:t xml:space="preserve">progressbar (bonus)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Mettre à jour la base en fonction des mouvements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Générer les fichiers des stocks actualisés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Afficher le niveau des stocks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