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9FD4"/>
          <w:spacing w:val="60"/>
          <w:sz w:val="18"/>
          <w:szCs w:val="18"/>
        </w:rPr>
        <w:t xml:space="preserve">BUSINESS RULES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1628"/>
          <w:sz w:val="56"/>
          <w:szCs w:val="56"/>
        </w:rPr>
        <w:t xml:space="preserve">Business Rules Catalog</w:t>
      </w:r>
    </w:p>
    <w:p>
      <w:pPr>
        <w:pBdr>
          <w:bottom w:val="single" w:color="1A9FD4" w:sz="18" w:space="10"/>
        </w:pBdr>
        <w:spacing w:after="320"/>
      </w:pPr>
      <w:r>
        <w:rPr>
          <w:rFonts w:ascii="Calibri" w:cs="Calibri" w:eastAsia="Calibri" w:hAnsi="Calibri"/>
          <w:color w:val="6E7D76"/>
          <w:sz w:val="24"/>
          <w:szCs w:val="24"/>
        </w:rPr>
        <w:t xml:space="preserve">The single source of policy for the Seamless FM platform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4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Living document — one for the whole platform</w:t>
            </w:r>
          </w:p>
        </w:tc>
      </w:tr>
      <w:tr>
        <w:tc>
          <w:tcPr>
            <w:tcW w:type="dxa" w:w="2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Version</w:t>
            </w:r>
          </w:p>
        </w:tc>
        <w:tc>
          <w:tcPr>
            <w:tcW w:type="dxa" w:w="64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Status</w:t>
            </w:r>
          </w:p>
        </w:tc>
        <w:tc>
          <w:tcPr>
            <w:tcW w:type="dxa" w:w="64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Custodian</w:t>
            </w:r>
          </w:p>
        </w:tc>
        <w:tc>
          <w:tcPr>
            <w:tcW w:type="dxa" w:w="64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Who maintains the catalog itself, not individual rules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4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Annual, or on any contract change</w:t>
            </w:r>
          </w:p>
        </w:tc>
      </w:tr>
      <w:tr>
        <w:tc>
          <w:tcPr>
            <w:tcW w:type="dxa" w:w="2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64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single" w:color="1A9FD4" w:sz="18" w:space="8"/>
        </w:pBdr>
        <w:shd w:fill="F2F8FC" w:val="clear"/>
        <w:spacing w:after="200" w:before="120" w:line="276"/>
        <w:ind w:left="140" w:right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Never copy this document.  </w:t>
      </w:r>
      <w:r>
        <w:rPr>
          <w:rFonts w:ascii="Calibri" w:cs="Calibri" w:eastAsia="Calibri" w:hAnsi="Calibri"/>
          <w:color w:val="14201B"/>
          <w:sz w:val="19"/>
          <w:szCs w:val="19"/>
        </w:rPr>
        <w:t xml:space="preserve">PRDs reference rule IDs; they do not restate rule text. If PO approval and vendor onboarding both spell out the $5,000 threshold, then when finance moves it to $7,500 one of them will be missed.</w:t>
      </w:r>
    </w:p>
    <w:p>
      <w:r>
        <w:br w:type="page"/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1.  WHAT A BUSINESS RULE IS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A business rule is a statement of policy that is true regardless of any feature, screen or system. It would still be true if you ran the business on paper.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This IS a business rule</w:t>
            </w:r>
          </w:p>
        </w:tc>
        <w:tc>
          <w:tcPr>
            <w:tcW w:type="dxa" w:w="451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This is NOT</w:t>
            </w:r>
          </w:p>
        </w:tc>
      </w:tr>
      <w:tr>
        <w:tc>
          <w:tcPr>
            <w:tcW w:type="dxa" w:w="451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work order cannot be closed while a mandatory checklist item is incomplete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Close button is greyed out until the checklist is done</w:t>
            </w:r>
          </w:p>
        </w:tc>
      </w:tr>
      <w:tr>
        <w:tc>
          <w:tcPr>
            <w:tcW w:type="dxa" w:w="451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Purchase orders above $5,000 require regional manager approval</w:t>
            </w:r>
          </w:p>
        </w:tc>
        <w:tc>
          <w:tcPr>
            <w:tcW w:type="dxa" w:w="451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Show an approval modal after clicking Submit</w:t>
            </w:r>
          </w:p>
        </w:tc>
      </w:tr>
      <w:tr>
        <w:tc>
          <w:tcPr>
            <w:tcW w:type="dxa" w:w="451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Margin is (billable value − total cost) ÷ billable value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Store margin as a decimal in the work_order table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E7D76"/>
          <w:sz w:val="19"/>
          <w:szCs w:val="19"/>
        </w:rPr>
        <w:t xml:space="preserve">The left column is policy. The right column is implementation, and it belongs in a PRD or a ticket.</w:t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2.  HOW TO WRITE ONE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Atomic — one rule, one statement. If it contains "and also", split it.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Declarative — state what must be true, not what the system does. Use must, must not, is calculated as, is defined 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Testable — someone can write a pass/fail test from it without asking a follow-up question.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Free of implementation — no table names, screens, buttons or API references.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Owned — a named business owner who can change it. Not a developer, not "the product team".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Quality check before adding a rule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Atomic — one statement, no compound conditions joined by "and also"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Declarative — describes policy, not system behaviour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Testable — an unambiguous pass or fail can be written from it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Unambiguous — every term is common English or defined in section 4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Owned — a named business owner, not a team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Non-duplicative — searched the catalog first; does not overlap an existing rule</w:t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3.  RULE TYPES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Classify every rule. The type determines where it is enforced and how it is tested.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500"/>
        <w:gridCol w:w="700"/>
        <w:gridCol w:w="2900"/>
        <w:gridCol w:w="3920"/>
      </w:tblGrid>
      <w:tr>
        <w:trPr>
          <w:tblHeader/>
        </w:trPr>
        <w:tc>
          <w:tcPr>
            <w:tcW w:type="dxa" w:w="15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9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9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Definition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Establishes what a term means</w:t>
            </w:r>
          </w:p>
        </w:tc>
        <w:tc>
          <w:tcPr>
            <w:tcW w:type="dxa" w:w="3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A job is "overdue" when current time exceeds its SLA target and it is not closed</w:t>
            </w:r>
          </w:p>
        </w:tc>
      </w:tr>
      <w:tr>
        <w:tc>
          <w:tcPr>
            <w:tcW w:type="dxa" w:w="15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29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States what must or must not be permitted</w:t>
            </w:r>
          </w:p>
        </w:tc>
        <w:tc>
          <w:tcPr>
            <w:tcW w:type="dxa" w:w="39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Labour must not be recorded against a closed work order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Derivation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DRV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Defines a calculation</w:t>
            </w:r>
          </w:p>
        </w:tc>
        <w:tc>
          <w:tcPr>
            <w:tcW w:type="dxa" w:w="3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Gross margin = (billable value − total cost) ÷ billable value</w:t>
            </w:r>
          </w:p>
        </w:tc>
      </w:tr>
      <w:tr>
        <w:tc>
          <w:tcPr>
            <w:tcW w:type="dxa" w:w="15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Action enabler</w:t>
            </w:r>
          </w:p>
        </w:tc>
        <w:tc>
          <w:tcPr>
            <w:tcW w:type="dxa" w:w="7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</w:t>
            </w:r>
          </w:p>
        </w:tc>
        <w:tc>
          <w:tcPr>
            <w:tcW w:type="dxa" w:w="29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Triggers something when a condition is met</w:t>
            </w:r>
          </w:p>
        </w:tc>
        <w:tc>
          <w:tcPr>
            <w:tcW w:type="dxa" w:w="39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When a vendor’s insurance expires, that vendor is suspended from new assignments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Routing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RTE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Determines who receives or decides something</w:t>
            </w:r>
          </w:p>
        </w:tc>
        <w:tc>
          <w:tcPr>
            <w:tcW w:type="dxa" w:w="3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Purchase orders above $5,000 route to the regional manager</w:t>
            </w:r>
          </w:p>
        </w:tc>
      </w:tr>
      <w:tr>
        <w:tc>
          <w:tcPr>
            <w:tcW w:type="dxa" w:w="15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Timing / SLA</w:t>
            </w:r>
          </w:p>
        </w:tc>
        <w:tc>
          <w:tcPr>
            <w:tcW w:type="dxa" w:w="7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SLA</w:t>
            </w:r>
          </w:p>
        </w:tc>
        <w:tc>
          <w:tcPr>
            <w:tcW w:type="dxa" w:w="29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Defines a time obligation</w:t>
            </w:r>
          </w:p>
        </w:tc>
        <w:tc>
          <w:tcPr>
            <w:tcW w:type="dxa" w:w="39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A P1 job must have a technician on site within 4 hours of acceptance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Access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ACC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Determines who may see or do what</w:t>
            </w:r>
          </w:p>
        </w:tc>
        <w:tc>
          <w:tcPr>
            <w:tcW w:type="dxa" w:w="3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A vendor user may only view work orders assigned to their own company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4.  GLOSSARY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Rules are only as unambiguous as the terms inside them. Define every term used in a rule.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700"/>
        <w:gridCol w:w="5620"/>
        <w:gridCol w:w="1700"/>
      </w:tblGrid>
      <w:tr>
        <w:trPr>
          <w:tblHeader/>
        </w:trPr>
        <w:tc>
          <w:tcPr>
            <w:tcW w:type="dxa" w:w="17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5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7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Work order</w:t>
            </w:r>
          </w:p>
        </w:tc>
        <w:tc>
          <w:tcPr>
            <w:tcW w:type="dxa" w:w="5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authorised unit of billable work against an asset or location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17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Request</w:t>
            </w:r>
          </w:p>
        </w:tc>
        <w:tc>
          <w:tcPr>
            <w:tcW w:type="dxa" w:w="5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unauthorised report of a need, which may become a work order or be rejected</w:t>
            </w:r>
          </w:p>
        </w:tc>
        <w:tc>
          <w:tcPr>
            <w:tcW w:type="dxa" w:w="17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Billable value</w:t>
            </w:r>
          </w:p>
        </w:tc>
        <w:tc>
          <w:tcPr>
            <w:tcW w:type="dxa" w:w="5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amount chargeable to the client, excluding tax, after contract discounts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17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Total cost</w:t>
            </w:r>
          </w:p>
        </w:tc>
        <w:tc>
          <w:tcPr>
            <w:tcW w:type="dxa" w:w="5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Labour + parts + subcontractor + travel, at rates effective on the job completion date</w:t>
            </w:r>
          </w:p>
        </w:tc>
        <w:tc>
          <w:tcPr>
            <w:tcW w:type="dxa" w:w="17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Working hours</w:t>
            </w:r>
          </w:p>
        </w:tc>
        <w:tc>
          <w:tcPr>
            <w:tcW w:type="dxa" w:w="5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08:00–17:00 local site time, Mon–Fri, excluding site-region public holidays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17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Assigned vendor</w:t>
            </w:r>
          </w:p>
        </w:tc>
        <w:tc>
          <w:tcPr>
            <w:tcW w:type="dxa" w:w="5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vendor company named on the work order, not the individual technician</w:t>
            </w:r>
          </w:p>
        </w:tc>
        <w:tc>
          <w:tcPr>
            <w:tcW w:type="dxa" w:w="17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Closed</w:t>
            </w:r>
          </w:p>
        </w:tc>
        <w:tc>
          <w:tcPr>
            <w:tcW w:type="dxa" w:w="5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terminal state in which no further labour, parts or cost may be added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</w:tbl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5.  RULE ANATOMY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Every entry carries these fields. The last three are the ones teams skip and later regret.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2300"/>
        <w:gridCol w:w="6720"/>
      </w:tblGrid>
      <w:tr>
        <w:trPr>
          <w:tblHeader/>
        </w:trPr>
        <w:tc>
          <w:tcPr>
            <w:tcW w:type="dxa" w:w="23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ID</w:t>
            </w:r>
          </w:p>
        </w:tc>
        <w:tc>
          <w:tcPr>
            <w:tcW w:type="dxa" w:w="67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BR-&lt;MODULE&gt;-&lt;NNN&gt; — never reused, never renumbered</w:t>
            </w:r>
          </w:p>
        </w:tc>
      </w:tr>
      <w:tr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Statement</w:t>
            </w:r>
          </w:p>
        </w:tc>
        <w:tc>
          <w:tcPr>
            <w:tcW w:type="dxa" w:w="67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rule itself, in one sentence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Type</w:t>
            </w:r>
          </w:p>
        </w:tc>
        <w:tc>
          <w:tcPr>
            <w:tcW w:type="dxa" w:w="67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From section 3</w:t>
            </w:r>
          </w:p>
        </w:tc>
      </w:tr>
      <w:tr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Owner</w:t>
            </w:r>
          </w:p>
        </w:tc>
        <w:tc>
          <w:tcPr>
            <w:tcW w:type="dxa" w:w="67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Named business role who may change it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Rationale</w:t>
            </w:r>
          </w:p>
        </w:tc>
        <w:tc>
          <w:tcPr>
            <w:tcW w:type="dxa" w:w="67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Why this rule exists — usually the most valuable field in the catalog</w:t>
            </w:r>
          </w:p>
        </w:tc>
      </w:tr>
      <w:tr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Exceptions</w:t>
            </w:r>
          </w:p>
        </w:tc>
        <w:tc>
          <w:tcPr>
            <w:tcW w:type="dxa" w:w="67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Who may override, under what conditions, and what is recorded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On violation</w:t>
            </w:r>
          </w:p>
        </w:tc>
        <w:tc>
          <w:tcPr>
            <w:tcW w:type="dxa" w:w="67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Block, warn, or flag for review — and what the user sees</w:t>
            </w:r>
          </w:p>
        </w:tc>
      </w:tr>
      <w:tr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Effective from / to</w:t>
            </w:r>
          </w:p>
        </w:tc>
        <w:tc>
          <w:tcPr>
            <w:tcW w:type="dxa" w:w="67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Dates the version is in force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Supersedes</w:t>
            </w:r>
          </w:p>
        </w:tc>
        <w:tc>
          <w:tcPr>
            <w:tcW w:type="dxa" w:w="67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Rule ID and version this replaces</w:t>
            </w:r>
          </w:p>
        </w:tc>
      </w:tr>
      <w:tr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67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 in code / per tenant / per contract</w:t>
            </w:r>
          </w:p>
        </w:tc>
      </w:tr>
    </w:tbl>
    <w:p>
      <w:pPr>
        <w:pBdr>
          <w:left w:val="single" w:color="1A9FD4" w:sz="18" w:space="8"/>
        </w:pBdr>
        <w:shd w:fill="F2F8FC" w:val="clear"/>
        <w:spacing w:after="200" w:before="120" w:line="276"/>
        <w:ind w:left="140" w:right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Why "effective from" is not optional.  </w:t>
      </w:r>
      <w:r>
        <w:rPr>
          <w:rFonts w:ascii="Calibri" w:cs="Calibri" w:eastAsia="Calibri" w:hAnsi="Calibri"/>
          <w:color w:val="14201B"/>
          <w:sz w:val="19"/>
          <w:szCs w:val="19"/>
        </w:rPr>
        <w:t xml:space="preserve">A margin calculated in January under a 15% overhead rate must still show 15% when opened in December, after the rate changed to 18%. Rules that touch money are versioned by date, and historical records are always evaluated against the version in force when the event occurred.</w:t>
      </w:r>
    </w:p>
    <w:p>
      <w:r>
        <w:br w:type="page"/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6.  THE CATALOG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6.1  Identity and access — IAM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50"/>
        <w:gridCol w:w="2820"/>
        <w:gridCol w:w="600"/>
        <w:gridCol w:w="1330"/>
        <w:gridCol w:w="2170"/>
        <w:gridCol w:w="850"/>
      </w:tblGrid>
      <w:tr>
        <w:trPr>
          <w:tblHeader/>
        </w:trPr>
        <w:tc>
          <w:tcPr>
            <w:tcW w:type="dxa" w:w="12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3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7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 / on violation</w:t>
            </w:r>
          </w:p>
        </w:tc>
        <w:tc>
          <w:tcPr>
            <w:tcW w:type="dxa" w:w="8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BR-IAM-001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Every record belonging to a client organisation must carry a tenant identifier, and no user may access a record outside their own tenant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Security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 exception may be granted. Block and log as a security event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BR-IAM-002</w:t>
            </w:r>
          </w:p>
        </w:tc>
        <w:tc>
          <w:tcPr>
            <w:tcW w:type="dxa" w:w="2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user account deactivated for 90 consecutive days is archived and must be reinstated by an administrator before use</w:t>
            </w:r>
          </w:p>
        </w:tc>
        <w:tc>
          <w:tcPr>
            <w:tcW w:type="dxa" w:w="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</w:t>
            </w:r>
          </w:p>
        </w:tc>
        <w:tc>
          <w:tcPr>
            <w:tcW w:type="dxa" w:w="13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IT</w:t>
            </w:r>
          </w:p>
        </w:tc>
        <w:tc>
          <w:tcPr>
            <w:tcW w:type="dxa" w:w="21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None. Auto-archive</w:t>
            </w:r>
          </w:p>
        </w:tc>
        <w:tc>
          <w:tcPr>
            <w:tcW w:type="dxa" w:w="8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tenant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BR-IAM-003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user must not hold both "raise purchase order" and "approve purchase order" for the same value band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Sites with fewer than 3 staff, with CFO written approval, recorded in audit. Block at role assignment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tenant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6.2  Work management — WRK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50"/>
        <w:gridCol w:w="2820"/>
        <w:gridCol w:w="600"/>
        <w:gridCol w:w="1330"/>
        <w:gridCol w:w="2170"/>
        <w:gridCol w:w="850"/>
      </w:tblGrid>
      <w:tr>
        <w:trPr>
          <w:tblHeader/>
        </w:trPr>
        <w:tc>
          <w:tcPr>
            <w:tcW w:type="dxa" w:w="12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3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7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 / on violation</w:t>
            </w:r>
          </w:p>
        </w:tc>
        <w:tc>
          <w:tcPr>
            <w:tcW w:type="dxa" w:w="8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BR-WRK-001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work order must reference either an asset or a location before it can leave Draft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None. Block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BR-WRK-002</w:t>
            </w:r>
          </w:p>
        </w:tc>
        <w:tc>
          <w:tcPr>
            <w:tcW w:type="dxa" w:w="2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work order is "overdue" when current time exceeds its SLA target and it is not in a closed state</w:t>
            </w:r>
          </w:p>
        </w:tc>
        <w:tc>
          <w:tcPr>
            <w:tcW w:type="dxa" w:w="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</w:t>
            </w:r>
          </w:p>
        </w:tc>
        <w:tc>
          <w:tcPr>
            <w:tcW w:type="dxa" w:w="13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1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BR-WRK-011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Labour must not be recorded against a work order in a closed state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Ops manager may reopen within 7 days with a recorded reason. Block, offer reopen request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BR-WRK-014</w:t>
            </w:r>
          </w:p>
        </w:tc>
        <w:tc>
          <w:tcPr>
            <w:tcW w:type="dxa" w:w="2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Labour recorded against a cancelled work order is retained and flagged for review; the work order cannot reach a terminal state until resolved</w:t>
            </w:r>
          </w:p>
        </w:tc>
        <w:tc>
          <w:tcPr>
            <w:tcW w:type="dxa" w:w="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</w:t>
            </w:r>
          </w:p>
        </w:tc>
        <w:tc>
          <w:tcPr>
            <w:tcW w:type="dxa" w:w="13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1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None. Flag</w:t>
            </w:r>
          </w:p>
        </w:tc>
        <w:tc>
          <w:tcPr>
            <w:tcW w:type="dxa" w:w="8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6.3  Vendor management — VND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50"/>
        <w:gridCol w:w="2820"/>
        <w:gridCol w:w="600"/>
        <w:gridCol w:w="1330"/>
        <w:gridCol w:w="2170"/>
        <w:gridCol w:w="850"/>
      </w:tblGrid>
      <w:tr>
        <w:trPr>
          <w:tblHeader/>
        </w:trPr>
        <w:tc>
          <w:tcPr>
            <w:tcW w:type="dxa" w:w="12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3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7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 / on violation</w:t>
            </w:r>
          </w:p>
        </w:tc>
        <w:tc>
          <w:tcPr>
            <w:tcW w:type="dxa" w:w="8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BR-VND-001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vendor must hold current public liability insurance of at least $2,000,000 to be assigned work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Client-nominated vendors where the client accepts liability in writing. Block assignment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tenant</w:t>
            </w:r>
          </w:p>
        </w:tc>
      </w:tr>
      <w:tr>
        <w:tc>
          <w:tcPr>
            <w:tcW w:type="dxa" w:w="12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BR-VND-002</w:t>
            </w:r>
          </w:p>
        </w:tc>
        <w:tc>
          <w:tcPr>
            <w:tcW w:type="dxa" w:w="2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When a vendor’s insurance or licence reaches expiry, the vendor is automatically suspended from new assignments; work in progress continues</w:t>
            </w:r>
          </w:p>
        </w:tc>
        <w:tc>
          <w:tcPr>
            <w:tcW w:type="dxa" w:w="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</w:t>
            </w:r>
          </w:p>
        </w:tc>
        <w:tc>
          <w:tcPr>
            <w:tcW w:type="dxa" w:w="13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21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Auto-suspend. Notify vendor at 30, 14 and 7 days before</w:t>
            </w:r>
          </w:p>
        </w:tc>
        <w:tc>
          <w:tcPr>
            <w:tcW w:type="dxa" w:w="8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tenant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BR-VND-003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vendor scoring below 60 on the rolling 90-day scorecard is placed under review and excluded from automatic dispatch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Manual assignment permitted with regional manager approval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tenant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6.4  Financials and margin — FIN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50"/>
        <w:gridCol w:w="2820"/>
        <w:gridCol w:w="600"/>
        <w:gridCol w:w="1330"/>
        <w:gridCol w:w="2170"/>
        <w:gridCol w:w="850"/>
      </w:tblGrid>
      <w:tr>
        <w:trPr>
          <w:tblHeader/>
        </w:trPr>
        <w:tc>
          <w:tcPr>
            <w:tcW w:type="dxa" w:w="12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3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7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 / on violation</w:t>
            </w:r>
          </w:p>
        </w:tc>
        <w:tc>
          <w:tcPr>
            <w:tcW w:type="dxa" w:w="8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BR-FIN-001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Any financial figure is calculated using the rule version effective on the transaction date, never the current version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Recalculation requires written finance approval and an audit entry. Block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BR-FIN-002</w:t>
            </w:r>
          </w:p>
        </w:tc>
        <w:tc>
          <w:tcPr>
            <w:tcW w:type="dxa" w:w="2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Gross margin = (billable value − total cost) ÷ billable value, to two decimal places</w:t>
            </w:r>
          </w:p>
        </w:tc>
        <w:tc>
          <w:tcPr>
            <w:tcW w:type="dxa" w:w="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DRV</w:t>
            </w:r>
          </w:p>
        </w:tc>
        <w:tc>
          <w:tcPr>
            <w:tcW w:type="dxa" w:w="13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1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BR-FIN-003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work order with gross margin below 12% must be flagged for commercial review before invoicing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Flag, do not block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contract</w:t>
            </w:r>
          </w:p>
        </w:tc>
      </w:tr>
      <w:tr>
        <w:tc>
          <w:tcPr>
            <w:tcW w:type="dxa" w:w="12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BR-FIN-004</w:t>
            </w:r>
          </w:p>
        </w:tc>
        <w:tc>
          <w:tcPr>
            <w:tcW w:type="dxa" w:w="2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Labour is charged at the rate effective on the date the labour was performed, not the date it was recorded</w:t>
            </w:r>
          </w:p>
        </w:tc>
        <w:tc>
          <w:tcPr>
            <w:tcW w:type="dxa" w:w="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1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 backdated rate changes</w:t>
            </w:r>
          </w:p>
        </w:tc>
        <w:tc>
          <w:tcPr>
            <w:tcW w:type="dxa" w:w="8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BR-FIN-005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Travel time is billable only where the client contract explicitly permits it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Exclude from billable value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contract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6.5  Workflow and approvals — APR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50"/>
        <w:gridCol w:w="2820"/>
        <w:gridCol w:w="600"/>
        <w:gridCol w:w="1330"/>
        <w:gridCol w:w="2170"/>
        <w:gridCol w:w="850"/>
      </w:tblGrid>
      <w:tr>
        <w:trPr>
          <w:tblHeader/>
        </w:trPr>
        <w:tc>
          <w:tcPr>
            <w:tcW w:type="dxa" w:w="12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3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7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 / on violation</w:t>
            </w:r>
          </w:p>
        </w:tc>
        <w:tc>
          <w:tcPr>
            <w:tcW w:type="dxa" w:w="8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BR-APR-001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request must not be approved by the person who raised it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Sites with fewer than 3 staff, per BR-IAM-003. Block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BR-APR-002</w:t>
            </w:r>
          </w:p>
        </w:tc>
        <w:tc>
          <w:tcPr>
            <w:tcW w:type="dxa" w:w="2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approval decision is immutable once recorded; reversal requires a new, separately recorded decision</w:t>
            </w:r>
          </w:p>
        </w:tc>
        <w:tc>
          <w:tcPr>
            <w:tcW w:type="dxa" w:w="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1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None. Block edit</w:t>
            </w:r>
          </w:p>
        </w:tc>
        <w:tc>
          <w:tcPr>
            <w:tcW w:type="dxa" w:w="8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BR-APR-003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Purchase order approval routes by value: ≤ $1,000 site manager; $1,001–$5,000 regional manager; &gt; $5,000 regional manager then finance director, in sequence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RTE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Emergency purchases per BR-APR-005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tenant</w:t>
            </w:r>
          </w:p>
        </w:tc>
      </w:tr>
      <w:tr>
        <w:tc>
          <w:tcPr>
            <w:tcW w:type="dxa" w:w="12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BR-APR-004</w:t>
            </w:r>
          </w:p>
        </w:tc>
        <w:tc>
          <w:tcPr>
            <w:tcW w:type="dxa" w:w="2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approval not actioned within its SLA escalates to the approver’s manager; the original approver retains the ability to act</w:t>
            </w:r>
          </w:p>
        </w:tc>
        <w:tc>
          <w:tcPr>
            <w:tcW w:type="dxa" w:w="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SLA</w:t>
            </w:r>
          </w:p>
        </w:tc>
        <w:tc>
          <w:tcPr>
            <w:tcW w:type="dxa" w:w="13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1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None. Escalate</w:t>
            </w:r>
          </w:p>
        </w:tc>
        <w:tc>
          <w:tcPr>
            <w:tcW w:type="dxa" w:w="8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tenant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BR-APR-005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emergency purchase may proceed without prior approval where a documented health, safety or continuity risk exists, and must be retrospectively approved within 48 hours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Flag for retrospective approval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tenant</w:t>
            </w:r>
          </w:p>
        </w:tc>
      </w:tr>
      <w:tr>
        <w:tc>
          <w:tcPr>
            <w:tcW w:type="dxa" w:w="12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BR-APR-006</w:t>
            </w:r>
          </w:p>
        </w:tc>
        <w:tc>
          <w:tcPr>
            <w:tcW w:type="dxa" w:w="2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approver who is unavailable may delegate authority for a defined period; the delegate cannot re-delegate</w:t>
            </w:r>
          </w:p>
        </w:tc>
        <w:tc>
          <w:tcPr>
            <w:tcW w:type="dxa" w:w="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1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 re-delegation</w:t>
            </w:r>
          </w:p>
        </w:tc>
        <w:tc>
          <w:tcPr>
            <w:tcW w:type="dxa" w:w="8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tenant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6.6  Scheduling and dispatch — DSP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50"/>
        <w:gridCol w:w="2820"/>
        <w:gridCol w:w="600"/>
        <w:gridCol w:w="1330"/>
        <w:gridCol w:w="2170"/>
        <w:gridCol w:w="850"/>
      </w:tblGrid>
      <w:tr>
        <w:trPr>
          <w:tblHeader/>
        </w:trPr>
        <w:tc>
          <w:tcPr>
            <w:tcW w:type="dxa" w:w="12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3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7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 / on violation</w:t>
            </w:r>
          </w:p>
        </w:tc>
        <w:tc>
          <w:tcPr>
            <w:tcW w:type="dxa" w:w="8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BR-DSP-001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P1 reactive job must have a technician on site within 4 hours of client acceptance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SLA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Force majeure, recorded with a reason code. Breach flag, notify account manager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contract</w:t>
            </w:r>
          </w:p>
        </w:tc>
      </w:tr>
      <w:tr>
        <w:tc>
          <w:tcPr>
            <w:tcW w:type="dxa" w:w="12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BR-DSP-002</w:t>
            </w:r>
          </w:p>
        </w:tc>
        <w:tc>
          <w:tcPr>
            <w:tcW w:type="dxa" w:w="2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technician must not be assigned work requiring a certification they do not currently hold</w:t>
            </w:r>
          </w:p>
        </w:tc>
        <w:tc>
          <w:tcPr>
            <w:tcW w:type="dxa" w:w="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1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None. Block assignment</w:t>
            </w:r>
          </w:p>
        </w:tc>
        <w:tc>
          <w:tcPr>
            <w:tcW w:type="dxa" w:w="8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BR-DSP-003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SLA clocks pause while a job is "awaiting client access" and resume on access confirmation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contract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6.7  Access and visibility — ACC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50"/>
        <w:gridCol w:w="2820"/>
        <w:gridCol w:w="600"/>
        <w:gridCol w:w="1330"/>
        <w:gridCol w:w="2170"/>
        <w:gridCol w:w="850"/>
      </w:tblGrid>
      <w:tr>
        <w:trPr>
          <w:tblHeader/>
        </w:trPr>
        <w:tc>
          <w:tcPr>
            <w:tcW w:type="dxa" w:w="12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3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7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 / on violation</w:t>
            </w:r>
          </w:p>
        </w:tc>
        <w:tc>
          <w:tcPr>
            <w:tcW w:type="dxa" w:w="8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BR-ACC-001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vendor user may only view work orders assigned to their own vendor company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ACC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Security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None. Block and log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BR-ACC-002</w:t>
            </w:r>
          </w:p>
        </w:tc>
        <w:tc>
          <w:tcPr>
            <w:tcW w:type="dxa" w:w="2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Cost price and margin must not be visible to any vendor, technician or client-contact persona</w:t>
            </w:r>
          </w:p>
        </w:tc>
        <w:tc>
          <w:tcPr>
            <w:tcW w:type="dxa" w:w="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ACC</w:t>
            </w:r>
          </w:p>
        </w:tc>
        <w:tc>
          <w:tcPr>
            <w:tcW w:type="dxa" w:w="13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1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None. Hide field</w:t>
            </w:r>
          </w:p>
        </w:tc>
        <w:tc>
          <w:tcPr>
            <w:tcW w:type="dxa" w:w="8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BR-ACC-003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client contact may view work orders only for sites listed on their organisation’s contract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ACC</w:t>
            </w:r>
          </w:p>
        </w:tc>
        <w:tc>
          <w:tcPr>
            <w:tcW w:type="dxa" w:w="13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Security</w:t>
            </w:r>
          </w:p>
        </w:tc>
        <w:tc>
          <w:tcPr>
            <w:tcW w:type="dxa" w:w="21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None. Block and log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7.  CONFLICT REGISTER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When two rules disagree, record it here and resolve it with the named owners. Do not let engineering pick a winner in a ticket comment.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500"/>
        <w:gridCol w:w="2000"/>
        <w:gridCol w:w="2400"/>
        <w:gridCol w:w="1200"/>
        <w:gridCol w:w="2920"/>
      </w:tblGrid>
      <w:tr>
        <w:trPr>
          <w:tblHeader/>
        </w:trPr>
        <w:tc>
          <w:tcPr>
            <w:tcW w:type="dxa" w:w="5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Rules in conflict</w:t>
            </w:r>
          </w:p>
        </w:tc>
        <w:tc>
          <w:tcPr>
            <w:tcW w:type="dxa" w:w="24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Nature</w:t>
            </w:r>
          </w:p>
        </w:tc>
        <w:tc>
          <w:tcPr>
            <w:tcW w:type="dxa" w:w="12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9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BR-IAM-003 vs BR-APR-001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Small-site exception permits self-approval, which BR-APR-001 forbids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Finance</w:t>
            </w:r>
          </w:p>
        </w:tc>
        <w:tc>
          <w:tcPr>
            <w:tcW w:type="dxa" w:w="2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BR-IAM-003 exception narrowed to ≤ $500 and requires CFO sign-off; BR-APR-001 amended to reference it</w:t>
            </w:r>
          </w:p>
        </w:tc>
      </w:tr>
      <w:tr>
        <w:tc>
          <w:tcPr>
            <w:tcW w:type="dxa" w:w="5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9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8.  CHANGE CONTROL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Anyone may propose a rule change. Only the named owner may approve it.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Changes affecting money, safety or access require a second approver from Finance, Compliance or Security respectively.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A changed rule gets a new effective-from date. The old version is retained with an effective-to date. Never edit a rule in place.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Every change is assessed for impact on existing records, in-flight approvals, historical reporting, and any PRD that references the rule.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Rules are re-reviewed annually by their owner, or on any contract change.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Change log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00"/>
        <w:gridCol w:w="1300"/>
        <w:gridCol w:w="2600"/>
        <w:gridCol w:w="1400"/>
        <w:gridCol w:w="1400"/>
        <w:gridCol w:w="1120"/>
      </w:tblGrid>
      <w:tr>
        <w:trPr>
          <w:tblHeader/>
        </w:trPr>
        <w:tc>
          <w:tcPr>
            <w:tcW w:type="dxa" w:w="12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26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4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by</w:t>
            </w:r>
          </w:p>
        </w:tc>
        <w:tc>
          <w:tcPr>
            <w:tcW w:type="dxa" w:w="14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1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 assessed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E2" w:sz="6" w:space="6"/>
      </w:pBdr>
      <w:jc w:val="right"/>
    </w:pPr>
    <w:r>
      <w:rPr>
        <w:rFonts w:ascii="Calibri" w:cs="Calibri" w:eastAsia="Calibri" w:hAnsi="Calibri"/>
        <w:color w:val="6E7D76"/>
        <w:sz w:val="16"/>
        <w:szCs w:val="16"/>
      </w:rPr>
      <w:t xml:space="preserve">Seamless Facility Management  ·  Page </w:t>
    </w:r>
    <w:r>
      <w:rPr>
        <w:rFonts w:ascii="Calibri" w:cs="Calibri" w:eastAsia="Calibri" w:hAnsi="Calibri"/>
        <w:color w:val="6E7D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7D76"/>
        <w:sz w:val="16"/>
        <w:szCs w:val="16"/>
      </w:rPr>
      <w:t xml:space="preserve"> of </w:t>
    </w:r>
    <w:r>
      <w:rPr>
        <w:rFonts w:ascii="Calibri" w:cs="Calibri" w:eastAsia="Calibri" w:hAnsi="Calibri"/>
        <w:color w:val="6E7D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2" w:sz="6" w:space="6"/>
      </w:pBdr>
      <w:spacing w:after="0"/>
    </w:pPr>
    <w:r>
      <w:rPr>
        <w:rFonts w:ascii="Calibri" w:cs="Calibri" w:eastAsia="Calibri" w:hAnsi="Calibri"/>
        <w:color w:val="6E7D76"/>
        <w:spacing w:val="30"/>
        <w:sz w:val="16"/>
        <w:szCs w:val="16"/>
      </w:rPr>
      <w:t xml:space="preserve">Business Rules Catalog — Seamless FM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0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Rules Catalog — Seamless FM Platform</dc:title>
  <dc:creator>Seamless Facility Management</dc:creator>
  <cp:lastModifiedBy>Un-named</cp:lastModifiedBy>
  <cp:revision>1</cp:revision>
  <dcterms:created xsi:type="dcterms:W3CDTF">2026-08-07T18:26:17.179Z</dcterms:created>
  <dcterms:modified xsi:type="dcterms:W3CDTF">2026-08-07T18:26:17.179Z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