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Daftar Aset Desa Dalam kepengurusan Organisasi Pemuda-pemudi Klampok Karangasem 2015</w:t>
      </w:r>
    </w:p>
    <w:p>
      <w:pPr>
        <w:pStyle w:val="Body"/>
        <w:widowControl w:val="0"/>
        <w:rPr>
          <w:b w:val="1"/>
          <w:bCs w:val="1"/>
          <w:sz w:val="32"/>
          <w:szCs w:val="32"/>
        </w:rPr>
      </w:pP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2"/>
        <w:gridCol w:w="1838"/>
        <w:gridCol w:w="867"/>
        <w:gridCol w:w="1843"/>
        <w:gridCol w:w="1701"/>
        <w:gridCol w:w="2805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18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Aset Desa</w:t>
            </w:r>
          </w:p>
        </w:tc>
        <w:tc>
          <w:tcPr>
            <w:tcW w:type="dxa" w:w="8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Jumlah</w:t>
            </w:r>
          </w:p>
        </w:tc>
        <w:tc>
          <w:tcPr>
            <w:tcW w:type="dxa" w:w="35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Sewa / hari</w:t>
            </w:r>
          </w:p>
        </w:tc>
        <w:tc>
          <w:tcPr>
            <w:tcW w:type="dxa" w:w="28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Keterangan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</w:tcPr>
          <w:p/>
        </w:tc>
        <w:tc>
          <w:tcPr>
            <w:tcW w:type="dxa" w:w="18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</w:tcPr>
          <w:p/>
        </w:tc>
        <w:tc>
          <w:tcPr>
            <w:tcW w:type="dxa" w:w="8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Dalam Kampung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Luar Kampung</w:t>
            </w:r>
          </w:p>
        </w:tc>
        <w:tc>
          <w:tcPr>
            <w:tcW w:type="dxa" w:w="28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</w:tcPr>
          <w:p/>
        </w:tc>
      </w:tr>
      <w:tr>
        <w:tblPrEx>
          <w:shd w:val="clear" w:color="auto" w:fill="auto"/>
        </w:tblPrEx>
        <w:trPr>
          <w:trHeight w:val="221" w:hRule="atLeast"/>
        </w:trPr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Kursi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@ Rp.500,-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@ Rp.1.000,-</w:t>
            </w:r>
          </w:p>
        </w:tc>
        <w:tc>
          <w:tcPr>
            <w:tcW w:type="dxa" w:w="2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1" w:hRule="atLeast"/>
        </w:trPr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Meja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@ Rp. 2.500,-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@ Rp.3.000,-</w:t>
            </w:r>
          </w:p>
        </w:tc>
        <w:tc>
          <w:tcPr>
            <w:tcW w:type="dxa" w:w="2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1" w:hRule="atLeast"/>
        </w:trPr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Taplak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35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 paket dalam penyewaan meja</w:t>
            </w:r>
          </w:p>
        </w:tc>
        <w:tc>
          <w:tcPr>
            <w:tcW w:type="dxa" w:w="2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1" w:hRule="atLeast"/>
        </w:trPr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Meja Prasmanan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Rp. 5.000,-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Rp. 10.000,-</w:t>
            </w:r>
          </w:p>
        </w:tc>
        <w:tc>
          <w:tcPr>
            <w:tcW w:type="dxa" w:w="2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1" w:hRule="atLeast"/>
        </w:trPr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Lampu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@ Rp. 5.000,-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@ Rp. 10.000,-</w:t>
            </w:r>
          </w:p>
        </w:tc>
        <w:tc>
          <w:tcPr>
            <w:tcW w:type="dxa" w:w="2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1" w:hRule="atLeast"/>
        </w:trPr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Kabel-kabel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 paket dalam penyewaan lampu</w:t>
            </w:r>
          </w:p>
        </w:tc>
        <w:tc>
          <w:tcPr>
            <w:tcW w:type="dxa" w:w="2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57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Nb: Ongkos Transportasi untuk Pihak Luar Kampung menyesuaikan.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List Paragraph"/>
        <w:numPr>
          <w:ilvl w:val="0"/>
          <w:numId w:val="3"/>
        </w:numPr>
        <w:tabs>
          <w:tab w:val="num" w:pos="360"/>
          <w:tab w:val="clear" w:pos="0"/>
        </w:tabs>
        <w:ind w:left="36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Untuk penyewaan dapat menghubungi:</w:t>
      </w: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</w:rPr>
        <w:t xml:space="preserve"> </w:t>
        <w:tab/>
        <w:t>sdr. Muh Hermawan - 085 747 954 073 / sdr. Totok Jatmiko - 089 608 976 572</w:t>
      </w:r>
    </w:p>
    <w:p>
      <w:pPr>
        <w:pStyle w:val="List Paragraph"/>
        <w:numPr>
          <w:ilvl w:val="0"/>
          <w:numId w:val="4"/>
        </w:numPr>
        <w:tabs>
          <w:tab w:val="num" w:pos="360"/>
          <w:tab w:val="clear" w:pos="0"/>
        </w:tabs>
        <w:ind w:left="36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Kerusakan dan kehilangan Aset desa saat menyewa menjadi tanggung jawab pihak penyewa.</w:t>
      </w:r>
    </w:p>
    <w:p>
      <w:pPr>
        <w:pStyle w:val="List Paragraph"/>
        <w:numPr>
          <w:ilvl w:val="0"/>
          <w:numId w:val="5"/>
        </w:numPr>
        <w:tabs>
          <w:tab w:val="num" w:pos="360"/>
          <w:tab w:val="clear" w:pos="0"/>
        </w:tabs>
        <w:ind w:left="36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Ongkos Transportasi untuk pihak luar kampung menyesuaikan.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nl-NL"/>
        </w:rPr>
        <w:tab/>
        <w:tab/>
        <w:t>Mengetahui</w:t>
        <w:tab/>
        <w:tab/>
        <w:tab/>
        <w:tab/>
        <w:tab/>
        <w:tab/>
        <w:tab/>
      </w: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de-DE"/>
        </w:rPr>
        <w:tab/>
        <w:tab/>
        <w:t>Ketua,</w:t>
        <w:tab/>
        <w:tab/>
        <w:tab/>
        <w:tab/>
        <w:tab/>
        <w:tab/>
        <w:tab/>
        <w:t>Penanggung Jawab,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nl-NL"/>
        </w:rPr>
        <w:tab/>
        <w:tab/>
        <w:t>Novan Edo</w:t>
        <w:tab/>
        <w:tab/>
        <w:tab/>
        <w:tab/>
        <w:tab/>
        <w:tab/>
        <w:t>Dima</w:t>
      </w:r>
      <w:r>
        <w:rPr>
          <w:rFonts w:ascii="Calibri" w:cs="Arial Unicode MS" w:hAnsi="Arial Unicode MS" w:eastAsia="Arial Unicode MS"/>
          <w:rtl w:val="0"/>
          <w:lang w:val="en-US"/>
        </w:rPr>
        <w:t>s</w:t>
      </w:r>
    </w:p>
    <w:p>
      <w:pPr>
        <w:pStyle w:val="Body"/>
      </w:pPr>
      <w:r>
        <w:rPr>
          <w:rtl w:val="0"/>
        </w:rPr>
        <w:tab/>
        <w:tab/>
        <w:tab/>
        <w:tab/>
        <w:tab/>
        <w:tab/>
        <w:tab/>
        <w:tab/>
        <w:tab/>
      </w:r>
      <w:r>
        <w:rPr>
          <w:rFonts w:ascii="Calibri" w:cs="Arial Unicode MS" w:hAnsi="Arial Unicode MS" w:eastAsia="Arial Unicode MS"/>
          <w:rtl w:val="0"/>
        </w:rPr>
        <w:t>hp: 089 676 482 001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340"/>
        <w:tab w:val="clear" w:pos="9360"/>
      </w:tabs>
    </w:pPr>
    <w:r>
      <w:rPr>
        <w:rtl w:val="0"/>
      </w:rPr>
      <w:drawing>
        <wp:inline distT="0" distB="0" distL="0" distR="0">
          <wp:extent cx="6964325" cy="1344501"/>
          <wp:effectExtent l="0" t="0" r="0" b="0"/>
          <wp:docPr id="1073741825" name="officeArt object" descr="Header Sur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Header Surat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4325" cy="134450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❖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♦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❖"/>
      <w:lvlJc w:val="left"/>
      <w:pPr/>
      <w:rPr>
        <w:position w:val="0"/>
      </w:rPr>
    </w:lvl>
    <w:lvl w:ilvl="1">
      <w:start w:val="1"/>
      <w:numFmt w:val="bullet"/>
      <w:suff w:val="tab"/>
      <w:lvlText w:val="➢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♦"/>
      <w:lvlJc w:val="left"/>
      <w:pPr/>
      <w:rPr>
        <w:position w:val="0"/>
      </w:rPr>
    </w:lvl>
    <w:lvl w:ilvl="5">
      <w:start w:val="1"/>
      <w:numFmt w:val="bullet"/>
      <w:suff w:val="tab"/>
      <w:lvlText w:val="➢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♦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❖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♦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❖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♦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❖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♦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