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7"/>
        <w:gridCol w:w="3994"/>
        <w:gridCol w:w="4316"/>
        <w:tblGridChange w:id="0">
          <w:tblGrid>
            <w:gridCol w:w="1217"/>
            <w:gridCol w:w="3994"/>
            <w:gridCol w:w="4316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99696</wp:posOffset>
                  </wp:positionH>
                  <wp:positionV relativeFrom="paragraph">
                    <wp:posOffset>-8889</wp:posOffset>
                  </wp:positionV>
                  <wp:extent cx="582295" cy="582295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rtl w:val="0"/>
              </w:rPr>
              <w:t xml:space="preserve">Vista Undangan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Dokumen : 01/No.20 – Dok.02/VST/2022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Mulai Berlaku : -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Jl. Beteng No. 132 Kranggan, Semarang Tengah Kota Semarang - 50139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STANDAR OPERASIONAL PROSEDUR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SOP –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HANDLING PENJUALAN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 : 1.0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 Revisi : - 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Halaman : 1 Dari X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Latar Belakang dan Tujuan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Memberikan pedoman kebijakan, alur dan prosedur guna meningkatkan kualitas pelayanan dalam bidang penjualan offline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Ruang Lingkup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Prosedur ini dimulai ketika kasir menerima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hingga customer telah selesai melakukan pembayaran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Satuan Kerja Terlibat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 Yang di Butuhkan: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Prosedur Pelaksanaan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memastikan bahwa,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diterima harus sudah dibubuhi tanda pengenal dari Penerima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membuat nota penjualan dengan input nomor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didapatkan dari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Perhatikan pengenaan diskon untuk customer dengan klasifikasi khusus. Lihat dalam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Customer Khusus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Untuk customer Reguler perhatikan pengenaan diskon khusus untuk barang barang tertentu. Lihat pada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Daftar Barang Diskon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Perhatikan diskon yang tertera pada Nota Penjualan telah sesuai dengan ketentuan diskon reguler yang berlaku. Lihat pada dokumen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Ketentuan diskon saat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bahwa Pesanan konsumen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sudah sesuai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Tambahkan pesanan baru ketika dibutuhkan dan konfirmasikan kepada customer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mengetahui jumlah pembayaran, infokan total pembayaran kepada Customer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input pembayaran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Pembayaran yang dapat diterima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Cek keaslian uang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minimal menggunakan Lampu UV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Debet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Kredit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Selain kartu debet BCA dan Semua jenis kartu kredit, ada biaya yang harus dibebankan terhadap konsumen. Lihat pada Dokumen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Biaya tambahan debet dan kredit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/ E – Money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Lakukan pengecekan lebih terhadap metode pembayaran selain cash. Lihat pada Dokumen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Pengecekan Pembayaran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: Pembayaran dibawah Rp. 300.000,- tidak dapat diberikan tempo. Diatas nominal tersebut dapat dikenakan tempo dengan ketentuan yang berlaku. Lihat pada dokumen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Penjualan Tempo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 memberikan nota pembayaran dan uang kembalian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jika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Satukan nota lapis kedua dan ketiga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lalu tempatkan pada tempat yang telah disediakan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 – Penjualan Offline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06811" cy="8166271"/>
            <wp:effectExtent b="0" l="0" r="0" t="0"/>
            <wp:docPr descr="C:\Users\vistaStore\Documents\Work\Vista\Flow Chart\FOO\Penjualan.png" id="5" name="image2.png"/>
            <a:graphic>
              <a:graphicData uri="http://schemas.openxmlformats.org/drawingml/2006/picture">
                <pic:pic>
                  <pic:nvPicPr>
                    <pic:cNvPr descr="C:\Users\vistaStore\Documents\Work\Vista\Flow Chart\FOO\Penjualan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811" cy="816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09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09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 w:val="1"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 w:val="1"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31E8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../../../Work%20Instruction/Front%20Office/Area%20Kasir/WI%20-%20Pengecekan%20Pembayaran.docx" TargetMode="External"/><Relationship Id="rId10" Type="http://schemas.openxmlformats.org/officeDocument/2006/relationships/hyperlink" Target="http://../General%20Document/Biaya%20Tambahan%20Debet%20Dan%20Kredit%20Card.docx" TargetMode="External"/><Relationship Id="rId13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../General%20Document/Daftar%20Rekening%20Vista.docx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../../../Video/%5bBank%20Indonesia%20101%5d%20-%20Ciri-ciri%20Keaslian%20Rupiah%20(CIKUR)%20-%20YouTube.mk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g+vDbW0tgBcktTkg0TFf+92mQ==">AMUW2mXA38Lb1k+WKN5s7zDozz/IJKl6H7ba7V7MvaOsFESsNavHthwNOKC8uYyPPNFlvcLpMfJ/m29QCPfmR5CN7mulzcVmnblVJ63BqBdd4+KSdNWbau0=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