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7"/>
        <w:gridCol w:w="3994"/>
        <w:gridCol w:w="4316"/>
        <w:tblGridChange w:id="0">
          <w:tblGrid>
            <w:gridCol w:w="1217"/>
            <w:gridCol w:w="3994"/>
            <w:gridCol w:w="4316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99696</wp:posOffset>
                  </wp:positionH>
                  <wp:positionV relativeFrom="paragraph">
                    <wp:posOffset>-8889</wp:posOffset>
                  </wp:positionV>
                  <wp:extent cx="582295" cy="582295"/>
                  <wp:effectExtent b="0" l="0" r="0" t="0"/>
                  <wp:wrapNone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" cy="582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rtl w:val="0"/>
              </w:rPr>
              <w:t xml:space="preserve">Vista Undangan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Dokumen : 01/No.20 – Dok.02/VST/2022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Mulai Berlaku : -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Jl. Beteng No. 132 Kranggan, Semarang Tengah Kota Semarang - 50139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STANDAR OPERASIONAL PROSEDUR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SOP –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HANDLING PENJUALAN 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 : 1.0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 Revisi : - 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Halaman : 1 Dari X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Latar Belakang dan Tujuan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Memberikan pedoman kebijakan, alur dan prosedur guna meningkatkan kualitas pelayanan dalam bidang penjualan offline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Ruang Lingkup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Prosedur ini dimulai ketika kasir menerima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hingga customer telah selesai melakukan pembayaran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Satuan Kerja Terlibat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 Yang di Butuhkan: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Prosedur Pelaksanaan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 memastikan bahwa,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diterima harus sudah dibubuhi tanda pengenal dari Penerima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 membuat nota penjualan dengan input nomor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Sales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didapatkan dari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Perhatikan pengenaan diskon untuk customer dengan klasifikasi khusus. Lihat dalam dokumen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Customer Khusus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Untuk customer Reguler perhatikan pengenaan diskon khusus untuk barang barang tertentu. Lihat pada dokumen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Barang Diskon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Perhatikan diskon yang tertera pada Nota Penjualan telah sesuai dengan ketentuan  diskon reguler yang berlaku. Lihat pada dokumen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Ketentuan diskon saat 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Pastikan bahwa Pesanan konsumen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sudah sesuai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Tambahkan pesanan baru ketika dibutuhkan dan konfirmasikan kepada customer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Setelah mengetahui jumlah pembayaran, infokan total pembayaran kepada Customer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 input pembayaran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Pembayaran yang dapat diterima 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Cek keaslian uang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minimal menggunakan Lampu UV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Debet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Kredit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Selain kartu debet BCA dan Semua jenis kartu kredit, ada biaya yang harus dibebankan terhadap konsumen. Lihat pada Dokumen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Biaya tambahan debet dan kredit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/ E – Money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Lakukan pengecekan lebih terhadap metode pembayaran selain cash. Lihat pada Dokumen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Pengecekan Pembayaran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 memberikan nota pembayaran dan uang kembalian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jika 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Satukan nota lapis kedua dan ketiga 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lalu tempatkan pada tempat yang telah disediakan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Flowchart – Penjualan Offline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06811" cy="8166271"/>
            <wp:effectExtent b="0" l="0" r="0" t="0"/>
            <wp:docPr descr="C:\Users\vistaStore\Documents\Work\Vista\Flow Chart\FOO\Penjualan.png" id="5" name="image1.png"/>
            <a:graphic>
              <a:graphicData uri="http://schemas.openxmlformats.org/drawingml/2006/picture">
                <pic:pic>
                  <pic:nvPicPr>
                    <pic:cNvPr descr="C:\Users\vistaStore\Documents\Work\Vista\Flow Chart\FOO\Penjualan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811" cy="8166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8711" w:w="12191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4DC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09F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09F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 w:val="1"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31E8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../../../Work%20Instruction/Front%20Office/Area%20Kasir/WI%20-%20Pengecekan%20Pembayaran.docx" TargetMode="External"/><Relationship Id="rId10" Type="http://schemas.openxmlformats.org/officeDocument/2006/relationships/hyperlink" Target="http://../General%20Document/Biaya%20Tambahan%20Debet%20Dan%20Kredit%20Card.docx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../General%20Document/Daftar%20Rekening%20Vista.docx" TargetMode="External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http://../../../Video/%5bBank%20Indonesia%20101%5d%20-%20Ciri-ciri%20Keaslian%20Rupiah%20(CIKUR)%20-%20YouTube.mk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g+vDbW0tgBcktTkg0TFf+92mQ==">AMUW2mX/LG7n4y9QaMgNb8BIgT9J4YaNOFY4KmNHyQN8CfvM6HZmUbI2WBOAWO+xLdDKNdzcsKDD9ydhiB8LjQzvNtvDoVdKHOQX5WQCtI6Rb1ZJZvg4/yY=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2022-07-07T09:04:00Z</dcterms:created>
  <dc:creator>vistaStore</dc:creator>
</cp:coreProperties>
</file>