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Arial" w:hAnsi="Arial"/>
          <w:b/>
          <w:color w:val="176762"/>
          <w:sz w:val="17"/>
        </w:rPr>
        <w:t>CONSULTANT ENABLEMENT</w:t>
      </w:r>
    </w:p>
    <w:p>
      <w:pPr>
        <w:keepNext/>
        <w:spacing w:after="120"/>
      </w:pPr>
      <w:r>
        <w:rPr>
          <w:rFonts w:ascii="Georgia" w:hAnsi="Georgia"/>
          <w:color w:val="071722"/>
          <w:sz w:val="62"/>
        </w:rPr>
        <w:t>Consultant onboarding</w:t>
      </w:r>
    </w:p>
    <w:p>
      <w:pPr>
        <w:spacing w:after="400"/>
      </w:pPr>
      <w:r>
        <w:rPr>
          <w:rFonts w:ascii="Arial" w:hAnsi="Arial"/>
          <w:color w:val="56666C"/>
          <w:sz w:val="23"/>
        </w:rPr>
        <w:t>A clear route from confirmation to a well-supported engagement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238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Consultant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[Full name]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Client / programme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[Organisation and programme]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Assignment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[Role / workstream]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Start and duration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[Date / expected duration]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DeepBridge contact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[Name / email / phone]</w:t>
            </w:r>
          </w:p>
        </w:tc>
      </w:tr>
    </w:tbl>
    <w:p>
      <w:pPr>
        <w:spacing w:after="40"/>
      </w:pP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c>
          <w:tcPr>
            <w:tcW w:type="dxa" w:w="96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A8D8D3"/>
              <w:left w:val="single" w:sz="6" w:color="A8D8D3"/>
              <w:bottom w:val="single" w:sz="6" w:color="A8D8D3"/>
              <w:right w:val="single" w:sz="6" w:color="A8D8D3"/>
              <w:insideH w:val="single" w:sz="6" w:color="A8D8D3"/>
              <w:insideV w:val="single" w:sz="6" w:color="A8D8D3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 xml:space="preserve">SECURE INFORMATION  </w:t>
            </w:r>
            <w:r>
              <w:rPr>
                <w:rFonts w:ascii="Arial" w:hAnsi="Arial"/>
                <w:color w:val="142D38"/>
                <w:sz w:val="19"/>
              </w:rPr>
              <w:t>Do not send passport, identity, bank or tax documents through the public website. DeepBridge will confirm an appropriate secure route when documents are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Pre-engagement checklist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00"/>
        <w:gridCol w:w="5238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Notes / owner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Assignment scope confirmed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Availability and working model confirmed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Commercial terms agreed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Consultant company and invoicing details reviewed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Right-to-work / work-authorisation review completed where applicable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Insurance evidence reviewed where required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Client onboarding steps completed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Access, equipment and first-day details issued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</w:tbl>
    <w:p>
      <w:pPr>
        <w:spacing w:after="20"/>
      </w:pPr>
    </w:p>
    <w:p>
      <w:pPr>
        <w:pStyle w:val="Heading1"/>
      </w:pPr>
      <w:r>
        <w:t>Assignment snapshot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238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Primary outcome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[What must this assignment deliver?]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Key stakeholders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[Names, roles and locations]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Working model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[Remote / hybrid / onsite, travel expectations]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Reporting cadence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[Meetings, status reporting and timesheets]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Dependencies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[Systems, teams, decisions and inputs]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Escalation route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[Client lead and DeepBridge contact]</w:t>
            </w:r>
          </w:p>
        </w:tc>
      </w:tr>
    </w:tbl>
    <w:p>
      <w:pPr>
        <w:spacing w:after="40"/>
      </w:pPr>
    </w:p>
    <w:p>
      <w:pPr>
        <w:pStyle w:val="Heading1"/>
      </w:pPr>
      <w:r>
        <w:t>First-week plan</w:t>
      </w:r>
    </w:p>
    <w:p>
      <w:pPr>
        <w:pStyle w:val="ListNumber"/>
      </w:pPr>
      <w:r>
        <w:t>Confirm stakeholder introductions and programme context.</w:t>
      </w:r>
    </w:p>
    <w:p>
      <w:pPr>
        <w:pStyle w:val="ListNumber"/>
      </w:pPr>
      <w:r>
        <w:t>Agree immediate priorities, expected outputs and decision points.</w:t>
      </w:r>
    </w:p>
    <w:p>
      <w:pPr>
        <w:pStyle w:val="ListNumber"/>
      </w:pPr>
      <w:r>
        <w:t>Validate access, data and system requirements.</w:t>
      </w:r>
    </w:p>
    <w:p>
      <w:pPr>
        <w:pStyle w:val="ListNumber"/>
      </w:pPr>
      <w:r>
        <w:t>Confirm reporting, time recording and communication routines.</w:t>
      </w:r>
    </w:p>
    <w:p>
      <w:pPr>
        <w:pStyle w:val="ListNumber"/>
      </w:pPr>
      <w:r>
        <w:t>Raise any early delivery or engagement risks with DeepBridge.</w:t>
      </w:r>
    </w:p>
    <w:p>
      <w:pPr>
        <w:pStyle w:val="Heading1"/>
      </w:pPr>
      <w:r>
        <w:t>During the engagement</w:t>
      </w:r>
    </w:p>
    <w:p>
      <w:pPr>
        <w:pStyle w:val="ListBullet"/>
      </w:pPr>
      <w:r>
        <w:t>Maintain direct communication on progress, dependencies and risks.</w:t>
      </w:r>
    </w:p>
    <w:p>
      <w:pPr>
        <w:pStyle w:val="ListBullet"/>
      </w:pPr>
      <w:r>
        <w:t>Tell DeepBridge promptly if scope, location or commercial expectations change.</w:t>
      </w:r>
    </w:p>
    <w:p>
      <w:pPr>
        <w:pStyle w:val="ListBullet"/>
      </w:pPr>
      <w:r>
        <w:t>Use the agreed route for timesheets, expenses and invoicing.</w:t>
      </w:r>
    </w:p>
    <w:p>
      <w:pPr>
        <w:pStyle w:val="ListBullet"/>
      </w:pPr>
      <w:r>
        <w:t>Handle client information in line with the assignment agreement and applicable policies.</w:t>
      </w:r>
    </w:p>
    <w:p>
      <w:pPr>
        <w:pStyle w:val="ListBullet"/>
      </w:pPr>
      <w:r>
        <w:t>Keep DeepBridge informed of extension, transition or offboarding discussions.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c>
          <w:tcPr>
            <w:tcW w:type="dxa" w:w="96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A8D8D3"/>
              <w:left w:val="single" w:sz="6" w:color="A8D8D3"/>
              <w:bottom w:val="single" w:sz="6" w:color="A8D8D3"/>
              <w:right w:val="single" w:sz="6" w:color="A8D8D3"/>
              <w:insideH w:val="single" w:sz="6" w:color="A8D8D3"/>
              <w:insideV w:val="single" w:sz="6" w:color="A8D8D3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 xml:space="preserve">ENGAGEMENT STATUS  </w:t>
            </w:r>
            <w:r>
              <w:rPr>
                <w:rFonts w:ascii="Arial" w:hAnsi="Arial"/>
                <w:color w:val="142D38"/>
                <w:sz w:val="19"/>
              </w:rPr>
              <w:t>Joining the DeepBridge network or receiving this pack does not create an employment relationship, guarantee an assignment or override the applicable written agreement.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1906" w:h="16838"/>
      <w:pgMar w:top="1247" w:right="1134" w:bottom="1247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63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78"/>
      <w:gridCol w:w="1460"/>
    </w:tblGrid>
    <w:tr>
      <w:tc>
        <w:tcPr>
          <w:tcW w:type="dxa" w:w="8178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 w:line="240" w:lineRule="auto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4"/>
            </w:rPr>
            <w:t>DUSTDEEP LTD trading as DeepBridge Advisory | Company no. 16775578 | Registered office: Kemp House, 152-160 City Road, London, United Kingdom, EC1V 2NX | hello@deepbridgeadvisory.co.uk</w:t>
          </w:r>
        </w:p>
      </w:tc>
      <w:tc>
        <w:tcPr>
          <w:tcW w:type="dxa" w:w="1460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965960" cy="393192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epBridge-Advisory-Primary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3931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0717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717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67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2D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DeepBridge Advisory document template</dc:title>
  <dc:subject>DeepBridge Advisory branded business document</dc:subject>
  <dc:creator/>
  <cp:keywords>DeepBridge Advisory, DUSTDEEP LTD,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