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b/>
          <w:bCs/>
          <w:color w:val="1A5276"/>
          <w:sz w:val="48"/>
          <w:szCs w:val="48"/>
        </w:rPr>
        <w:t xml:space="preserve">Análise de Business Intelligence</w:t>
      </w:r>
    </w:p>
    <w:p>
      <w:pPr>
        <w:spacing w:after="200"/>
        <w:jc w:val="center"/>
      </w:pPr>
      <w:r>
        <w:rPr>
          <w:color w:val="2E86C1"/>
          <w:sz w:val="36"/>
          <w:szCs w:val="36"/>
        </w:rPr>
        <w:t xml:space="preserve">Plataforma Toca Aqui</w:t>
      </w:r>
    </w:p>
    <w:p>
      <w:pPr>
        <w:spacing w:after="120"/>
        <w:jc w:val="center"/>
      </w:pPr>
      <w:r>
        <w:rPr>
          <w:i/>
          <w:iCs/>
          <w:sz w:val="24"/>
          <w:szCs w:val="24"/>
        </w:rPr>
        <w:t xml:space="preserve">Marketplace de conexão entre artistas e estabelecimentos para shows ao vivo</w:t>
      </w:r>
    </w:p>
    <w:p>
      <w:pPr>
        <w:spacing w:before="600"/>
        <w:jc w:val="center"/>
      </w:pPr>
      <w:r>
        <w:rPr>
          <w:sz w:val="24"/>
          <w:szCs w:val="24"/>
        </w:rPr>
        <w:t xml:space="preserve">Trabalho de Conclusão de Curso — Fase Teórica (BI)</w:t>
      </w:r>
    </w:p>
    <w:p>
      <w:pPr>
        <w:spacing w:after="200"/>
        <w:jc w:val="center"/>
      </w:pPr>
      <w:r>
        <w:rPr>
          <w:sz w:val="24"/>
          <w:szCs w:val="24"/>
        </w:rPr>
        <w:t xml:space="preserve">Abril de 2026</w:t>
      </w:r>
    </w:p>
    <w:p>
      <w:pPr>
        <w:spacing w:before="400"/>
        <w:jc w:val="center"/>
      </w:pPr>
      <w:r>
        <w:rPr>
          <w:i/>
          <w:iCs/>
          <w:color w:val="888888"/>
          <w:sz w:val="22"/>
          <w:szCs w:val="22"/>
        </w:rPr>
        <w:t xml:space="preserve">Dados fictícios para fins acadêmicos</w:t>
      </w:r>
    </w:p>
    <w:p>
      <w:r>
        <w:br w:type="page"/>
      </w:r>
    </w:p>
    <w:p>
      <w:pPr>
        <w:pStyle w:val="Heading1"/>
      </w:pPr>
      <w:r>
        <w:t xml:space="preserve">1. Problema e Alinhamento Estratégico</w:t>
      </w:r>
    </w:p>
    <w:p>
      <w:pPr>
        <w:pStyle w:val="Heading2"/>
      </w:pPr>
      <w:r>
        <w:t xml:space="preserve">1.1 Descrição do Problema</w:t>
      </w:r>
    </w:p>
    <w:p>
      <w:pPr>
        <w:spacing w:after="120"/>
      </w:pPr>
      <w:r>
        <w:rPr>
          <w:sz w:val="24"/>
          <w:szCs w:val="24"/>
        </w:rPr>
        <w:t xml:space="preserve">A plataforma Toca Aqui é um marketplace mobile que conecta artistas/bandas a estabelecimentos (bares, pubs, casas de show) para contratação de shows ao vivo. Após os primeiros 6 meses de operação na cidade de Campo Mourão – PR, a equipe identificou um problema recorrente: a taxa de conversão de vagas publicadas em contratos efetivados está abaixo do esperado. Das vagas publicadas pelos estabelecimentos, apenas 38% resultam em contratação de um artista, gerando ociosidade nas agendas dos bares e frustração nos artistas que se candidatam sem retorno.</w:t>
      </w:r>
    </w:p>
    <w:p>
      <w:pPr>
        <w:pStyle w:val="Heading2"/>
      </w:pPr>
      <w:r>
        <w:t xml:space="preserve">1.2 Contexto</w:t>
      </w:r>
    </w:p>
    <w:p>
      <w:pPr>
        <w:spacing w:after="120"/>
      </w:pPr>
      <w:r>
        <w:rPr>
          <w:sz w:val="24"/>
          <w:szCs w:val="24"/>
        </w:rPr>
        <w:t xml:space="preserve">O problema ocorre no fluxo principal da plataforma (Event Scheduling Context), que é o coração do negócio. O estabelecimento publica uma vaga com data, horário, cachê e gênero desejado; artistas se candidatam; o estabelecimento seleciona e gera o mini-contrato automático. A baixa conversão pode ter múltiplas causas: cachê incompatível, gênero musical inadequado, falta de candidatos na região, ou demora na análise das candidaturas.</w:t>
      </w:r>
    </w:p>
    <w:p>
      <w:pPr>
        <w:pStyle w:val="Heading2"/>
      </w:pPr>
      <w:r>
        <w:t xml:space="preserve">1.3 Importância</w:t>
      </w:r>
    </w:p>
    <w:p>
      <w:pPr>
        <w:spacing w:after="120"/>
      </w:pPr>
      <w:r>
        <w:rPr>
          <w:sz w:val="24"/>
          <w:szCs w:val="24"/>
        </w:rPr>
        <w:t xml:space="preserve">O Brasil é o 2º maior mercado de shows ao vivo do mundo, com R$ 94 bilhões movimentados em 2024. Somente o segmento de bares conta com mais de 144 mil estabelecimentos. A taxa de conversão baixa significa que a plataforma não está cumprindo sua proposta de valor central — facilitar o match artista-estabelecimento — e compromete a retenção de ambos os lados do marketplace.</w:t>
      </w:r>
    </w:p>
    <w:p>
      <w:pPr>
        <w:pStyle w:val="Heading2"/>
      </w:pPr>
      <w:r>
        <w:t xml:space="preserve">1.4 Objetivo Estratégico</w:t>
      </w:r>
    </w:p>
    <w:p>
      <w:pPr>
        <w:spacing w:after="120"/>
      </w:pPr>
      <w:r>
        <w:rPr>
          <w:b/>
          <w:bCs/>
          <w:sz w:val="24"/>
          <w:szCs w:val="24"/>
        </w:rPr>
        <w:t xml:space="preserve">Objetivo: </w:t>
      </w:r>
      <w:r>
        <w:rPr>
          <w:sz w:val="24"/>
          <w:szCs w:val="24"/>
        </w:rPr>
        <w:t xml:space="preserve">Aumentar a taxa de conversão de vagas em contratos efetivados de 38% para 60% nos próximos 3 meses, reduzindo o tempo médio de seleção e melhorando o match entre perfil musical do artista e preferência do estabelecimento.</w:t>
      </w:r>
    </w:p>
    <w:p>
      <w:pPr>
        <w:pStyle w:val="Heading2"/>
      </w:pPr>
      <w:r>
        <w:t xml:space="preserve">1.5 Decisor</w:t>
      </w:r>
    </w:p>
    <w:p>
      <w:pPr>
        <w:spacing w:after="120"/>
      </w:pPr>
      <w:r>
        <w:rPr>
          <w:sz w:val="24"/>
          <w:szCs w:val="24"/>
        </w:rPr>
        <w:t xml:space="preserve">O gestor de produto da plataforma Toca Aqui, responsável por decisões sobre algoritmo de recomendação, política de cachê sugerido e regras de expiração de vagas. Secundariamente, o time de sucesso do cliente que faz onboarding de estabelecimentos.</w:t>
      </w:r>
    </w:p>
    <w:p>
      <w:r>
        <w:br w:type="page"/>
      </w:r>
    </w:p>
    <w:p>
      <w:pPr>
        <w:pStyle w:val="Heading1"/>
      </w:pPr>
      <w:r>
        <w:t xml:space="preserve">2. Dados e Fontes</w:t>
      </w:r>
    </w:p>
    <w:p>
      <w:pPr>
        <w:pStyle w:val="Heading2"/>
      </w:pPr>
      <w:r>
        <w:t xml:space="preserve">2.1 Dados Necessários</w:t>
      </w:r>
    </w:p>
    <w:p>
      <w:pPr>
        <w:spacing w:after="120"/>
      </w:pPr>
      <w:r>
        <w:rPr>
          <w:sz w:val="24"/>
          <w:szCs w:val="24"/>
        </w:rPr>
        <w:t xml:space="preserve">Para analisar o problema de conversão, são necessários dados transacionais do fluxo de vagas e candidaturas, além de dados contextuais sobre artistas, estabelecimentos e eventos.</w:t>
      </w:r>
    </w:p>
    <w:p>
      <w:pPr>
        <w:pStyle w:val="Heading3"/>
      </w:pPr>
      <w:r>
        <w:t xml:space="preserve">2.2 Tabela Fato</w:t>
      </w:r>
    </w:p>
    <w:p>
      <w:pPr>
        <w:spacing w:after="120"/>
      </w:pPr>
      <w:r>
        <w:rPr>
          <w:sz w:val="24"/>
          <w:szCs w:val="24"/>
        </w:rPr>
        <w:t xml:space="preserve">A tabela fato central registra cada candidatura realizada por um artista a uma vaga, incluindo o resultado (aceita, rejeitada, expirada, contrato gerado).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26"/>
        <w:gridCol w:w="250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b/>
                <w:bCs/>
                <w:color w:val="FFFFFF"/>
                <w:sz w:val="22"/>
                <w:szCs w:val="22"/>
              </w:rPr>
              <w:t xml:space="preserve">Fato</w:t>
            </w:r>
          </w:p>
        </w:tc>
        <w:tc>
          <w:tcPr>
            <w:tcW w:type="dxa" w:w="402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b/>
                <w:bCs/>
                <w:color w:val="FFFFFF"/>
                <w:sz w:val="22"/>
                <w:szCs w:val="22"/>
              </w:rPr>
              <w:t xml:space="preserve">Descrição</w:t>
            </w:r>
          </w:p>
        </w:tc>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b/>
                <w:bCs/>
                <w:color w:val="FFFFFF"/>
                <w:sz w:val="22"/>
                <w:szCs w:val="22"/>
              </w:rPr>
              <w:t xml:space="preserve">Fonte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Candidatura (AplicacaoBanda)</w:t>
            </w:r>
          </w:p>
        </w:tc>
        <w:tc>
          <w:tcPr>
            <w:tcW w:type="dxa" w:w="4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Registro de cada candidatura de artista a uma vaga, com status, data de envio e data de resposta</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Banco de dados principal (MySQL) — tabela aplicacao_banda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Contrato Gerado</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Registro de cada contrato PDF gerado após aceite, com valor final e cláusulas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Banco de dados principal — tabela contrato</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Avaliação Pós-Evento</w:t>
            </w:r>
          </w:p>
        </w:tc>
        <w:tc>
          <w:tcPr>
            <w:tcW w:type="dxa" w:w="4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Nota e comentário dado pelo estabelecimento ao artista (e vice-versa) após o show</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Microserviço Social — tabela avaliacao</w:t>
            </w:r>
          </w:p>
        </w:tc>
      </w:tr>
    </w:tbl>
    <w:p>
      <w:pPr>
        <w:spacing w:before="200"/>
      </w:pPr>
    </w:p>
    <w:p>
      <w:pPr>
        <w:pStyle w:val="Heading3"/>
      </w:pPr>
      <w:r>
        <w:t xml:space="preserve">2.3 Tabelas Dimensão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26"/>
        <w:gridCol w:w="250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b/>
                <w:bCs/>
                <w:color w:val="FFFFFF"/>
                <w:sz w:val="22"/>
                <w:szCs w:val="22"/>
              </w:rPr>
              <w:t xml:space="preserve">Dimensão</w:t>
            </w:r>
          </w:p>
        </w:tc>
        <w:tc>
          <w:tcPr>
            <w:tcW w:type="dxa" w:w="432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b/>
                <w:bCs/>
                <w:color w:val="FFFFFF"/>
                <w:sz w:val="22"/>
                <w:szCs w:val="22"/>
              </w:rPr>
              <w:t xml:space="preserve">Atributos Principais</w:t>
            </w:r>
          </w:p>
        </w:tc>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b/>
                <w:bCs/>
                <w:color w:val="FFFFFF"/>
                <w:sz w:val="22"/>
                <w:szCs w:val="22"/>
              </w:rPr>
              <w:t xml:space="preserve">Fonte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Artista/Banda</w:t>
            </w:r>
          </w:p>
        </w:tc>
        <w:tc>
          <w:tcPr>
            <w:tcW w:type="dxa" w:w="43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Nome, gênero musical, cidade, integrantes, nota média, plano (free/premium)</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MySQL — tabelas perfil_artista + banda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Estabelecimento</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Nome, tipo (bar, pub, casa de show), cidade, bairro, capacidade, gêneros preferidos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MySQL — tabela perfil_estabelecimento</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Vaga (Agendamento)</w:t>
            </w:r>
          </w:p>
        </w:tc>
        <w:tc>
          <w:tcPr>
            <w:tcW w:type="dxa" w:w="43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Data do evento, horário, cachê oferecido, gênero solicitado, status da vaga</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MySQL — tabela agendamento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Tempo</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Data, dia da semana, mês, trimestre, ano, feriado (sim/não)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Gerada / calendário</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Localização</w:t>
            </w:r>
          </w:p>
        </w:tc>
        <w:tc>
          <w:tcPr>
            <w:tcW w:type="dxa" w:w="43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Cidade, estado, região, bairro</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MySQL — tabela endereco</w:t>
            </w:r>
          </w:p>
        </w:tc>
      </w:tr>
    </w:tbl>
    <w:p>
      <w:r>
        <w:br w:type="page"/>
      </w:r>
    </w:p>
    <w:p>
      <w:pPr>
        <w:pStyle w:val="Heading1"/>
      </w:pPr>
      <w:r>
        <w:t xml:space="preserve">3. Indicadores (KPIs)</w:t>
      </w:r>
    </w:p>
    <w:p>
      <w:pPr>
        <w:spacing w:after="120"/>
      </w:pPr>
      <w:r>
        <w:rPr>
          <w:sz w:val="24"/>
          <w:szCs w:val="24"/>
        </w:rPr>
        <w:t xml:space="preserve">Os indicadores a seguir foram definidos para responder ao problema central: por que a taxa de conversão de vagas em contratos está baixa e como melhorá-la.</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b/>
                <w:bCs/>
                <w:color w:val="FFFFFF"/>
                <w:sz w:val="22"/>
                <w:szCs w:val="22"/>
              </w:rPr>
              <w:t xml:space="preserve">KPI</w:t>
            </w:r>
          </w:p>
        </w:tc>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b/>
                <w:bCs/>
                <w:color w:val="FFFFFF"/>
                <w:sz w:val="22"/>
                <w:szCs w:val="22"/>
              </w:rPr>
              <w:t xml:space="preserve">O que mede</w:t>
            </w:r>
          </w:p>
        </w:tc>
        <w:tc>
          <w:tcPr>
            <w:tcW w:type="dxa" w:w="332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b/>
                <w:bCs/>
                <w:color w:val="FFFFFF"/>
                <w:sz w:val="22"/>
                <w:szCs w:val="22"/>
              </w:rPr>
              <w:t xml:space="preserve">Como ajuda na decisão</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Taxa de Conversão de Vagas</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Percentual de vagas publicadas que resultam em contrato gerado. Fórmula: (contratos / vagas publicadas) × 100</w:t>
            </w:r>
          </w:p>
        </w:tc>
        <w:tc>
          <w:tcPr>
            <w:tcW w:type="dxa" w:w="33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Indicador principal do problema. Permite acompanhar a evolução mensal e identificar se as ações estão funcionando.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Tempo Médio de Seleção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Tempo entre a publicação da vaga e a geração do contrato (em horas ou dias).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Vagas que demoram para ser preenchidas podem expirar ou perder candidatos. Se o tempo é alto, pode-se implementar notificações de urgência ao estabelecimento.</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Candidaturas por Vaga</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Número médio de artistas que se candidatam por vaga publicada.</w:t>
            </w:r>
          </w:p>
        </w:tc>
        <w:tc>
          <w:tcPr>
            <w:tcW w:type="dxa" w:w="33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Se o número é baixo, o problema pode ser de oferta (poucos artistas na região/gênero). Se é alto mas a conversão é baixa, o problema é de seleção.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Taxa de Rejeição por Motivo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Percentual de candidaturas rejeitadas, segmentado por motivo (cachê, gênero, horário, sem resposta).</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Revela os principais motivos de não-match. Se o cachê é a maior causa, pode-se implementar faixa de cachê sugerida.</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Nota Média Pós-Evento</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Média das avaliações bidirecionais após shows realizados (escala 1-5).</w:t>
            </w:r>
          </w:p>
        </w:tc>
        <w:tc>
          <w:tcPr>
            <w:tcW w:type="dxa" w:w="33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Valida se os matches bem-sucedidos estão gerando boas experiências. Notas baixas indicam que o algoritmo de match precisa considerar mais variáveis.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Taxa de Vagas Expiradas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Percentual de vagas que expiram sem nenhuma candidatura ou sem seleção.</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Identifica estabelecimentos que publicam vagas mas não conseguem atrair artistas, sinalizando possível problema de cachê ou localização.</w:t>
            </w:r>
          </w:p>
        </w:tc>
      </w:tr>
    </w:tbl>
    <w:p>
      <w:r>
        <w:br w:type="page"/>
      </w:r>
    </w:p>
    <w:p>
      <w:pPr>
        <w:pStyle w:val="Heading1"/>
      </w:pPr>
      <w:r>
        <w:t xml:space="preserve">4. Solução e Fluxo de Dados</w:t>
      </w:r>
    </w:p>
    <w:p>
      <w:pPr>
        <w:pStyle w:val="Heading2"/>
      </w:pPr>
      <w:r>
        <w:t xml:space="preserve">4.1 Visão Geral da Solução</w:t>
      </w:r>
    </w:p>
    <w:p>
      <w:pPr>
        <w:spacing w:after="120"/>
      </w:pPr>
      <w:r>
        <w:rPr>
          <w:sz w:val="24"/>
          <w:szCs w:val="24"/>
        </w:rPr>
        <w:t xml:space="preserve">A solução proposta utiliza os dados transacionais já coletados pela plataforma Toca Aqui para construir um painel analítico (dashboard) que permita ao gestor de produto monitorar os KPIs definidos, identificar padrões de baixa conversão e tomar decisões baseadas em dados.</w:t>
      </w:r>
    </w:p>
    <w:p>
      <w:pPr>
        <w:pStyle w:val="Heading2"/>
      </w:pPr>
      <w:r>
        <w:t xml:space="preserve">4.2 Fluxo de Dados</w:t>
      </w:r>
    </w:p>
    <w:p>
      <w:pPr>
        <w:spacing w:after="120"/>
      </w:pPr>
      <w:r>
        <w:rPr>
          <w:b/>
          <w:bCs/>
          <w:sz w:val="24"/>
          <w:szCs w:val="24"/>
        </w:rPr>
        <w:t xml:space="preserve">1. Origem dos dados: </w:t>
      </w:r>
      <w:r>
        <w:rPr>
          <w:sz w:val="24"/>
          <w:szCs w:val="24"/>
        </w:rPr>
        <w:t xml:space="preserve">Os dados são gerados em tempo real pela operação da plataforma. Cada vez que um estabelecimento publica uma vaga, um artista se candidata, o estabelecimento aceita/rejeita, ou um contrato é gerado, os eventos são registrados no banco MySQL (Main API) e no microserviço Social (avaliações).</w:t>
      </w:r>
    </w:p>
    <w:p>
      <w:pPr>
        <w:spacing w:after="120"/>
      </w:pPr>
      <w:r>
        <w:rPr>
          <w:b/>
          <w:bCs/>
          <w:sz w:val="24"/>
          <w:szCs w:val="24"/>
        </w:rPr>
        <w:t xml:space="preserve">2. Extração e tratamento: </w:t>
      </w:r>
      <w:r>
        <w:rPr>
          <w:sz w:val="24"/>
          <w:szCs w:val="24"/>
        </w:rPr>
        <w:t xml:space="preserve">Um processo de ETL (Extract, Transform, Load) extrai diariamente os dados do MySQL e do microserviço Social, realizando limpeza (remoção de registros de teste, normalização de datas, tratamento de valores nulos em cachê), transformação (cálculo de tempo de seleção, classificação de motivos de rejeição) e enriquecimento (adição de dimensão tempo com flags de feriado e dia da semana).</w:t>
      </w:r>
    </w:p>
    <w:p>
      <w:pPr>
        <w:spacing w:after="120"/>
      </w:pPr>
      <w:r>
        <w:rPr>
          <w:b/>
          <w:bCs/>
          <w:sz w:val="24"/>
          <w:szCs w:val="24"/>
        </w:rPr>
        <w:t xml:space="preserve">3. Armazenamento analítico: </w:t>
      </w:r>
      <w:r>
        <w:rPr>
          <w:sz w:val="24"/>
          <w:szCs w:val="24"/>
        </w:rPr>
        <w:t xml:space="preserve">Os dados tratados são organizados em um modelo dimensional (star schema) com a tabela fato Candidatura no centro e as dimensões Artista, Estabelecimento, Vaga, Tempo e Localização ao redor. Este modelo otimiza consultas analíticas e agregações.</w:t>
      </w:r>
    </w:p>
    <w:p>
      <w:pPr>
        <w:spacing w:after="120"/>
      </w:pPr>
      <w:r>
        <w:rPr>
          <w:b/>
          <w:bCs/>
          <w:sz w:val="24"/>
          <w:szCs w:val="24"/>
        </w:rPr>
        <w:t xml:space="preserve">4. Análise e visualização: </w:t>
      </w:r>
      <w:r>
        <w:rPr>
          <w:sz w:val="24"/>
          <w:szCs w:val="24"/>
        </w:rPr>
        <w:t xml:space="preserve">Um dashboard interativo construído em Power BI (ou ferramenta equivalente) apresenta os KPIs com filtros por período, cidade, gênero musical e tipo de estabelecimento. O dashboard possui três visões: panorama geral (taxa de conversão e tendência), análise de gargalos (motivos de rejeição e tempo de seleção) e performance por segmento (comparativo entre gêneros, bairros e faixas de cachê).</w:t>
      </w:r>
    </w:p>
    <w:p>
      <w:pPr>
        <w:spacing w:after="120"/>
      </w:pPr>
      <w:r>
        <w:rPr>
          <w:b/>
          <w:bCs/>
          <w:sz w:val="24"/>
          <w:szCs w:val="24"/>
        </w:rPr>
        <w:t xml:space="preserve">5. Uso na decisão: </w:t>
      </w:r>
      <w:r>
        <w:rPr>
          <w:sz w:val="24"/>
          <w:szCs w:val="24"/>
        </w:rPr>
        <w:t xml:space="preserve">O gestor de produto consulta o dashboard semanalmente para identificar ações prioritárias. Por exemplo: se a análise revelar que 45% das rejeições são por cachê incompatível, a equipe pode implementar uma faixa de cachê sugerida baseada no mercado local. Se vagas de sertanejo convertem 70% enquanto rock converte 25%, pode-se priorizar o onboarding de artistas de rock na região.</w:t>
      </w:r>
    </w:p>
    <w:p>
      <w:pPr>
        <w:pStyle w:val="Heading2"/>
      </w:pPr>
      <w:r>
        <w:t xml:space="preserve">4.3 Ferramentas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b/>
                <w:bCs/>
                <w:color w:val="FFFFFF"/>
                <w:sz w:val="22"/>
                <w:szCs w:val="22"/>
              </w:rPr>
              <w:t xml:space="preserve">Etapa</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b/>
                <w:bCs/>
                <w:color w:val="FFFFFF"/>
                <w:sz w:val="22"/>
                <w:szCs w:val="22"/>
              </w:rPr>
              <w:t xml:space="preserve">Ferramenta</w:t>
            </w:r>
          </w:p>
        </w:tc>
        <w:tc>
          <w:tcPr>
            <w:tcW w:type="dxa" w:w="372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b/>
                <w:bCs/>
                <w:color w:val="FFFFFF"/>
                <w:sz w:val="22"/>
                <w:szCs w:val="22"/>
              </w:rPr>
              <w:t xml:space="preserve">Justificativa</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Banco de dados operacional</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MySQL</w:t>
            </w:r>
          </w:p>
        </w:tc>
        <w:tc>
          <w:tcPr>
            <w:tcW w:type="dxa" w:w="37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Já utilizado pela plataforma (definido no ADR-3)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ETL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Scripts Node.js + Sequelize</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Coerência com a stack do backend (Express + Sequelize)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Visualização</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Power BI / Metabase</w:t>
            </w:r>
          </w:p>
        </w:tc>
        <w:tc>
          <w:tcPr>
            <w:tcW w:type="dxa" w:w="37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Dashboards interativos com filtros e drill-down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Infraestrutura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Docker Compose</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Já utilizado no projeto para orquestração de serviços</w:t>
            </w:r>
          </w:p>
        </w:tc>
      </w:tr>
    </w:tbl>
    <w:p>
      <w:r>
        <w:br w:type="page"/>
      </w:r>
    </w:p>
    <w:p>
      <w:pPr>
        <w:pStyle w:val="Heading1"/>
      </w:pPr>
      <w:r>
        <w:t xml:space="preserve">5. Cenário Fictício — Exemplo de Análise</w:t>
      </w:r>
    </w:p>
    <w:p>
      <w:pPr>
        <w:spacing w:after="120"/>
      </w:pPr>
      <w:r>
        <w:rPr>
          <w:sz w:val="24"/>
          <w:szCs w:val="24"/>
        </w:rPr>
        <w:t xml:space="preserve">Para demonstrar a aplicação prática da solução, apresentamos um cenário fictício com dados simulados referentes aos 3 primeiros meses de operação da plataforma em Campo Mourão – PR.</w:t>
      </w:r>
    </w:p>
    <w:p>
      <w:pPr>
        <w:pStyle w:val="Heading2"/>
      </w:pPr>
      <w:r>
        <w:t xml:space="preserve">5.1 Dados do Período (Jan–Mar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9"/>
        <w:gridCol w:w="2009"/>
        <w:gridCol w:w="2008"/>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b/>
                <w:bCs/>
                <w:color w:val="FFFFFF"/>
                <w:sz w:val="22"/>
                <w:szCs w:val="22"/>
              </w:rPr>
              <w:t xml:space="preserve">Métrica</w:t>
            </w:r>
          </w:p>
        </w:tc>
        <w:tc>
          <w:tcPr>
            <w:tcW w:type="dxa" w:w="2009"/>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b/>
                <w:bCs/>
                <w:color w:val="FFFFFF"/>
                <w:sz w:val="22"/>
                <w:szCs w:val="22"/>
              </w:rPr>
              <w:t xml:space="preserve">Janeiro</w:t>
            </w:r>
          </w:p>
        </w:tc>
        <w:tc>
          <w:tcPr>
            <w:tcW w:type="dxa" w:w="2009"/>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b/>
                <w:bCs/>
                <w:color w:val="FFFFFF"/>
                <w:sz w:val="22"/>
                <w:szCs w:val="22"/>
              </w:rPr>
              <w:t xml:space="preserve">Fevereiro</w:t>
            </w:r>
          </w:p>
        </w:tc>
        <w:tc>
          <w:tcPr>
            <w:tcW w:type="dxa" w:w="2008"/>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b/>
                <w:bCs/>
                <w:color w:val="FFFFFF"/>
                <w:sz w:val="22"/>
                <w:szCs w:val="22"/>
              </w:rPr>
              <w:t xml:space="preserve">Março</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Vagas publicadas</w:t>
            </w:r>
          </w:p>
        </w:tc>
        <w:tc>
          <w:tcPr>
            <w:tcW w:type="dxa" w:w="2009"/>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45</w:t>
            </w:r>
          </w:p>
        </w:tc>
        <w:tc>
          <w:tcPr>
            <w:tcW w:type="dxa" w:w="2009"/>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62</w:t>
            </w:r>
          </w:p>
        </w:tc>
        <w:tc>
          <w:tcPr>
            <w:tcW w:type="dxa" w:w="2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58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Candidaturas recebidas</w:t>
            </w:r>
          </w:p>
        </w:tc>
        <w:tc>
          <w:tcPr>
            <w:tcW w:type="dxa" w:w="2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112</w:t>
            </w:r>
          </w:p>
        </w:tc>
        <w:tc>
          <w:tcPr>
            <w:tcW w:type="dxa" w:w="2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189</w:t>
            </w:r>
          </w:p>
        </w:tc>
        <w:tc>
          <w:tcPr>
            <w:tcW w:type="dxa" w:w="2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174</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Contratos gerados</w:t>
            </w:r>
          </w:p>
        </w:tc>
        <w:tc>
          <w:tcPr>
            <w:tcW w:type="dxa" w:w="2009"/>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15</w:t>
            </w:r>
          </w:p>
        </w:tc>
        <w:tc>
          <w:tcPr>
            <w:tcW w:type="dxa" w:w="2009"/>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26</w:t>
            </w:r>
          </w:p>
        </w:tc>
        <w:tc>
          <w:tcPr>
            <w:tcW w:type="dxa" w:w="2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24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Taxa de conversão</w:t>
            </w:r>
          </w:p>
        </w:tc>
        <w:tc>
          <w:tcPr>
            <w:tcW w:type="dxa" w:w="2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33%</w:t>
            </w:r>
          </w:p>
        </w:tc>
        <w:tc>
          <w:tcPr>
            <w:tcW w:type="dxa" w:w="2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42%</w:t>
            </w:r>
          </w:p>
        </w:tc>
        <w:tc>
          <w:tcPr>
            <w:tcW w:type="dxa" w:w="2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41%</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Tempo médio de seleção</w:t>
            </w:r>
          </w:p>
        </w:tc>
        <w:tc>
          <w:tcPr>
            <w:tcW w:type="dxa" w:w="2009"/>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4,2 dias</w:t>
            </w:r>
          </w:p>
        </w:tc>
        <w:tc>
          <w:tcPr>
            <w:tcW w:type="dxa" w:w="2009"/>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3,1 dias</w:t>
            </w:r>
          </w:p>
        </w:tc>
        <w:tc>
          <w:tcPr>
            <w:tcW w:type="dxa" w:w="2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2,8 dias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Candidaturas/vaga (média)</w:t>
            </w:r>
          </w:p>
        </w:tc>
        <w:tc>
          <w:tcPr>
            <w:tcW w:type="dxa" w:w="2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2,5</w:t>
            </w:r>
          </w:p>
        </w:tc>
        <w:tc>
          <w:tcPr>
            <w:tcW w:type="dxa" w:w="2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3,0</w:t>
            </w:r>
          </w:p>
        </w:tc>
        <w:tc>
          <w:tcPr>
            <w:tcW w:type="dxa" w:w="2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3,0</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Vagas expiradas sem contrato</w:t>
            </w:r>
          </w:p>
        </w:tc>
        <w:tc>
          <w:tcPr>
            <w:tcW w:type="dxa" w:w="2009"/>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18</w:t>
            </w:r>
          </w:p>
        </w:tc>
        <w:tc>
          <w:tcPr>
            <w:tcW w:type="dxa" w:w="2009"/>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14</w:t>
            </w:r>
          </w:p>
        </w:tc>
        <w:tc>
          <w:tcPr>
            <w:tcW w:type="dxa" w:w="20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11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Nota média pós-evento</w:t>
            </w:r>
          </w:p>
        </w:tc>
        <w:tc>
          <w:tcPr>
            <w:tcW w:type="dxa" w:w="2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4,1</w:t>
            </w:r>
          </w:p>
        </w:tc>
        <w:tc>
          <w:tcPr>
            <w:tcW w:type="dxa" w:w="2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4,3</w:t>
            </w:r>
          </w:p>
        </w:tc>
        <w:tc>
          <w:tcPr>
            <w:tcW w:type="dxa" w:w="2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4,4</w:t>
            </w:r>
          </w:p>
        </w:tc>
      </w:tr>
    </w:tbl>
    <w:p>
      <w:pPr>
        <w:spacing w:before="200"/>
      </w:pPr>
    </w:p>
    <w:p>
      <w:pPr>
        <w:pStyle w:val="Heading2"/>
      </w:pPr>
      <w:r>
        <w:t xml:space="preserve">5.2 Análise de Rejeições (Acumulado)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c>
          <w:tcPr>
            <w:tcW w:type="dxa" w:w="4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b/>
                <w:bCs/>
                <w:color w:val="FFFFFF"/>
                <w:sz w:val="22"/>
                <w:szCs w:val="22"/>
              </w:rPr>
              <w:t xml:space="preserve">Motivo da Rejeição</w:t>
            </w:r>
          </w:p>
        </w:tc>
        <w:tc>
          <w:tcPr>
            <w:tcW w:type="dxa" w:w="2513"/>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b/>
                <w:bCs/>
                <w:color w:val="FFFFFF"/>
                <w:sz w:val="22"/>
                <w:szCs w:val="22"/>
              </w:rPr>
              <w:t xml:space="preserve">Quantidade</w:t>
            </w:r>
          </w:p>
        </w:tc>
        <w:tc>
          <w:tcPr>
            <w:tcW w:type="dxa" w:w="2513"/>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b/>
                <w:bCs/>
                <w:color w:val="FFFFFF"/>
                <w:sz w:val="22"/>
                <w:szCs w:val="22"/>
              </w:rPr>
              <w:t xml:space="preserve">Percentual</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Cachê incompatível</w:t>
            </w:r>
          </w:p>
        </w:tc>
        <w:tc>
          <w:tcPr>
            <w:tcW w:type="dxa" w:w="2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87</w:t>
            </w:r>
          </w:p>
        </w:tc>
        <w:tc>
          <w:tcPr>
            <w:tcW w:type="dxa" w:w="2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42%</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Gênero musical não alinhado</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51</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25%</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Sem resposta do estabelecimento (expirou)</w:t>
            </w:r>
          </w:p>
        </w:tc>
        <w:tc>
          <w:tcPr>
            <w:tcW w:type="dxa" w:w="2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38</w:t>
            </w:r>
          </w:p>
        </w:tc>
        <w:tc>
          <w:tcPr>
            <w:tcW w:type="dxa" w:w="2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18%</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Horário incompatível</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19</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9%</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Outros</w:t>
            </w:r>
          </w:p>
        </w:tc>
        <w:tc>
          <w:tcPr>
            <w:tcW w:type="dxa" w:w="2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12</w:t>
            </w:r>
          </w:p>
        </w:tc>
        <w:tc>
          <w:tcPr>
            <w:tcW w:type="dxa" w:w="251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2"/>
                <w:szCs w:val="22"/>
              </w:rPr>
              <w:t xml:space="preserve">6%</w:t>
            </w:r>
          </w:p>
        </w:tc>
      </w:tr>
    </w:tbl>
    <w:p>
      <w:pPr>
        <w:spacing w:before="200"/>
      </w:pPr>
    </w:p>
    <w:p>
      <w:pPr>
        <w:pStyle w:val="Heading2"/>
      </w:pPr>
      <w:r>
        <w:t xml:space="preserve">5.3 Insights e Decisões</w:t>
      </w:r>
    </w:p>
    <w:p>
      <w:pPr>
        <w:spacing w:after="120"/>
      </w:pPr>
      <w:r>
        <w:rPr>
          <w:b/>
          <w:bCs/>
          <w:sz w:val="24"/>
          <w:szCs w:val="24"/>
        </w:rPr>
        <w:t xml:space="preserve">Insight 1 — Cachê é o principal gargalo: </w:t>
      </w:r>
      <w:r>
        <w:rPr>
          <w:sz w:val="24"/>
          <w:szCs w:val="24"/>
        </w:rPr>
        <w:t xml:space="preserve">42% das rejeições são por cachê incompatível. Ação recomendada: implementar uma faixa de cachê sugerida na tela de criação de vaga, baseada na média praticada na cidade para o gênero e dia da semana.</w:t>
      </w:r>
    </w:p>
    <w:p>
      <w:pPr>
        <w:spacing w:after="120"/>
      </w:pPr>
      <w:r>
        <w:rPr>
          <w:b/>
          <w:bCs/>
          <w:sz w:val="24"/>
          <w:szCs w:val="24"/>
        </w:rPr>
        <w:t xml:space="preserve">Insight 2 — Melhoria na tendência: </w:t>
      </w:r>
      <w:r>
        <w:rPr>
          <w:sz w:val="24"/>
          <w:szCs w:val="24"/>
        </w:rPr>
        <w:t xml:space="preserve">A taxa de conversão subiu de 33% para 41% entre janeiro e março, indicando que o onboarding de novos artistas e a familiarização dos estabelecimentos com a plataforma estão surtindo efeito. O tempo médio de seleção caiu de 4,2 para 2,8 dias.</w:t>
      </w:r>
    </w:p>
    <w:p>
      <w:pPr>
        <w:spacing w:after="120"/>
      </w:pPr>
      <w:r>
        <w:rPr>
          <w:b/>
          <w:bCs/>
          <w:sz w:val="24"/>
          <w:szCs w:val="24"/>
        </w:rPr>
        <w:t xml:space="preserve">Insight 3 — Vagas sem resposta: </w:t>
      </w:r>
      <w:r>
        <w:rPr>
          <w:sz w:val="24"/>
          <w:szCs w:val="24"/>
        </w:rPr>
        <w:t xml:space="preserve">18% das candidaturas expiram sem resposta. Ação recomendada: implementar notificações push após 48h sem análise e expiração automática com aviso após 5 dias.</w:t>
      </w:r>
    </w:p>
    <w:p>
      <w:pPr>
        <w:spacing w:after="120"/>
      </w:pPr>
      <w:r>
        <w:rPr>
          <w:b/>
          <w:bCs/>
          <w:sz w:val="24"/>
          <w:szCs w:val="24"/>
        </w:rPr>
        <w:t xml:space="preserve">Insight 4 — Qualidade dos matches: </w:t>
      </w:r>
      <w:r>
        <w:rPr>
          <w:sz w:val="24"/>
          <w:szCs w:val="24"/>
        </w:rPr>
        <w:t xml:space="preserve">A nota média pós-evento é alta (4,4 em março), indicando que quando o match acontece, a experiência é positiva. O problema está no funil de conversão, não na qualidade do serviço.</w:t>
      </w:r>
    </w:p>
    <w:p>
      <w:pPr>
        <w:spacing w:before="400"/>
      </w:pPr>
    </w:p>
    <w:p>
      <w:pPr>
        <w:pStyle w:val="Heading2"/>
      </w:pPr>
      <w:r>
        <w:t xml:space="preserve">Checklist de Validação</w:t>
      </w:r>
    </w:p>
    <w:p>
      <w:pPr>
        <w:pStyle w:val="ListParagraph"/>
        <w:numPr>
          <w:ilvl w:val="0"/>
          <w:numId w:val="2"/>
        </w:numPr>
      </w:pPr>
      <w:r>
        <w:rPr>
          <w:sz w:val="24"/>
          <w:szCs w:val="24"/>
        </w:rPr>
        <w:t xml:space="preserve">O problema está claro e conectado a um objetivo estratégico (aumentar conversão de 38% para 60%)</w:t>
      </w:r>
    </w:p>
    <w:p>
      <w:pPr>
        <w:pStyle w:val="ListParagraph"/>
        <w:numPr>
          <w:ilvl w:val="0"/>
          <w:numId w:val="2"/>
        </w:numPr>
      </w:pPr>
      <w:r>
        <w:rPr>
          <w:sz w:val="24"/>
          <w:szCs w:val="24"/>
        </w:rPr>
        <w:t xml:space="preserve">Os dados (candidaturas, contratos, avaliações) fazem sentido para analisar o problema</w:t>
      </w:r>
    </w:p>
    <w:p>
      <w:pPr>
        <w:pStyle w:val="ListParagraph"/>
        <w:numPr>
          <w:ilvl w:val="0"/>
          <w:numId w:val="2"/>
        </w:numPr>
      </w:pPr>
      <w:r>
        <w:rPr>
          <w:sz w:val="24"/>
          <w:szCs w:val="24"/>
        </w:rPr>
        <w:t xml:space="preserve">Os KPIs (taxa de conversão, tempo de seleção, rejeições) ajudam diretamente na tomada de decisão</w:t>
      </w:r>
    </w:p>
    <w:p>
      <w:pPr>
        <w:pStyle w:val="ListParagraph"/>
        <w:numPr>
          <w:ilvl w:val="0"/>
          <w:numId w:val="2"/>
        </w:numPr>
      </w:pPr>
      <w:r>
        <w:rPr>
          <w:sz w:val="24"/>
          <w:szCs w:val="24"/>
        </w:rPr>
        <w:t xml:space="preserve">A solução (ETL + dashboard) está lógica, conectada ao problema e utiliza a stack existente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527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2026-04-06T17:08:33.711Z</dcterms:created>
  <dcterms:modified xsi:type="dcterms:W3CDTF">2026-04-06T17:08:33.712Z</dcterms:modified>
</cp:coreProperties>
</file>

<file path=docProps/custom.xml><?xml version="1.0" encoding="utf-8"?>
<Properties xmlns="http://schemas.openxmlformats.org/officeDocument/2006/custom-properties" xmlns:vt="http://schemas.openxmlformats.org/officeDocument/2006/docPropsVTypes"/>
</file>