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65D"/>
          <w:sz w:val="72"/>
          <w:szCs w:val="72"/>
        </w:rPr>
        <w:t xml:space="preserve">PrecisionPOP</w:t>
      </w:r>
    </w:p>
    <w:p>
      <w:pPr>
        <w:spacing w:before="200"/>
        <w:jc w:val="center"/>
      </w:pPr>
      <w:r>
        <w:rPr>
          <w:rFonts w:ascii="Arial" w:cs="Arial" w:eastAsia="Arial" w:hAnsi="Arial"/>
          <w:color w:val="1B365D"/>
          <w:sz w:val="48"/>
          <w:szCs w:val="48"/>
        </w:rPr>
        <w:t xml:space="preserve">Product Walkthrough</w:t>
      </w:r>
    </w:p>
    <w:p>
      <w:pPr>
        <w:spacing w:before="600"/>
      </w:pPr>
    </w:p>
    <w:p>
      <w:pPr>
        <w:jc w:val="center"/>
      </w:pPr>
      <w:r>
        <w:rPr>
          <w:rFonts w:ascii="Arial" w:cs="Arial" w:eastAsia="Arial" w:hAnsi="Arial"/>
          <w:i/>
          <w:iCs/>
          <w:color w:val="666666"/>
          <w:sz w:val="28"/>
          <w:szCs w:val="28"/>
        </w:rPr>
        <w:t xml:space="preserve">UX Evaluation Guide for v2 Redesign Planning</w:t>
      </w:r>
    </w:p>
    <w:p>
      <w:pPr>
        <w:spacing w:before="1200"/>
      </w:pPr>
    </w:p>
    <w:p>
      <w:pPr>
        <w:jc w:val="center"/>
      </w:pPr>
      <w:r>
        <w:rPr>
          <w:rFonts w:ascii="Arial" w:cs="Arial" w:eastAsia="Arial" w:hAnsi="Arial"/>
          <w:sz w:val="24"/>
          <w:szCs w:val="24"/>
        </w:rPr>
        <w:t xml:space="preserve">Test Account: Good 2 Go Store #119</w:t>
      </w:r>
    </w:p>
    <w:p>
      <w:pPr>
        <w:jc w:val="center"/>
      </w:pPr>
      <w:r>
        <w:rPr>
          <w:rFonts w:ascii="Arial" w:cs="Arial" w:eastAsia="Arial" w:hAnsi="Arial"/>
          <w:sz w:val="24"/>
          <w:szCs w:val="24"/>
        </w:rPr>
        <w:t xml:space="preserve">Idaho Falls, ID</w:t>
      </w:r>
    </w:p>
    <w:p>
      <w:pPr>
        <w:spacing w:before="600"/>
      </w:pPr>
    </w:p>
    <w:p>
      <w:pPr>
        <w:jc w:val="center"/>
      </w:pPr>
      <w:r>
        <w:rPr>
          <w:rFonts w:ascii="Arial" w:cs="Arial" w:eastAsia="Arial" w:hAnsi="Arial"/>
          <w:color w:val="666666"/>
          <w:sz w:val="22"/>
          <w:szCs w:val="22"/>
        </w:rPr>
        <w:t xml:space="preserve">December 2024</w:t>
      </w:r>
    </w:p>
    <w:p>
      <w:r>
        <w:br w:type="page"/>
      </w:r>
    </w:p>
    <w:p>
      <w:pPr>
        <w:pStyle w:val="Heading1"/>
        <w:spacing w:before="400" w:after="200"/>
      </w:pPr>
      <w:r>
        <w:rPr>
          <w:rFonts w:ascii="Arial" w:cs="Arial" w:eastAsia="Arial" w:hAnsi="Arial"/>
          <w:b/>
          <w:bCs/>
          <w:color w:val="1B365D"/>
          <w:sz w:val="32"/>
          <w:szCs w:val="32"/>
        </w:rPr>
        <w:t xml:space="preserve">1. Introduction</w:t>
      </w:r>
    </w:p>
    <w:p>
      <w:pPr>
        <w:spacing w:before="100" w:after="100"/>
      </w:pPr>
      <w:r>
        <w:rPr>
          <w:rFonts w:ascii="Arial" w:cs="Arial" w:eastAsia="Arial" w:hAnsi="Arial"/>
          <w:sz w:val="22"/>
          <w:szCs w:val="22"/>
        </w:rPr>
        <w:t xml:space="preserve">This document provides a guided walkthrough of the PrecisionPOP platform from the perspective of a store manager at Good 2 Go Store #119 in Idaho Falls, Idaho. The walkthrough is designed to evaluate the current user experience and identify opportunities for improvement in the v2 redesign.</w:t>
      </w:r>
    </w:p>
    <w:p>
      <w:pPr>
        <w:spacing w:before="100" w:after="100"/>
      </w:pPr>
      <w:r>
        <w:rPr>
          <w:rFonts w:ascii="Arial" w:cs="Arial" w:eastAsia="Arial" w:hAnsi="Arial"/>
          <w:sz w:val="22"/>
          <w:szCs w:val="22"/>
        </w:rPr>
        <w:t xml:space="preserve">Each section explores a different area of the platform, with evaluation questions highlighted in red italics to guide the UX assessment process.</w:t>
      </w:r>
    </w:p>
    <w:p>
      <w:pPr>
        <w:pStyle w:val="Heading2"/>
        <w:spacing w:before="300" w:after="150"/>
      </w:pPr>
      <w:r>
        <w:rPr>
          <w:rFonts w:ascii="Arial" w:cs="Arial" w:eastAsia="Arial" w:hAnsi="Arial"/>
          <w:b/>
          <w:bCs/>
          <w:color w:val="1B365D"/>
          <w:sz w:val="26"/>
          <w:szCs w:val="26"/>
        </w:rPr>
        <w:t xml:space="preserve">Test Account Details</w:t>
      </w:r>
    </w:p>
    <w:p>
      <w:pPr>
        <w:spacing w:before="100" w:after="100"/>
      </w:pPr>
      <w:r>
        <w:rPr>
          <w:rFonts w:ascii="Arial" w:cs="Arial" w:eastAsia="Arial" w:hAnsi="Arial"/>
          <w:sz w:val="22"/>
          <w:szCs w:val="22"/>
        </w:rPr>
        <w:t xml:space="preserve">Store: Good 2 Go #119</w:t>
      </w:r>
    </w:p>
    <w:p>
      <w:pPr>
        <w:spacing w:before="100" w:after="100"/>
      </w:pPr>
      <w:r>
        <w:rPr>
          <w:rFonts w:ascii="Arial" w:cs="Arial" w:eastAsia="Arial" w:hAnsi="Arial"/>
          <w:sz w:val="22"/>
          <w:szCs w:val="22"/>
        </w:rPr>
        <w:t xml:space="preserve">Location: 250 S 45th East, Idaho Falls, ID 83401</w:t>
      </w:r>
    </w:p>
    <w:p>
      <w:pPr>
        <w:spacing w:before="100" w:after="100"/>
      </w:pPr>
      <w:r>
        <w:rPr>
          <w:rFonts w:ascii="Arial" w:cs="Arial" w:eastAsia="Arial" w:hAnsi="Arial"/>
          <w:sz w:val="22"/>
          <w:szCs w:val="22"/>
        </w:rPr>
        <w:t xml:space="preserve">Phone: (208)-535-5931</w:t>
      </w:r>
    </w:p>
    <w:p>
      <w:r>
        <w:br w:type="page"/>
      </w:r>
    </w:p>
    <w:p>
      <w:pPr>
        <w:pStyle w:val="Heading1"/>
        <w:spacing w:before="400" w:after="200"/>
      </w:pPr>
      <w:r>
        <w:rPr>
          <w:rFonts w:ascii="Arial" w:cs="Arial" w:eastAsia="Arial" w:hAnsi="Arial"/>
          <w:b/>
          <w:bCs/>
          <w:color w:val="1B365D"/>
          <w:sz w:val="32"/>
          <w:szCs w:val="32"/>
        </w:rPr>
        <w:t xml:space="preserve">2. First Impressions: The Store Dashboard</w:t>
      </w:r>
    </w:p>
    <w:p>
      <w:pPr>
        <w:spacing w:before="100" w:after="100"/>
      </w:pPr>
      <w:r>
        <w:rPr>
          <w:rFonts w:ascii="Arial" w:cs="Arial" w:eastAsia="Arial" w:hAnsi="Arial"/>
          <w:sz w:val="22"/>
          <w:szCs w:val="22"/>
        </w:rPr>
        <w:t xml:space="preserve">Upon logging in, users land on the Store Profile page with the Exterior tab active. This page establishes the store's identity within the system and provides access to key information panels.</w:t>
      </w:r>
    </w:p>
    <w:p>
      <w:pPr>
        <w:spacing w:before="200" w:after="100"/>
        <w:jc w:val="center"/>
      </w:pPr>
      <w:r>
        <w:drawing>
          <wp:inline distT="0" distB="0" distL="0" distR="0">
            <wp:extent cx="5238750" cy="3810000"/>
            <wp:effectExtent t="0" r="0" b="0" l="0"/>
            <wp:docPr id="1" name="Dashboard - Exterior Tab showing store attributes and Kits panel" descr="Dashboard - Exterior Tab showing store attributes and Kits panel" title="Dashboard - Exterior Tab showing store attributes and Kit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Dashboard - Exterior Tab showing store attributes and Kits panel</w:t>
      </w:r>
    </w:p>
    <w:p>
      <w:pPr>
        <w:pStyle w:val="Heading2"/>
        <w:spacing w:before="300" w:after="150"/>
      </w:pPr>
      <w:r>
        <w:rPr>
          <w:rFonts w:ascii="Arial" w:cs="Arial" w:eastAsia="Arial" w:hAnsi="Arial"/>
          <w:b/>
          <w:bCs/>
          <w:color w:val="1B365D"/>
          <w:sz w:val="26"/>
          <w:szCs w:val="26"/>
        </w:rPr>
        <w:t xml:space="preserve">What We See</w:t>
      </w:r>
    </w:p>
    <w:p>
      <w:pPr>
        <w:spacing w:before="100" w:after="100"/>
      </w:pPr>
      <w:r>
        <w:rPr>
          <w:rFonts w:ascii="Arial" w:cs="Arial" w:eastAsia="Arial" w:hAnsi="Arial"/>
          <w:sz w:val="22"/>
          <w:szCs w:val="22"/>
        </w:rPr>
        <w:t xml:space="preserve">The dashboard displays the store name, number (#119), address, and phone number. A Good 2 Go logo appears in the right panel. The Kits &amp; Inventory sidebar shows 25 promotional kits with color-coded status badges.</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Does the layout effectively communicate the store's identity?</w:t>
      </w:r>
    </w:p>
    <w:p>
      <w:pPr>
        <w:spacing w:before="100" w:after="100"/>
        <w:ind w:left="360"/>
      </w:pPr>
      <w:r>
        <w:rPr>
          <w:rFonts w:ascii="Arial" w:cs="Arial" w:eastAsia="Arial" w:hAnsi="Arial"/>
          <w:i/>
          <w:iCs/>
          <w:color w:val="C41E3A"/>
          <w:sz w:val="22"/>
          <w:szCs w:val="22"/>
        </w:rPr>
        <w:t xml:space="preserve">• Is the Kits &amp; Inventory sidebar discoverable and scannable?</w:t>
      </w:r>
    </w:p>
    <w:p>
      <w:pPr>
        <w:spacing w:before="100" w:after="100"/>
        <w:ind w:left="360"/>
      </w:pPr>
      <w:r>
        <w:rPr>
          <w:rFonts w:ascii="Arial" w:cs="Arial" w:eastAsia="Arial" w:hAnsi="Arial"/>
          <w:i/>
          <w:iCs/>
          <w:color w:val="C41E3A"/>
          <w:sz w:val="22"/>
          <w:szCs w:val="22"/>
        </w:rPr>
        <w:t xml:space="preserve">• What actions might a store manager want to take from this view?</w:t>
      </w:r>
    </w:p>
    <w:p>
      <w:r>
        <w:br w:type="page"/>
      </w:r>
    </w:p>
    <w:p>
      <w:pPr>
        <w:pStyle w:val="Heading1"/>
        <w:spacing w:before="400" w:after="200"/>
      </w:pPr>
      <w:r>
        <w:rPr>
          <w:rFonts w:ascii="Arial" w:cs="Arial" w:eastAsia="Arial" w:hAnsi="Arial"/>
          <w:b/>
          <w:bCs/>
          <w:color w:val="1B365D"/>
          <w:sz w:val="32"/>
          <w:szCs w:val="32"/>
        </w:rPr>
        <w:t xml:space="preserve">3. Understanding Your Store: The Interior Tab</w:t>
      </w:r>
    </w:p>
    <w:p>
      <w:pPr>
        <w:spacing w:before="100" w:after="100"/>
      </w:pPr>
      <w:r>
        <w:rPr>
          <w:rFonts w:ascii="Arial" w:cs="Arial" w:eastAsia="Arial" w:hAnsi="Arial"/>
          <w:sz w:val="22"/>
          <w:szCs w:val="22"/>
        </w:rPr>
        <w:t xml:space="preserve">Clicking the Interior tab reveals the store survey system—over 50 questions capturing physical store attributes that drive promotional planning decisions.</w:t>
      </w:r>
    </w:p>
    <w:p>
      <w:pPr>
        <w:spacing w:before="200" w:after="100"/>
        <w:jc w:val="center"/>
      </w:pPr>
      <w:r>
        <w:drawing>
          <wp:inline distT="0" distB="0" distL="0" distR="0">
            <wp:extent cx="5238750" cy="3810000"/>
            <wp:effectExtent t="0" r="0" b="0" l="0"/>
            <wp:docPr id="1" name="Dashboard - Interior Tab showing 50+ survey questions" descr="Dashboard - Interior Tab showing 50+ survey questions" title="Dashboard - Interior Tab showing 50+ survey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Dashboard - Interior Tab showing 50+ survey questions</w:t>
      </w:r>
    </w:p>
    <w:p>
      <w:pPr>
        <w:pStyle w:val="Heading2"/>
        <w:spacing w:before="300" w:after="150"/>
      </w:pPr>
      <w:r>
        <w:rPr>
          <w:rFonts w:ascii="Arial" w:cs="Arial" w:eastAsia="Arial" w:hAnsi="Arial"/>
          <w:b/>
          <w:bCs/>
          <w:color w:val="1B365D"/>
          <w:sz w:val="26"/>
          <w:szCs w:val="26"/>
        </w:rPr>
        <w:t xml:space="preserve">Survey Categories</w:t>
      </w:r>
    </w:p>
    <w:p>
      <w:pPr>
        <w:spacing w:before="100" w:after="100"/>
      </w:pPr>
      <w:r>
        <w:rPr>
          <w:rFonts w:ascii="Arial" w:cs="Arial" w:eastAsia="Arial" w:hAnsi="Arial"/>
          <w:sz w:val="22"/>
          <w:szCs w:val="22"/>
        </w:rPr>
        <w:t xml:space="preserve">Questions cover: Store type and environment, Equipment presence (coolers, dispensers, ATMs), Service offerings (car wash, food service), Display capabilities and traffic patterns.</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Is the survey format approachable or overwhelming?</w:t>
      </w:r>
    </w:p>
    <w:p>
      <w:pPr>
        <w:spacing w:before="100" w:after="100"/>
        <w:ind w:left="360"/>
      </w:pPr>
      <w:r>
        <w:rPr>
          <w:rFonts w:ascii="Arial" w:cs="Arial" w:eastAsia="Arial" w:hAnsi="Arial"/>
          <w:i/>
          <w:iCs/>
          <w:color w:val="C41E3A"/>
          <w:sz w:val="22"/>
          <w:szCs w:val="22"/>
        </w:rPr>
        <w:t xml:space="preserve">• How might users understand the purpose of each question?</w:t>
      </w:r>
    </w:p>
    <w:p>
      <w:pPr>
        <w:spacing w:before="100" w:after="100"/>
        <w:ind w:left="360"/>
      </w:pPr>
      <w:r>
        <w:rPr>
          <w:rFonts w:ascii="Arial" w:cs="Arial" w:eastAsia="Arial" w:hAnsi="Arial"/>
          <w:i/>
          <w:iCs/>
          <w:color w:val="C41E3A"/>
          <w:sz w:val="22"/>
          <w:szCs w:val="22"/>
        </w:rPr>
        <w:t xml:space="preserve">• What feedback mechanisms exist for incorrect or outdated data?</w:t>
      </w:r>
    </w:p>
    <w:p>
      <w:r>
        <w:br w:type="page"/>
      </w:r>
    </w:p>
    <w:p>
      <w:pPr>
        <w:pStyle w:val="Heading1"/>
        <w:spacing w:before="400" w:after="200"/>
      </w:pPr>
      <w:r>
        <w:rPr>
          <w:rFonts w:ascii="Arial" w:cs="Arial" w:eastAsia="Arial" w:hAnsi="Arial"/>
          <w:b/>
          <w:bCs/>
          <w:color w:val="1B365D"/>
          <w:sz w:val="32"/>
          <w:szCs w:val="32"/>
        </w:rPr>
        <w:t xml:space="preserve">4. Tracking Changes: The Activity Log</w:t>
      </w:r>
    </w:p>
    <w:p>
      <w:pPr>
        <w:spacing w:before="100" w:after="100"/>
      </w:pPr>
      <w:r>
        <w:rPr>
          <w:rFonts w:ascii="Arial" w:cs="Arial" w:eastAsia="Arial" w:hAnsi="Arial"/>
          <w:sz w:val="22"/>
          <w:szCs w:val="22"/>
        </w:rPr>
        <w:t xml:space="preserve">The Activity tab provides a chronological record of all changes made to the store profile and kit statuses.</w:t>
      </w:r>
    </w:p>
    <w:p>
      <w:pPr>
        <w:spacing w:before="200" w:after="100"/>
        <w:jc w:val="center"/>
      </w:pPr>
      <w:r>
        <w:drawing>
          <wp:inline distT="0" distB="0" distL="0" distR="0">
            <wp:extent cx="5238750" cy="3810000"/>
            <wp:effectExtent t="0" r="0" b="0" l="0"/>
            <wp:docPr id="1" name="Activity view showing recent changes with Kits sidebar" descr="Activity view showing recent changes with Kits sidebar" title="Activity view showing recent changes with Kits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Activity view showing recent changes with Kits sidebar</w:t>
      </w:r>
    </w:p>
    <w:p>
      <w:pPr>
        <w:pStyle w:val="Heading2"/>
        <w:spacing w:before="300" w:after="150"/>
      </w:pPr>
      <w:r>
        <w:rPr>
          <w:rFonts w:ascii="Arial" w:cs="Arial" w:eastAsia="Arial" w:hAnsi="Arial"/>
          <w:b/>
          <w:bCs/>
          <w:color w:val="1B365D"/>
          <w:sz w:val="26"/>
          <w:szCs w:val="26"/>
        </w:rPr>
        <w:t xml:space="preserve">Activity Types Tracked</w:t>
      </w:r>
    </w:p>
    <w:p>
      <w:pPr>
        <w:spacing w:before="100" w:after="100"/>
      </w:pPr>
      <w:r>
        <w:rPr>
          <w:rFonts w:ascii="Arial" w:cs="Arial" w:eastAsia="Arial" w:hAnsi="Arial"/>
          <w:sz w:val="22"/>
          <w:szCs w:val="22"/>
        </w:rPr>
        <w:t xml:space="preserve">The system logs: Kit status updates (received, installed, review requested), Store profile modifications, User actions and timestamps.</w:t>
      </w:r>
    </w:p>
    <w:p>
      <w:pPr>
        <w:spacing w:before="200" w:after="100"/>
        <w:jc w:val="center"/>
      </w:pPr>
      <w:r>
        <w:drawing>
          <wp:inline distT="0" distB="0" distL="0" distR="0">
            <wp:extent cx="5238750" cy="3810000"/>
            <wp:effectExtent t="0" r="0" b="0" l="0"/>
            <wp:docPr id="1" name="Full activity log with pagination (100 entries across 5 pages)" descr="Full activity log with pagination (100 entries across 5 pages)" title="Full activity log with pagination (100 entries across 5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Full activity log with pagination (100 entries across 5 pages)</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Is the activity log useful for accountability and troubleshooting?</w:t>
      </w:r>
    </w:p>
    <w:p>
      <w:pPr>
        <w:spacing w:before="100" w:after="100"/>
        <w:ind w:left="360"/>
      </w:pPr>
      <w:r>
        <w:rPr>
          <w:rFonts w:ascii="Arial" w:cs="Arial" w:eastAsia="Arial" w:hAnsi="Arial"/>
          <w:i/>
          <w:iCs/>
          <w:color w:val="C41E3A"/>
          <w:sz w:val="22"/>
          <w:szCs w:val="22"/>
        </w:rPr>
        <w:t xml:space="preserve">• Can users easily filter or search for specific events?</w:t>
      </w:r>
    </w:p>
    <w:p>
      <w:pPr>
        <w:spacing w:before="100" w:after="100"/>
        <w:ind w:left="360"/>
      </w:pPr>
      <w:r>
        <w:rPr>
          <w:rFonts w:ascii="Arial" w:cs="Arial" w:eastAsia="Arial" w:hAnsi="Arial"/>
          <w:i/>
          <w:iCs/>
          <w:color w:val="C41E3A"/>
          <w:sz w:val="22"/>
          <w:szCs w:val="22"/>
        </w:rPr>
        <w:t xml:space="preserve">• Does pagination support efficient review of historical data?</w:t>
      </w:r>
    </w:p>
    <w:p>
      <w:r>
        <w:br w:type="page"/>
      </w:r>
    </w:p>
    <w:p>
      <w:pPr>
        <w:pStyle w:val="Heading1"/>
        <w:spacing w:before="400" w:after="200"/>
      </w:pPr>
      <w:r>
        <w:rPr>
          <w:rFonts w:ascii="Arial" w:cs="Arial" w:eastAsia="Arial" w:hAnsi="Arial"/>
          <w:b/>
          <w:bCs/>
          <w:color w:val="1B365D"/>
          <w:sz w:val="32"/>
          <w:szCs w:val="32"/>
        </w:rPr>
        <w:t xml:space="preserve">5. Managing Promotional Kits: Inventory Deep Dive</w:t>
      </w:r>
    </w:p>
    <w:p>
      <w:pPr>
        <w:spacing w:before="100" w:after="100"/>
      </w:pPr>
      <w:r>
        <w:rPr>
          <w:rFonts w:ascii="Arial" w:cs="Arial" w:eastAsia="Arial" w:hAnsi="Arial"/>
          <w:sz w:val="22"/>
          <w:szCs w:val="22"/>
        </w:rPr>
        <w:t xml:space="preserve">The Kits &amp; Inventory system is the heart of PrecisionPOP, allowing store managers to track promotional materials from production through installation.</w:t>
      </w:r>
    </w:p>
    <w:p>
      <w:pPr>
        <w:pStyle w:val="Heading2"/>
        <w:spacing w:before="300" w:after="150"/>
      </w:pPr>
      <w:r>
        <w:rPr>
          <w:rFonts w:ascii="Arial" w:cs="Arial" w:eastAsia="Arial" w:hAnsi="Arial"/>
          <w:b/>
          <w:bCs/>
          <w:color w:val="1B365D"/>
          <w:sz w:val="26"/>
          <w:szCs w:val="26"/>
        </w:rPr>
        <w:t xml:space="preserve">Kit List View</w:t>
      </w:r>
    </w:p>
    <w:p>
      <w:pPr>
        <w:spacing w:before="200" w:after="100"/>
        <w:jc w:val="center"/>
      </w:pPr>
      <w:r>
        <w:drawing>
          <wp:inline distT="0" distB="0" distL="0" distR="0">
            <wp:extent cx="5238750" cy="3810000"/>
            <wp:effectExtent t="0" r="0" b="0" l="0"/>
            <wp:docPr id="1" name="Kits &amp; Inventory - Single item kit view" descr="Kits &amp; Inventory - Single item kit view" title="Kits &amp; Inventory - Single item ki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Kits &amp; Inventory - Single item kit view</w:t>
      </w:r>
    </w:p>
    <w:p>
      <w:pPr>
        <w:spacing w:before="100" w:after="100"/>
      </w:pPr>
      <w:r>
        <w:rPr>
          <w:rFonts w:ascii="Arial" w:cs="Arial" w:eastAsia="Arial" w:hAnsi="Arial"/>
          <w:sz w:val="22"/>
          <w:szCs w:val="22"/>
        </w:rPr>
        <w:t xml:space="preserve">Each kit entry shows: Kit name, Store number, Production dates, Status badge (Review, Installed, Received, Pending).</w:t>
      </w:r>
    </w:p>
    <w:p>
      <w:pPr>
        <w:pStyle w:val="Heading2"/>
        <w:spacing w:before="300" w:after="150"/>
      </w:pPr>
      <w:r>
        <w:rPr>
          <w:rFonts w:ascii="Arial" w:cs="Arial" w:eastAsia="Arial" w:hAnsi="Arial"/>
          <w:b/>
          <w:bCs/>
          <w:color w:val="1B365D"/>
          <w:sz w:val="26"/>
          <w:szCs w:val="26"/>
        </w:rPr>
        <w:t xml:space="preserve">Large Kit Management</w:t>
      </w:r>
    </w:p>
    <w:p>
      <w:pPr>
        <w:spacing w:before="200" w:after="100"/>
        <w:jc w:val="center"/>
      </w:pPr>
      <w:r>
        <w:drawing>
          <wp:inline distT="0" distB="0" distL="0" distR="0">
            <wp:extent cx="5238750" cy="3810000"/>
            <wp:effectExtent t="0" r="0" b="0" l="0"/>
            <wp:docPr id="1" name="Kits &amp; Inventory - Large list view (61 items)" descr="Kits &amp; Inventory - Large list view (61 items)" title="Kits &amp; Inventory - Large list view (61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Kits &amp; Inventory - Large list view (61 items)</w:t>
      </w:r>
    </w:p>
    <w:p>
      <w:pPr>
        <w:spacing w:before="100" w:after="100"/>
      </w:pPr>
      <w:r>
        <w:rPr>
          <w:rFonts w:ascii="Arial" w:cs="Arial" w:eastAsia="Arial" w:hAnsi="Arial"/>
          <w:sz w:val="22"/>
          <w:szCs w:val="22"/>
        </w:rPr>
        <w:t xml:space="preserve">Larger kits like 'Rewards2Go 2025 (61 items)' present unique challenges. The interface must help users navigate extensive inventories while maintaining context.</w:t>
      </w:r>
    </w:p>
    <w:p>
      <w:pPr>
        <w:pStyle w:val="Heading2"/>
        <w:spacing w:before="300" w:after="150"/>
      </w:pPr>
      <w:r>
        <w:rPr>
          <w:rFonts w:ascii="Arial" w:cs="Arial" w:eastAsia="Arial" w:hAnsi="Arial"/>
          <w:b/>
          <w:bCs/>
          <w:color w:val="1B365D"/>
          <w:sz w:val="26"/>
          <w:szCs w:val="26"/>
        </w:rPr>
        <w:t xml:space="preserve">Image Preview Feature</w:t>
      </w:r>
    </w:p>
    <w:p>
      <w:pPr>
        <w:spacing w:before="200" w:after="100"/>
        <w:jc w:val="center"/>
      </w:pPr>
      <w:r>
        <w:drawing>
          <wp:inline distT="0" distB="0" distL="0" distR="0">
            <wp:extent cx="5238750" cy="3810000"/>
            <wp:effectExtent t="0" r="0" b="0" l="0"/>
            <wp:docPr id="1" name="Kits &amp; Inventory - Image preview modal" descr="Kits &amp; Inventory - Image preview modal" title="Kits &amp; Inventory - Image preview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Kits &amp; Inventory - Image preview modal</w:t>
      </w:r>
    </w:p>
    <w:p>
      <w:pPr>
        <w:spacing w:before="100" w:after="100"/>
      </w:pPr>
      <w:r>
        <w:rPr>
          <w:rFonts w:ascii="Arial" w:cs="Arial" w:eastAsia="Arial" w:hAnsi="Arial"/>
          <w:sz w:val="22"/>
          <w:szCs w:val="22"/>
        </w:rPr>
        <w:t xml:space="preserve">Clicking thumbnails opens a larger preview, helping users identify signage items visually.</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Does the kit list provide adequate filtering and sorting options?</w:t>
      </w:r>
    </w:p>
    <w:p>
      <w:pPr>
        <w:spacing w:before="100" w:after="100"/>
        <w:ind w:left="360"/>
      </w:pPr>
      <w:r>
        <w:rPr>
          <w:rFonts w:ascii="Arial" w:cs="Arial" w:eastAsia="Arial" w:hAnsi="Arial"/>
          <w:i/>
          <w:iCs/>
          <w:color w:val="C41E3A"/>
          <w:sz w:val="22"/>
          <w:szCs w:val="22"/>
        </w:rPr>
        <w:t xml:space="preserve">• How well does the interface scale from 1-item to 61-item kits?</w:t>
      </w:r>
    </w:p>
    <w:p>
      <w:pPr>
        <w:spacing w:before="100" w:after="100"/>
        <w:ind w:left="360"/>
      </w:pPr>
      <w:r>
        <w:rPr>
          <w:rFonts w:ascii="Arial" w:cs="Arial" w:eastAsia="Arial" w:hAnsi="Arial"/>
          <w:i/>
          <w:iCs/>
          <w:color w:val="C41E3A"/>
          <w:sz w:val="22"/>
          <w:szCs w:val="22"/>
        </w:rPr>
        <w:t xml:space="preserve">• Is the thumbnail preview helpful for item identification?</w:t>
      </w:r>
    </w:p>
    <w:p>
      <w:r>
        <w:br w:type="page"/>
      </w:r>
    </w:p>
    <w:p>
      <w:pPr>
        <w:pStyle w:val="Heading1"/>
        <w:spacing w:before="400" w:after="200"/>
      </w:pPr>
      <w:r>
        <w:rPr>
          <w:rFonts w:ascii="Arial" w:cs="Arial" w:eastAsia="Arial" w:hAnsi="Arial"/>
          <w:b/>
          <w:bCs/>
          <w:color w:val="1B365D"/>
          <w:sz w:val="32"/>
          <w:szCs w:val="32"/>
        </w:rPr>
        <w:t xml:space="preserve">6. Handling Issues: Kit Reorders</w:t>
      </w:r>
    </w:p>
    <w:p>
      <w:pPr>
        <w:spacing w:before="100" w:after="100"/>
      </w:pPr>
      <w:r>
        <w:rPr>
          <w:rFonts w:ascii="Arial" w:cs="Arial" w:eastAsia="Arial" w:hAnsi="Arial"/>
          <w:sz w:val="22"/>
          <w:szCs w:val="22"/>
        </w:rPr>
        <w:t xml:space="preserve">When items are missing or damaged, the Kit Reorders section provides the workflow for requesting replacements.</w:t>
      </w:r>
    </w:p>
    <w:p>
      <w:pPr>
        <w:pStyle w:val="Heading2"/>
        <w:spacing w:before="300" w:after="150"/>
      </w:pPr>
      <w:r>
        <w:rPr>
          <w:rFonts w:ascii="Arial" w:cs="Arial" w:eastAsia="Arial" w:hAnsi="Arial"/>
          <w:b/>
          <w:bCs/>
          <w:color w:val="1B365D"/>
          <w:sz w:val="26"/>
          <w:szCs w:val="26"/>
        </w:rPr>
        <w:t xml:space="preserve">Reorder History</w:t>
      </w:r>
    </w:p>
    <w:p>
      <w:pPr>
        <w:spacing w:before="200" w:after="100"/>
        <w:jc w:val="center"/>
      </w:pPr>
      <w:r>
        <w:drawing>
          <wp:inline distT="0" distB="0" distL="0" distR="0">
            <wp:extent cx="5238750" cy="3810000"/>
            <wp:effectExtent t="0" r="0" b="0" l="0"/>
            <wp:docPr id="1" name="Kit Reorders - Historical reorder list" descr="Kit Reorders - Historical reorder list" title="Kit Reorders - Historical reord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Kit Reorders - Historical reorder list</w:t>
      </w:r>
    </w:p>
    <w:p>
      <w:pPr>
        <w:spacing w:before="100" w:after="100"/>
      </w:pPr>
      <w:r>
        <w:rPr>
          <w:rFonts w:ascii="Arial" w:cs="Arial" w:eastAsia="Arial" w:hAnsi="Arial"/>
          <w:sz w:val="22"/>
          <w:szCs w:val="22"/>
        </w:rPr>
        <w:t xml:space="preserve">The reorder list shows: Order ID and kit name, Store number, Date and time of request, Details link for each reorder.</w:t>
      </w:r>
    </w:p>
    <w:p>
      <w:pPr>
        <w:pStyle w:val="Heading2"/>
        <w:spacing w:before="300" w:after="150"/>
      </w:pPr>
      <w:r>
        <w:rPr>
          <w:rFonts w:ascii="Arial" w:cs="Arial" w:eastAsia="Arial" w:hAnsi="Arial"/>
          <w:b/>
          <w:bCs/>
          <w:color w:val="1B365D"/>
          <w:sz w:val="26"/>
          <w:szCs w:val="26"/>
        </w:rPr>
        <w:t xml:space="preserve">Missing or Damaged Item Workflow</w:t>
      </w:r>
    </w:p>
    <w:p>
      <w:pPr>
        <w:spacing w:before="200" w:after="100"/>
        <w:jc w:val="center"/>
      </w:pPr>
      <w:r>
        <w:drawing>
          <wp:inline distT="0" distB="0" distL="0" distR="0">
            <wp:extent cx="5238750" cy="3810000"/>
            <wp:effectExtent t="0" r="0" b="0" l="0"/>
            <wp:docPr id="1" name="Missing or Damaged Item - Reorder form" descr="Missing or Damaged Item - Reorder form" title="Missing or Damaged Item - Reord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Missing or Damaged Item - Reorder form</w:t>
      </w:r>
    </w:p>
    <w:p>
      <w:pPr>
        <w:spacing w:before="100" w:after="100"/>
      </w:pPr>
      <w:r>
        <w:rPr>
          <w:rFonts w:ascii="Arial" w:cs="Arial" w:eastAsia="Arial" w:hAnsi="Arial"/>
          <w:sz w:val="22"/>
          <w:szCs w:val="22"/>
        </w:rPr>
        <w:t xml:space="preserve">The 'Click Here to Order' button leads to a reorder form where users can: Select quantity and reason for each item, Review artwork thumbnails, Submit the complete reorder request.</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Is the reorder process discoverable from the kit detail page?</w:t>
      </w:r>
    </w:p>
    <w:p>
      <w:pPr>
        <w:spacing w:before="100" w:after="100"/>
        <w:ind w:left="360"/>
      </w:pPr>
      <w:r>
        <w:rPr>
          <w:rFonts w:ascii="Arial" w:cs="Arial" w:eastAsia="Arial" w:hAnsi="Arial"/>
          <w:i/>
          <w:iCs/>
          <w:color w:val="C41E3A"/>
          <w:sz w:val="22"/>
          <w:szCs w:val="22"/>
        </w:rPr>
        <w:t xml:space="preserve">• Does the form capture sufficient information for fulfillment?</w:t>
      </w:r>
    </w:p>
    <w:p>
      <w:pPr>
        <w:spacing w:before="100" w:after="100"/>
        <w:ind w:left="360"/>
      </w:pPr>
      <w:r>
        <w:rPr>
          <w:rFonts w:ascii="Arial" w:cs="Arial" w:eastAsia="Arial" w:hAnsi="Arial"/>
          <w:i/>
          <w:iCs/>
          <w:color w:val="C41E3A"/>
          <w:sz w:val="22"/>
          <w:szCs w:val="22"/>
        </w:rPr>
        <w:t xml:space="preserve">• How might users track the status of their reorder requests?</w:t>
      </w:r>
    </w:p>
    <w:p>
      <w:r>
        <w:br w:type="page"/>
      </w:r>
    </w:p>
    <w:p>
      <w:pPr>
        <w:pStyle w:val="Heading1"/>
        <w:spacing w:before="400" w:after="200"/>
      </w:pPr>
      <w:r>
        <w:rPr>
          <w:rFonts w:ascii="Arial" w:cs="Arial" w:eastAsia="Arial" w:hAnsi="Arial"/>
          <w:b/>
          <w:bCs/>
          <w:color w:val="1B365D"/>
          <w:sz w:val="32"/>
          <w:szCs w:val="32"/>
        </w:rPr>
        <w:t xml:space="preserve">7. Visual Documentation: Store Photos</w:t>
      </w:r>
    </w:p>
    <w:p>
      <w:pPr>
        <w:spacing w:before="100" w:after="100"/>
      </w:pPr>
      <w:r>
        <w:rPr>
          <w:rFonts w:ascii="Arial" w:cs="Arial" w:eastAsia="Arial" w:hAnsi="Arial"/>
          <w:sz w:val="22"/>
          <w:szCs w:val="22"/>
        </w:rPr>
        <w:t xml:space="preserve">The Store Photos section allows managers to upload images documenting their store's promotional displays.</w:t>
      </w:r>
    </w:p>
    <w:p>
      <w:pPr>
        <w:spacing w:before="200" w:after="100"/>
        <w:jc w:val="center"/>
      </w:pPr>
      <w:r>
        <w:drawing>
          <wp:inline distT="0" distB="0" distL="0" distR="0">
            <wp:extent cx="5238750" cy="3810000"/>
            <wp:effectExtent t="0" r="0" b="0" l="0"/>
            <wp:docPr id="1" name="Store Photos - Upload interface" descr="Store Photos - Upload interface" title="Store Photos - Uploa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Store Photos - Upload interface</w:t>
      </w:r>
    </w:p>
    <w:p>
      <w:pPr>
        <w:pStyle w:val="Heading2"/>
        <w:spacing w:before="300" w:after="150"/>
      </w:pPr>
      <w:r>
        <w:rPr>
          <w:rFonts w:ascii="Arial" w:cs="Arial" w:eastAsia="Arial" w:hAnsi="Arial"/>
          <w:b/>
          <w:bCs/>
          <w:color w:val="1B365D"/>
          <w:sz w:val="26"/>
          <w:szCs w:val="26"/>
        </w:rPr>
        <w:t xml:space="preserve">Photo Management Features</w:t>
      </w:r>
    </w:p>
    <w:p>
      <w:pPr>
        <w:spacing w:before="100" w:after="100"/>
      </w:pPr>
      <w:r>
        <w:rPr>
          <w:rFonts w:ascii="Arial" w:cs="Arial" w:eastAsia="Arial" w:hAnsi="Arial"/>
          <w:sz w:val="22"/>
          <w:szCs w:val="22"/>
        </w:rPr>
        <w:t xml:space="preserve">The interface provides: Add new photo button, Delete selected photos, Download functionality, CSV export option. Photos are organized by name, date added, and who added them.</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What photo categories or purposes would be most valuable?</w:t>
      </w:r>
    </w:p>
    <w:p>
      <w:pPr>
        <w:spacing w:before="100" w:after="100"/>
        <w:ind w:left="360"/>
      </w:pPr>
      <w:r>
        <w:rPr>
          <w:rFonts w:ascii="Arial" w:cs="Arial" w:eastAsia="Arial" w:hAnsi="Arial"/>
          <w:i/>
          <w:iCs/>
          <w:color w:val="C41E3A"/>
          <w:sz w:val="22"/>
          <w:szCs w:val="22"/>
        </w:rPr>
        <w:t xml:space="preserve">• How might photos integrate with kit installation verification?</w:t>
      </w:r>
    </w:p>
    <w:p>
      <w:pPr>
        <w:spacing w:before="100" w:after="100"/>
        <w:ind w:left="360"/>
      </w:pPr>
      <w:r>
        <w:rPr>
          <w:rFonts w:ascii="Arial" w:cs="Arial" w:eastAsia="Arial" w:hAnsi="Arial"/>
          <w:i/>
          <w:iCs/>
          <w:color w:val="C41E3A"/>
          <w:sz w:val="22"/>
          <w:szCs w:val="22"/>
        </w:rPr>
        <w:t xml:space="preserve">• Is the current empty state providing adequate guidance?</w:t>
      </w:r>
    </w:p>
    <w:p>
      <w:r>
        <w:br w:type="page"/>
      </w:r>
    </w:p>
    <w:p>
      <w:pPr>
        <w:pStyle w:val="Heading1"/>
        <w:spacing w:before="400" w:after="200"/>
      </w:pPr>
      <w:r>
        <w:rPr>
          <w:rFonts w:ascii="Arial" w:cs="Arial" w:eastAsia="Arial" w:hAnsi="Arial"/>
          <w:b/>
          <w:bCs/>
          <w:color w:val="1B365D"/>
          <w:sz w:val="32"/>
          <w:szCs w:val="32"/>
        </w:rPr>
        <w:t xml:space="preserve">8. Getting Help: How-To Videos</w:t>
      </w:r>
    </w:p>
    <w:p>
      <w:pPr>
        <w:spacing w:before="100" w:after="100"/>
      </w:pPr>
      <w:r>
        <w:rPr>
          <w:rFonts w:ascii="Arial" w:cs="Arial" w:eastAsia="Arial" w:hAnsi="Arial"/>
          <w:sz w:val="22"/>
          <w:szCs w:val="22"/>
        </w:rPr>
        <w:t xml:space="preserve">The How To dropdown in the header provides access to tutorial videos that explain platform features.</w:t>
      </w:r>
    </w:p>
    <w:p>
      <w:pPr>
        <w:spacing w:before="200" w:after="100"/>
        <w:jc w:val="center"/>
      </w:pPr>
      <w:r>
        <w:drawing>
          <wp:inline distT="0" distB="0" distL="0" distR="0">
            <wp:extent cx="5238750" cy="3810000"/>
            <wp:effectExtent t="0" r="0" b="0" l="0"/>
            <wp:docPr id="1" name="How-To Videos page showing available training content" descr="How-To Videos page showing available training content" title="How-To Videos page showing available training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How-To Videos page showing available training content</w:t>
      </w:r>
    </w:p>
    <w:p>
      <w:pPr>
        <w:pStyle w:val="Heading2"/>
        <w:spacing w:before="300" w:after="150"/>
      </w:pPr>
      <w:r>
        <w:rPr>
          <w:rFonts w:ascii="Arial" w:cs="Arial" w:eastAsia="Arial" w:hAnsi="Arial"/>
          <w:b/>
          <w:bCs/>
          <w:color w:val="1B365D"/>
          <w:sz w:val="26"/>
          <w:szCs w:val="26"/>
        </w:rPr>
        <w:t xml:space="preserve">Available Resources</w:t>
      </w:r>
    </w:p>
    <w:p>
      <w:pPr>
        <w:spacing w:before="100" w:after="100"/>
      </w:pPr>
      <w:r>
        <w:rPr>
          <w:rFonts w:ascii="Arial" w:cs="Arial" w:eastAsia="Arial" w:hAnsi="Arial"/>
          <w:sz w:val="22"/>
          <w:szCs w:val="22"/>
        </w:rPr>
        <w:t xml:space="preserve">Current tutorials include: Kit status update walkthrough (1:37), Additional training videos. Videos are embedded directly in the platform for easy access.</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Are the video topics aligned with common user questions?</w:t>
      </w:r>
    </w:p>
    <w:p>
      <w:pPr>
        <w:spacing w:before="100" w:after="100"/>
        <w:ind w:left="360"/>
      </w:pPr>
      <w:r>
        <w:rPr>
          <w:rFonts w:ascii="Arial" w:cs="Arial" w:eastAsia="Arial" w:hAnsi="Arial"/>
          <w:i/>
          <w:iCs/>
          <w:color w:val="C41E3A"/>
          <w:sz w:val="22"/>
          <w:szCs w:val="22"/>
        </w:rPr>
        <w:t xml:space="preserve">• What additional training content would be most valuable?</w:t>
      </w:r>
    </w:p>
    <w:p>
      <w:pPr>
        <w:spacing w:before="100" w:after="100"/>
        <w:ind w:left="360"/>
      </w:pPr>
      <w:r>
        <w:rPr>
          <w:rFonts w:ascii="Arial" w:cs="Arial" w:eastAsia="Arial" w:hAnsi="Arial"/>
          <w:i/>
          <w:iCs/>
          <w:color w:val="C41E3A"/>
          <w:sz w:val="22"/>
          <w:szCs w:val="22"/>
        </w:rPr>
        <w:t xml:space="preserve">• How discoverable is the help system for new users?</w:t>
      </w:r>
    </w:p>
    <w:p>
      <w:r>
        <w:br w:type="page"/>
      </w:r>
    </w:p>
    <w:p>
      <w:pPr>
        <w:pStyle w:val="Heading1"/>
        <w:spacing w:before="400" w:after="200"/>
      </w:pPr>
      <w:r>
        <w:rPr>
          <w:rFonts w:ascii="Arial" w:cs="Arial" w:eastAsia="Arial" w:hAnsi="Arial"/>
          <w:b/>
          <w:bCs/>
          <w:color w:val="1B365D"/>
          <w:sz w:val="32"/>
          <w:szCs w:val="32"/>
        </w:rPr>
        <w:t xml:space="preserve">9. Behind the Scenes: Account &amp; Cart</w:t>
      </w:r>
    </w:p>
    <w:p>
      <w:pPr>
        <w:spacing w:before="100" w:after="100"/>
      </w:pPr>
      <w:r>
        <w:rPr>
          <w:rFonts w:ascii="Arial" w:cs="Arial" w:eastAsia="Arial" w:hAnsi="Arial"/>
          <w:sz w:val="22"/>
          <w:szCs w:val="22"/>
        </w:rPr>
        <w:t xml:space="preserve">Account settings and the promotion cart round out the platform's functionality.</w:t>
      </w:r>
    </w:p>
    <w:p>
      <w:pPr>
        <w:pStyle w:val="Heading2"/>
        <w:spacing w:before="300" w:after="150"/>
      </w:pPr>
      <w:r>
        <w:rPr>
          <w:rFonts w:ascii="Arial" w:cs="Arial" w:eastAsia="Arial" w:hAnsi="Arial"/>
          <w:b/>
          <w:bCs/>
          <w:color w:val="1B365D"/>
          <w:sz w:val="26"/>
          <w:szCs w:val="26"/>
        </w:rPr>
        <w:t xml:space="preserve">Account Profile</w:t>
      </w:r>
    </w:p>
    <w:p>
      <w:pPr>
        <w:spacing w:before="200" w:after="100"/>
        <w:jc w:val="center"/>
      </w:pPr>
      <w:r>
        <w:drawing>
          <wp:inline distT="0" distB="0" distL="0" distR="0">
            <wp:extent cx="5238750" cy="3810000"/>
            <wp:effectExtent t="0" r="0" b="0" l="0"/>
            <wp:docPr id="1" name="Account Profile with email notification subscriptions" descr="Account Profile with email notification subscriptions" title="Account Profile with email notification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Account Profile with email notification subscriptions</w:t>
      </w:r>
    </w:p>
    <w:p>
      <w:pPr>
        <w:spacing w:before="100" w:after="100"/>
      </w:pPr>
      <w:r>
        <w:rPr>
          <w:rFonts w:ascii="Arial" w:cs="Arial" w:eastAsia="Arial" w:hAnsi="Arial"/>
          <w:sz w:val="22"/>
          <w:szCs w:val="22"/>
        </w:rPr>
        <w:t xml:space="preserve">The account page shows: User details (Good2Go Store Manager Store #119), Email subscriptions for new kits and store profile updates, Role and permissions information.</w:t>
      </w:r>
    </w:p>
    <w:p>
      <w:pPr>
        <w:pStyle w:val="Heading2"/>
        <w:spacing w:before="300" w:after="150"/>
      </w:pPr>
      <w:r>
        <w:rPr>
          <w:rFonts w:ascii="Arial" w:cs="Arial" w:eastAsia="Arial" w:hAnsi="Arial"/>
          <w:b/>
          <w:bCs/>
          <w:color w:val="1B365D"/>
          <w:sz w:val="26"/>
          <w:szCs w:val="26"/>
        </w:rPr>
        <w:t xml:space="preserve">Promotion Cart</w:t>
      </w:r>
    </w:p>
    <w:p>
      <w:pPr>
        <w:spacing w:before="200" w:after="100"/>
        <w:jc w:val="center"/>
      </w:pPr>
      <w:r>
        <w:drawing>
          <wp:inline distT="0" distB="0" distL="0" distR="0">
            <wp:extent cx="5238750" cy="3810000"/>
            <wp:effectExtent t="0" r="0" b="0" l="0"/>
            <wp:docPr id="1" name="Empty Promotion Cart with CSV import option" descr="Empty Promotion Cart with CSV import option" title="Empty Promotion Cart with CSV impor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Empty Promotion Cart with CSV import option</w:t>
      </w:r>
    </w:p>
    <w:p>
      <w:pPr>
        <w:spacing w:before="100" w:after="100"/>
      </w:pPr>
      <w:r>
        <w:rPr>
          <w:rFonts w:ascii="Arial" w:cs="Arial" w:eastAsia="Arial" w:hAnsi="Arial"/>
          <w:sz w:val="22"/>
          <w:szCs w:val="22"/>
        </w:rPr>
        <w:t xml:space="preserve">The cart supports: Individual item additions, Bulk CSV import for large orders, Order review and checkout.</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Are email subscription options appropriately granular?</w:t>
      </w:r>
    </w:p>
    <w:p>
      <w:pPr>
        <w:spacing w:before="100" w:after="100"/>
        <w:ind w:left="360"/>
      </w:pPr>
      <w:r>
        <w:rPr>
          <w:rFonts w:ascii="Arial" w:cs="Arial" w:eastAsia="Arial" w:hAnsi="Arial"/>
          <w:i/>
          <w:iCs/>
          <w:color w:val="C41E3A"/>
          <w:sz w:val="22"/>
          <w:szCs w:val="22"/>
        </w:rPr>
        <w:t xml:space="preserve">• How might the cart experience be improved for bulk operations?</w:t>
      </w:r>
    </w:p>
    <w:p>
      <w:pPr>
        <w:spacing w:before="100" w:after="100"/>
        <w:ind w:left="360"/>
      </w:pPr>
      <w:r>
        <w:rPr>
          <w:rFonts w:ascii="Arial" w:cs="Arial" w:eastAsia="Arial" w:hAnsi="Arial"/>
          <w:i/>
          <w:iCs/>
          <w:color w:val="C41E3A"/>
          <w:sz w:val="22"/>
          <w:szCs w:val="22"/>
        </w:rPr>
        <w:t xml:space="preserve">• What account self-service features would users value?</w:t>
      </w:r>
    </w:p>
    <w:p>
      <w:r>
        <w:br w:type="page"/>
      </w:r>
    </w:p>
    <w:p>
      <w:pPr>
        <w:pStyle w:val="Heading1"/>
        <w:spacing w:before="400" w:after="200"/>
      </w:pPr>
      <w:r>
        <w:rPr>
          <w:rFonts w:ascii="Arial" w:cs="Arial" w:eastAsia="Arial" w:hAnsi="Arial"/>
          <w:b/>
          <w:bCs/>
          <w:color w:val="1B365D"/>
          <w:sz w:val="32"/>
          <w:szCs w:val="32"/>
        </w:rPr>
        <w:t xml:space="preserve">10. Privacy and Compliance</w:t>
      </w:r>
    </w:p>
    <w:p>
      <w:pPr>
        <w:spacing w:before="100" w:after="100"/>
      </w:pPr>
      <w:r>
        <w:rPr>
          <w:rFonts w:ascii="Arial" w:cs="Arial" w:eastAsia="Arial" w:hAnsi="Arial"/>
          <w:sz w:val="22"/>
          <w:szCs w:val="22"/>
        </w:rPr>
        <w:t xml:space="preserve">The Privacy Policy link in the footer leads to comprehensive data handling documentation.</w:t>
      </w:r>
    </w:p>
    <w:p>
      <w:pPr>
        <w:spacing w:before="200" w:after="100"/>
        <w:jc w:val="center"/>
      </w:pPr>
      <w:r>
        <w:drawing>
          <wp:inline distT="0" distB="0" distL="0" distR="0">
            <wp:extent cx="5238750" cy="3810000"/>
            <wp:effectExtent t="0" r="0" b="0" l="0"/>
            <wp:docPr id="1" name="Privacy Policy page (partial view)" descr="Privacy Policy page (partial view)" title="Privacy Policy page (parti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666666"/>
          <w:sz w:val="20"/>
          <w:szCs w:val="20"/>
        </w:rPr>
        <w:t xml:space="preserve">Privacy Policy page (partial view)</w:t>
      </w:r>
    </w:p>
    <w:p>
      <w:pPr>
        <w:pStyle w:val="Heading2"/>
        <w:spacing w:before="300" w:after="150"/>
      </w:pPr>
      <w:r>
        <w:rPr>
          <w:rFonts w:ascii="Arial" w:cs="Arial" w:eastAsia="Arial" w:hAnsi="Arial"/>
          <w:b/>
          <w:bCs/>
          <w:color w:val="1B365D"/>
          <w:sz w:val="26"/>
          <w:szCs w:val="26"/>
        </w:rPr>
        <w:t xml:space="preserve">Policy Coverage</w:t>
      </w:r>
    </w:p>
    <w:p>
      <w:pPr>
        <w:spacing w:before="100" w:after="100"/>
      </w:pPr>
      <w:r>
        <w:rPr>
          <w:rFonts w:ascii="Arial" w:cs="Arial" w:eastAsia="Arial" w:hAnsi="Arial"/>
          <w:sz w:val="22"/>
          <w:szCs w:val="22"/>
        </w:rPr>
        <w:t xml:space="preserve">The policy addresses: Data collection and usage, Cookie technologies, User rights and choices, Contact information for privacy inquiries. Last updated January 1, 2021—Vivid Impact manages the policy.</w:t>
      </w:r>
    </w:p>
    <w:p>
      <w:pPr>
        <w:pStyle w:val="Heading2"/>
        <w:spacing w:before="300" w:after="150"/>
      </w:pPr>
      <w:r>
        <w:rPr>
          <w:rFonts w:ascii="Arial" w:cs="Arial" w:eastAsia="Arial" w:hAnsi="Arial"/>
          <w:b/>
          <w:bCs/>
          <w:color w:val="1B365D"/>
          <w:sz w:val="26"/>
          <w:szCs w:val="26"/>
        </w:rPr>
        <w:t xml:space="preserve">Evaluation Questions</w:t>
      </w:r>
    </w:p>
    <w:p>
      <w:pPr>
        <w:spacing w:before="100" w:after="100"/>
        <w:ind w:left="360"/>
      </w:pPr>
      <w:r>
        <w:rPr>
          <w:rFonts w:ascii="Arial" w:cs="Arial" w:eastAsia="Arial" w:hAnsi="Arial"/>
          <w:i/>
          <w:iCs/>
          <w:color w:val="C41E3A"/>
          <w:sz w:val="22"/>
          <w:szCs w:val="22"/>
        </w:rPr>
        <w:t xml:space="preserve">• Is the privacy policy easily accessible throughout the platform?</w:t>
      </w:r>
    </w:p>
    <w:p>
      <w:pPr>
        <w:spacing w:before="100" w:after="100"/>
        <w:ind w:left="360"/>
      </w:pPr>
      <w:r>
        <w:rPr>
          <w:rFonts w:ascii="Arial" w:cs="Arial" w:eastAsia="Arial" w:hAnsi="Arial"/>
          <w:i/>
          <w:iCs/>
          <w:color w:val="C41E3A"/>
          <w:sz w:val="22"/>
          <w:szCs w:val="22"/>
        </w:rPr>
        <w:t xml:space="preserve">• Does the policy adequately address user concerns about data usage?</w:t>
      </w:r>
    </w:p>
    <w:p>
      <w:pPr>
        <w:spacing w:before="100" w:after="100"/>
        <w:ind w:left="360"/>
      </w:pPr>
      <w:r>
        <w:rPr>
          <w:rFonts w:ascii="Arial" w:cs="Arial" w:eastAsia="Arial" w:hAnsi="Arial"/>
          <w:i/>
          <w:iCs/>
          <w:color w:val="C41E3A"/>
          <w:sz w:val="22"/>
          <w:szCs w:val="22"/>
        </w:rPr>
        <w:t xml:space="preserve">• Should policy update dates be more prominently displayed?</w:t>
      </w:r>
    </w:p>
    <w:p>
      <w:r>
        <w:br w:type="page"/>
      </w:r>
    </w:p>
    <w:p>
      <w:pPr>
        <w:pStyle w:val="Heading1"/>
        <w:spacing w:before="400" w:after="200"/>
      </w:pPr>
      <w:r>
        <w:rPr>
          <w:rFonts w:ascii="Arial" w:cs="Arial" w:eastAsia="Arial" w:hAnsi="Arial"/>
          <w:b/>
          <w:bCs/>
          <w:color w:val="1B365D"/>
          <w:sz w:val="32"/>
          <w:szCs w:val="32"/>
        </w:rPr>
        <w:t xml:space="preserve">11. Walkthrough Summary</w:t>
      </w:r>
    </w:p>
    <w:p>
      <w:pPr>
        <w:spacing w:before="100" w:after="100"/>
      </w:pPr>
      <w:r>
        <w:rPr>
          <w:rFonts w:ascii="Arial" w:cs="Arial" w:eastAsia="Arial" w:hAnsi="Arial"/>
          <w:sz w:val="22"/>
          <w:szCs w:val="22"/>
        </w:rPr>
        <w:t xml:space="preserve">This walkthrough has explored the complete PrecisionPOP experience from the perspective of a Good 2 Go store manager. Key areas for v2 redesign consideration include:</w:t>
      </w:r>
    </w:p>
    <w:p>
      <w:pPr>
        <w:pStyle w:val="Heading2"/>
        <w:spacing w:before="300" w:after="150"/>
      </w:pPr>
      <w:r>
        <w:rPr>
          <w:rFonts w:ascii="Arial" w:cs="Arial" w:eastAsia="Arial" w:hAnsi="Arial"/>
          <w:b/>
          <w:bCs/>
          <w:color w:val="1B365D"/>
          <w:sz w:val="26"/>
          <w:szCs w:val="26"/>
        </w:rPr>
        <w:t xml:space="preserve">Information Architecture</w:t>
      </w:r>
    </w:p>
    <w:p>
      <w:pPr>
        <w:spacing w:before="100" w:after="100"/>
      </w:pPr>
      <w:r>
        <w:rPr>
          <w:rFonts w:ascii="Arial" w:cs="Arial" w:eastAsia="Arial" w:hAnsi="Arial"/>
          <w:sz w:val="22"/>
          <w:szCs w:val="22"/>
        </w:rPr>
        <w:t xml:space="preserve">Navigation between Store Profile, Activity, Kit Reorders, and Store Photos tabs. Relationship between the main content area and Kits &amp; Inventory sidebar. Discoverability of help resources and account settings.</w:t>
      </w:r>
    </w:p>
    <w:p>
      <w:pPr>
        <w:pStyle w:val="Heading2"/>
        <w:spacing w:before="300" w:after="150"/>
      </w:pPr>
      <w:r>
        <w:rPr>
          <w:rFonts w:ascii="Arial" w:cs="Arial" w:eastAsia="Arial" w:hAnsi="Arial"/>
          <w:b/>
          <w:bCs/>
          <w:color w:val="1B365D"/>
          <w:sz w:val="26"/>
          <w:szCs w:val="26"/>
        </w:rPr>
        <w:t xml:space="preserve">Core Workflows</w:t>
      </w:r>
    </w:p>
    <w:p>
      <w:pPr>
        <w:spacing w:before="100" w:after="100"/>
      </w:pPr>
      <w:r>
        <w:rPr>
          <w:rFonts w:ascii="Arial" w:cs="Arial" w:eastAsia="Arial" w:hAnsi="Arial"/>
          <w:sz w:val="22"/>
          <w:szCs w:val="22"/>
        </w:rPr>
        <w:t xml:space="preserve">Kit receipt and installation status updates. Missing/damaged item reorder process. Store attribute survey completion. Photo documentation and management.</w:t>
      </w:r>
    </w:p>
    <w:p>
      <w:pPr>
        <w:pStyle w:val="Heading2"/>
        <w:spacing w:before="300" w:after="150"/>
      </w:pPr>
      <w:r>
        <w:rPr>
          <w:rFonts w:ascii="Arial" w:cs="Arial" w:eastAsia="Arial" w:hAnsi="Arial"/>
          <w:b/>
          <w:bCs/>
          <w:color w:val="1B365D"/>
          <w:sz w:val="26"/>
          <w:szCs w:val="26"/>
        </w:rPr>
        <w:t xml:space="preserve">Data Visualization</w:t>
      </w:r>
    </w:p>
    <w:p>
      <w:pPr>
        <w:spacing w:before="100" w:after="100"/>
      </w:pPr>
      <w:r>
        <w:rPr>
          <w:rFonts w:ascii="Arial" w:cs="Arial" w:eastAsia="Arial" w:hAnsi="Arial"/>
          <w:sz w:val="22"/>
          <w:szCs w:val="22"/>
        </w:rPr>
        <w:t xml:space="preserve">Kit status badges and color coding. Activity log pagination and filtering. Large inventory list management (61+ items).</w:t>
      </w:r>
    </w:p>
    <w:p>
      <w:pPr>
        <w:spacing w:before="400"/>
      </w:pPr>
    </w:p>
    <w:p>
      <w:pPr>
        <w:spacing w:before="200" w:after="200"/>
      </w:pPr>
      <w:r>
        <w:rPr>
          <w:rFonts w:ascii="Arial" w:cs="Arial" w:eastAsia="Arial" w:hAnsi="Arial"/>
          <w:sz w:val="22"/>
          <w:szCs w:val="22"/>
        </w:rPr>
        <w:t xml:space="preserve">This document serves as a foundation for UX discussions and should be referenced alongside the detailed audit markdown files for each section.</w:t>
      </w:r>
    </w:p>
    <w:p>
      <w:r>
        <w:br w:type="page"/>
      </w:r>
    </w:p>
    <w:p>
      <w:pPr>
        <w:pStyle w:val="Heading1"/>
        <w:spacing w:before="400" w:after="200"/>
      </w:pPr>
      <w:r>
        <w:rPr>
          <w:rFonts w:ascii="Arial" w:cs="Arial" w:eastAsia="Arial" w:hAnsi="Arial"/>
          <w:b/>
          <w:bCs/>
          <w:color w:val="1B365D"/>
          <w:sz w:val="32"/>
          <w:szCs w:val="32"/>
        </w:rPr>
        <w:t xml:space="preserve">Appendix. Screenshot Reference</w:t>
      </w:r>
    </w:p>
    <w:p>
      <w:pPr>
        <w:spacing w:before="100" w:after="100"/>
      </w:pPr>
      <w:r>
        <w:rPr>
          <w:rFonts w:ascii="Arial" w:cs="Arial" w:eastAsia="Arial" w:hAnsi="Arial"/>
          <w:sz w:val="22"/>
          <w:szCs w:val="22"/>
        </w:rPr>
        <w:t xml:space="preserve">All screenshots captured from PrecisionPOP platform using Good 2 Go Store #119 test account.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Borders>
              <w:top w:val="single" w:sz="1"/>
              <w:left w:val="single" w:sz="1"/>
              <w:bottom w:val="single" w:sz="1"/>
              <w:right w:val="single" w:sz="1"/>
            </w:tcBorders>
            <w:shd w:fill="1B365D" w:val="clear"/>
          </w:tcPr>
          <w:p>
            <w:pPr>
              <w:jc w:val="center"/>
            </w:pPr>
            <w:r>
              <w:rPr>
                <w:b/>
                <w:bCs/>
                <w:color w:val="FFFFFF"/>
                <w:sz w:val="20"/>
                <w:szCs w:val="20"/>
              </w:rPr>
              <w:t xml:space="preserve">#</w:t>
            </w:r>
          </w:p>
        </w:tc>
        <w:tc>
          <w:tcPr>
            <w:tcBorders>
              <w:top w:val="single" w:sz="1"/>
              <w:left w:val="single" w:sz="1"/>
              <w:bottom w:val="single" w:sz="1"/>
              <w:right w:val="single" w:sz="1"/>
            </w:tcBorders>
            <w:shd w:fill="1B365D" w:val="clear"/>
          </w:tcPr>
          <w:p>
            <w:r>
              <w:rPr>
                <w:b/>
                <w:bCs/>
                <w:color w:val="FFFFFF"/>
                <w:sz w:val="20"/>
                <w:szCs w:val="20"/>
              </w:rPr>
              <w:t xml:space="preserve">Screenshot</w:t>
            </w:r>
          </w:p>
        </w:tc>
        <w:tc>
          <w:tcPr>
            <w:tcBorders>
              <w:top w:val="single" w:sz="1"/>
              <w:left w:val="single" w:sz="1"/>
              <w:bottom w:val="single" w:sz="1"/>
              <w:right w:val="single" w:sz="1"/>
            </w:tcBorders>
            <w:shd w:fill="1B365D" w:val="clear"/>
          </w:tcPr>
          <w:p>
            <w:r>
              <w:rPr>
                <w:b/>
                <w:bCs/>
                <w:color w:val="FFFFFF"/>
                <w:sz w:val="20"/>
                <w:szCs w:val="20"/>
              </w:rPr>
              <w:t xml:space="preserve">Section</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Dashboard - Exterior Tab</w:t>
            </w:r>
          </w:p>
        </w:tc>
        <w:tc>
          <w:tcPr>
            <w:tcBorders>
              <w:top w:val="single" w:color="CCCCCC" w:sz="1"/>
              <w:left w:val="single" w:color="CCCCCC" w:sz="1"/>
              <w:bottom w:val="single" w:color="CCCCCC" w:sz="1"/>
              <w:right w:val="single" w:color="CCCCCC" w:sz="1"/>
            </w:tcBorders>
          </w:tcPr>
          <w:p>
            <w:r>
              <w:rPr>
                <w:sz w:val="20"/>
                <w:szCs w:val="20"/>
              </w:rPr>
              <w:t xml:space="preserve">2. First Impressions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Dashboard - Interior Tab</w:t>
            </w:r>
          </w:p>
        </w:tc>
        <w:tc>
          <w:tcPr>
            <w:tcBorders>
              <w:top w:val="single" w:color="CCCCCC" w:sz="1"/>
              <w:left w:val="single" w:color="CCCCCC" w:sz="1"/>
              <w:bottom w:val="single" w:color="CCCCCC" w:sz="1"/>
              <w:right w:val="single" w:color="CCCCCC" w:sz="1"/>
            </w:tcBorders>
          </w:tcPr>
          <w:p>
            <w:r>
              <w:rPr>
                <w:sz w:val="20"/>
                <w:szCs w:val="20"/>
              </w:rPr>
              <w:t xml:space="preserve">3. Understanding Your Store</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Activity View</w:t>
            </w:r>
          </w:p>
        </w:tc>
        <w:tc>
          <w:tcPr>
            <w:tcBorders>
              <w:top w:val="single" w:color="CCCCCC" w:sz="1"/>
              <w:left w:val="single" w:color="CCCCCC" w:sz="1"/>
              <w:bottom w:val="single" w:color="CCCCCC" w:sz="1"/>
              <w:right w:val="single" w:color="CCCCCC" w:sz="1"/>
            </w:tcBorders>
          </w:tcPr>
          <w:p>
            <w:r>
              <w:rPr>
                <w:sz w:val="20"/>
                <w:szCs w:val="20"/>
              </w:rPr>
              <w:t xml:space="preserve">4. Tracking Changes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Activity - Full Log</w:t>
            </w:r>
          </w:p>
        </w:tc>
        <w:tc>
          <w:tcPr>
            <w:tcBorders>
              <w:top w:val="single" w:color="CCCCCC" w:sz="1"/>
              <w:left w:val="single" w:color="CCCCCC" w:sz="1"/>
              <w:bottom w:val="single" w:color="CCCCCC" w:sz="1"/>
              <w:right w:val="single" w:color="CCCCCC" w:sz="1"/>
            </w:tcBorders>
          </w:tcPr>
          <w:p>
            <w:r>
              <w:rPr>
                <w:sz w:val="20"/>
                <w:szCs w:val="20"/>
              </w:rPr>
              <w:t xml:space="preserve">4. Tracking Changes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Kits &amp; Inventory - Single Item</w:t>
            </w:r>
          </w:p>
        </w:tc>
        <w:tc>
          <w:tcPr>
            <w:tcBorders>
              <w:top w:val="single" w:color="CCCCCC" w:sz="1"/>
              <w:left w:val="single" w:color="CCCCCC" w:sz="1"/>
              <w:bottom w:val="single" w:color="CCCCCC" w:sz="1"/>
              <w:right w:val="single" w:color="CCCCCC" w:sz="1"/>
            </w:tcBorders>
          </w:tcPr>
          <w:p>
            <w:r>
              <w:rPr>
                <w:sz w:val="20"/>
                <w:szCs w:val="20"/>
              </w:rPr>
              <w:t xml:space="preserve">5. Managing Kits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Kits &amp; Inventory - Large List (61 items)</w:t>
            </w:r>
          </w:p>
        </w:tc>
        <w:tc>
          <w:tcPr>
            <w:tcBorders>
              <w:top w:val="single" w:color="CCCCCC" w:sz="1"/>
              <w:left w:val="single" w:color="CCCCCC" w:sz="1"/>
              <w:bottom w:val="single" w:color="CCCCCC" w:sz="1"/>
              <w:right w:val="single" w:color="CCCCCC" w:sz="1"/>
            </w:tcBorders>
          </w:tcPr>
          <w:p>
            <w:r>
              <w:rPr>
                <w:sz w:val="20"/>
                <w:szCs w:val="20"/>
              </w:rPr>
              <w:t xml:space="preserve">5. Managing Kits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Kits &amp; Inventory - Image Preview</w:t>
            </w:r>
          </w:p>
        </w:tc>
        <w:tc>
          <w:tcPr>
            <w:tcBorders>
              <w:top w:val="single" w:color="CCCCCC" w:sz="1"/>
              <w:left w:val="single" w:color="CCCCCC" w:sz="1"/>
              <w:bottom w:val="single" w:color="CCCCCC" w:sz="1"/>
              <w:right w:val="single" w:color="CCCCCC" w:sz="1"/>
            </w:tcBorders>
          </w:tcPr>
          <w:p>
            <w:r>
              <w:rPr>
                <w:sz w:val="20"/>
                <w:szCs w:val="20"/>
              </w:rPr>
              <w:t xml:space="preserve">5. Managing Kits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Kit Reorders - History</w:t>
            </w:r>
          </w:p>
        </w:tc>
        <w:tc>
          <w:tcPr>
            <w:tcBorders>
              <w:top w:val="single" w:color="CCCCCC" w:sz="1"/>
              <w:left w:val="single" w:color="CCCCCC" w:sz="1"/>
              <w:bottom w:val="single" w:color="CCCCCC" w:sz="1"/>
              <w:right w:val="single" w:color="CCCCCC" w:sz="1"/>
            </w:tcBorders>
          </w:tcPr>
          <w:p>
            <w:r>
              <w:rPr>
                <w:sz w:val="20"/>
                <w:szCs w:val="20"/>
              </w:rPr>
              <w:t xml:space="preserve">6. Kit Reorders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9</w:t>
            </w:r>
          </w:p>
        </w:tc>
        <w:tc>
          <w:tcPr>
            <w:tcBorders>
              <w:top w:val="single" w:color="CCCCCC" w:sz="1"/>
              <w:left w:val="single" w:color="CCCCCC" w:sz="1"/>
              <w:bottom w:val="single" w:color="CCCCCC" w:sz="1"/>
              <w:right w:val="single" w:color="CCCCCC" w:sz="1"/>
            </w:tcBorders>
          </w:tcPr>
          <w:p>
            <w:r>
              <w:rPr>
                <w:sz w:val="20"/>
                <w:szCs w:val="20"/>
              </w:rPr>
              <w:t xml:space="preserve">Missing/Damaged Item - Reorder Form</w:t>
            </w:r>
          </w:p>
        </w:tc>
        <w:tc>
          <w:tcPr>
            <w:tcBorders>
              <w:top w:val="single" w:color="CCCCCC" w:sz="1"/>
              <w:left w:val="single" w:color="CCCCCC" w:sz="1"/>
              <w:bottom w:val="single" w:color="CCCCCC" w:sz="1"/>
              <w:right w:val="single" w:color="CCCCCC" w:sz="1"/>
            </w:tcBorders>
          </w:tcPr>
          <w:p>
            <w:r>
              <w:rPr>
                <w:sz w:val="20"/>
                <w:szCs w:val="20"/>
              </w:rPr>
              <w:t xml:space="preserve">6. Kit Reorders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10</w:t>
            </w:r>
          </w:p>
        </w:tc>
        <w:tc>
          <w:tcPr>
            <w:tcBorders>
              <w:top w:val="single" w:color="CCCCCC" w:sz="1"/>
              <w:left w:val="single" w:color="CCCCCC" w:sz="1"/>
              <w:bottom w:val="single" w:color="CCCCCC" w:sz="1"/>
              <w:right w:val="single" w:color="CCCCCC" w:sz="1"/>
            </w:tcBorders>
          </w:tcPr>
          <w:p>
            <w:r>
              <w:rPr>
                <w:sz w:val="20"/>
                <w:szCs w:val="20"/>
              </w:rPr>
              <w:t xml:space="preserve">Store Photos</w:t>
            </w:r>
          </w:p>
        </w:tc>
        <w:tc>
          <w:tcPr>
            <w:tcBorders>
              <w:top w:val="single" w:color="CCCCCC" w:sz="1"/>
              <w:left w:val="single" w:color="CCCCCC" w:sz="1"/>
              <w:bottom w:val="single" w:color="CCCCCC" w:sz="1"/>
              <w:right w:val="single" w:color="CCCCCC" w:sz="1"/>
            </w:tcBorders>
          </w:tcPr>
          <w:p>
            <w:r>
              <w:rPr>
                <w:sz w:val="20"/>
                <w:szCs w:val="20"/>
              </w:rPr>
              <w:t xml:space="preserve">7. Visual Documentation</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11</w:t>
            </w:r>
          </w:p>
        </w:tc>
        <w:tc>
          <w:tcPr>
            <w:tcBorders>
              <w:top w:val="single" w:color="CCCCCC" w:sz="1"/>
              <w:left w:val="single" w:color="CCCCCC" w:sz="1"/>
              <w:bottom w:val="single" w:color="CCCCCC" w:sz="1"/>
              <w:right w:val="single" w:color="CCCCCC" w:sz="1"/>
            </w:tcBorders>
          </w:tcPr>
          <w:p>
            <w:r>
              <w:rPr>
                <w:sz w:val="20"/>
                <w:szCs w:val="20"/>
              </w:rPr>
              <w:t xml:space="preserve">How-To Videos</w:t>
            </w:r>
          </w:p>
        </w:tc>
        <w:tc>
          <w:tcPr>
            <w:tcBorders>
              <w:top w:val="single" w:color="CCCCCC" w:sz="1"/>
              <w:left w:val="single" w:color="CCCCCC" w:sz="1"/>
              <w:bottom w:val="single" w:color="CCCCCC" w:sz="1"/>
              <w:right w:val="single" w:color="CCCCCC" w:sz="1"/>
            </w:tcBorders>
          </w:tcPr>
          <w:p>
            <w:r>
              <w:rPr>
                <w:sz w:val="20"/>
                <w:szCs w:val="20"/>
              </w:rPr>
              <w:t xml:space="preserve">8. Getting Help</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12</w:t>
            </w:r>
          </w:p>
        </w:tc>
        <w:tc>
          <w:tcPr>
            <w:tcBorders>
              <w:top w:val="single" w:color="CCCCCC" w:sz="1"/>
              <w:left w:val="single" w:color="CCCCCC" w:sz="1"/>
              <w:bottom w:val="single" w:color="CCCCCC" w:sz="1"/>
              <w:right w:val="single" w:color="CCCCCC" w:sz="1"/>
            </w:tcBorders>
          </w:tcPr>
          <w:p>
            <w:r>
              <w:rPr>
                <w:sz w:val="20"/>
                <w:szCs w:val="20"/>
              </w:rPr>
              <w:t xml:space="preserve">Account Profile</w:t>
            </w:r>
          </w:p>
        </w:tc>
        <w:tc>
          <w:tcPr>
            <w:tcBorders>
              <w:top w:val="single" w:color="CCCCCC" w:sz="1"/>
              <w:left w:val="single" w:color="CCCCCC" w:sz="1"/>
              <w:bottom w:val="single" w:color="CCCCCC" w:sz="1"/>
              <w:right w:val="single" w:color="CCCCCC" w:sz="1"/>
            </w:tcBorders>
          </w:tcPr>
          <w:p>
            <w:r>
              <w:rPr>
                <w:sz w:val="20"/>
                <w:szCs w:val="20"/>
              </w:rPr>
              <w:t xml:space="preserve">9. Account &amp; Cart</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13</w:t>
            </w:r>
          </w:p>
        </w:tc>
        <w:tc>
          <w:tcPr>
            <w:tcBorders>
              <w:top w:val="single" w:color="CCCCCC" w:sz="1"/>
              <w:left w:val="single" w:color="CCCCCC" w:sz="1"/>
              <w:bottom w:val="single" w:color="CCCCCC" w:sz="1"/>
              <w:right w:val="single" w:color="CCCCCC" w:sz="1"/>
            </w:tcBorders>
          </w:tcPr>
          <w:p>
            <w:r>
              <w:rPr>
                <w:sz w:val="20"/>
                <w:szCs w:val="20"/>
              </w:rPr>
              <w:t xml:space="preserve">Promotion Cart</w:t>
            </w:r>
          </w:p>
        </w:tc>
        <w:tc>
          <w:tcPr>
            <w:tcBorders>
              <w:top w:val="single" w:color="CCCCCC" w:sz="1"/>
              <w:left w:val="single" w:color="CCCCCC" w:sz="1"/>
              <w:bottom w:val="single" w:color="CCCCCC" w:sz="1"/>
              <w:right w:val="single" w:color="CCCCCC" w:sz="1"/>
            </w:tcBorders>
          </w:tcPr>
          <w:p>
            <w:r>
              <w:rPr>
                <w:sz w:val="20"/>
                <w:szCs w:val="20"/>
              </w:rPr>
              <w:t xml:space="preserve">9. Account &amp; Cart</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14</w:t>
            </w:r>
          </w:p>
        </w:tc>
        <w:tc>
          <w:tcPr>
            <w:tcBorders>
              <w:top w:val="single" w:color="CCCCCC" w:sz="1"/>
              <w:left w:val="single" w:color="CCCCCC" w:sz="1"/>
              <w:bottom w:val="single" w:color="CCCCCC" w:sz="1"/>
              <w:right w:val="single" w:color="CCCCCC" w:sz="1"/>
            </w:tcBorders>
          </w:tcPr>
          <w:p>
            <w:r>
              <w:rPr>
                <w:sz w:val="20"/>
                <w:szCs w:val="20"/>
              </w:rPr>
              <w:t xml:space="preserve">Privacy Policy</w:t>
            </w:r>
          </w:p>
        </w:tc>
        <w:tc>
          <w:tcPr>
            <w:tcBorders>
              <w:top w:val="single" w:color="CCCCCC" w:sz="1"/>
              <w:left w:val="single" w:color="CCCCCC" w:sz="1"/>
              <w:bottom w:val="single" w:color="CCCCCC" w:sz="1"/>
              <w:right w:val="single" w:color="CCCCCC" w:sz="1"/>
            </w:tcBorders>
          </w:tcPr>
          <w:p>
            <w:r>
              <w:rPr>
                <w:sz w:val="20"/>
                <w:szCs w:val="20"/>
              </w:rPr>
              <w:t xml:space="preserve">10. Privacy &amp; Compliance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PrecisionPOP Product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400" w:after="200"/>
    </w:pPr>
    <w:rPr>
      <w:rFonts w:ascii="Arial" w:cs="Arial" w:eastAsia="Arial" w:hAnsi="Arial"/>
      <w:b/>
      <w:bCs/>
      <w:color w:val="1B365D"/>
      <w:sz w:val="32"/>
      <w:szCs w:val="32"/>
    </w:rPr>
  </w:style>
  <w:style w:type="paragraph" w:styleId="Heading2">
    <w:name w:val="Heading 2"/>
    <w:basedOn w:val="Normal"/>
    <w:pPr>
      <w:spacing w:before="300" w:after="150"/>
    </w:pPr>
    <w:rPr>
      <w:rFonts w:ascii="Arial" w:cs="Arial" w:eastAsia="Arial" w:hAnsi="Arial"/>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3e8a5e20806cffce167d7f91dbb16d36d78d231.jpg"/><Relationship Id="rId9" Type="http://schemas.openxmlformats.org/officeDocument/2006/relationships/image" Target="media/c82fbb2f5bf8cec991896861126b6bb124cb7b90.jpg"/><Relationship Id="rId10" Type="http://schemas.openxmlformats.org/officeDocument/2006/relationships/image" Target="media/69a18bdc618c33356996cd4dc6080a6893ff41b5.jpg"/><Relationship Id="rId11" Type="http://schemas.openxmlformats.org/officeDocument/2006/relationships/image" Target="media/d3b88922eeb1a8275826caa5ae4ded0828b95202.jpg"/><Relationship Id="rId12" Type="http://schemas.openxmlformats.org/officeDocument/2006/relationships/image" Target="media/ea1a5b30628e630a99377153787af055c5d705a9.jpg"/><Relationship Id="rId13" Type="http://schemas.openxmlformats.org/officeDocument/2006/relationships/image" Target="media/ee2245448eb2a2dc45b6150d2bc65ac742d195dd.jpg"/><Relationship Id="rId14" Type="http://schemas.openxmlformats.org/officeDocument/2006/relationships/image" Target="media/fee95390e21e85acf412fc5c0a8502ab4576c483.jpg"/><Relationship Id="rId15" Type="http://schemas.openxmlformats.org/officeDocument/2006/relationships/image" Target="media/b78a10bd1b773cb8df4116906872cac08365787e.jpg"/><Relationship Id="rId16" Type="http://schemas.openxmlformats.org/officeDocument/2006/relationships/image" Target="media/dc388d973bd1335a04530a5e6f87c5ff2305d3be.jpg"/><Relationship Id="rId17" Type="http://schemas.openxmlformats.org/officeDocument/2006/relationships/image" Target="media/409050fbaefd53ed67ad1ca41ea502c868255136.jpg"/><Relationship Id="rId18" Type="http://schemas.openxmlformats.org/officeDocument/2006/relationships/image" Target="media/214f85d71f905b8603a0ae7e9a2678a662c53b45.jpg"/><Relationship Id="rId19" Type="http://schemas.openxmlformats.org/officeDocument/2006/relationships/image" Target="media/ae74650a17cb484726577141d576be29a9716eee.jpg"/><Relationship Id="rId20" Type="http://schemas.openxmlformats.org/officeDocument/2006/relationships/image" Target="media/1d3b6d48e88b33ea59e452742831f966c6adca38.jpg"/><Relationship Id="rId21" Type="http://schemas.openxmlformats.org/officeDocument/2006/relationships/image" Target="media/58ec761181f4386d54938d90cd591a2b1ac37282.jp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2025-12-11T16:48:27.644Z</dcterms:created>
  <dcterms:modified xsi:type="dcterms:W3CDTF">2025-12-11T16:48:27.644Z</dcterms:modified>
</cp:coreProperties>
</file>

<file path=docProps/custom.xml><?xml version="1.0" encoding="utf-8"?>
<Properties xmlns="http://schemas.openxmlformats.org/officeDocument/2006/custom-properties" xmlns:vt="http://schemas.openxmlformats.org/officeDocument/2006/docPropsVTypes"/>
</file>