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1DF" w:rsidRPr="001711DF" w:rsidRDefault="001711DF" w:rsidP="00200C50">
      <w:pPr>
        <w:spacing w:after="0"/>
        <w:jc w:val="both"/>
        <w:rPr>
          <w:rFonts w:ascii="Times New Roman" w:hAnsi="Times New Roman"/>
          <w:i/>
          <w:sz w:val="24"/>
          <w:szCs w:val="24"/>
        </w:rPr>
      </w:pPr>
      <w:r w:rsidRPr="001711DF">
        <w:rPr>
          <w:rFonts w:ascii="Times New Roman" w:hAnsi="Times New Roman"/>
          <w:i/>
          <w:sz w:val="24"/>
          <w:szCs w:val="24"/>
        </w:rPr>
        <w:t>Supplemental Material</w:t>
      </w:r>
    </w:p>
    <w:p w:rsidR="00CA3A3C" w:rsidRDefault="00CA3A3C" w:rsidP="00200C50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1A0CF1" w:rsidRDefault="00CA3A3C" w:rsidP="004F459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Addition material </w:t>
      </w:r>
      <w:r w:rsidR="004F4595">
        <w:rPr>
          <w:rFonts w:ascii="Times New Roman" w:hAnsi="Times New Roman"/>
          <w:sz w:val="24"/>
          <w:szCs w:val="24"/>
          <w:lang w:val="en-GB"/>
        </w:rPr>
        <w:t>S</w:t>
      </w:r>
      <w:r>
        <w:rPr>
          <w:rFonts w:ascii="Times New Roman" w:hAnsi="Times New Roman"/>
          <w:sz w:val="24"/>
          <w:szCs w:val="24"/>
          <w:lang w:val="en-GB"/>
        </w:rPr>
        <w:t>1</w:t>
      </w:r>
      <w:r w:rsidR="004F4595">
        <w:rPr>
          <w:rFonts w:ascii="Times New Roman" w:hAnsi="Times New Roman"/>
          <w:sz w:val="24"/>
          <w:szCs w:val="24"/>
          <w:lang w:val="en-GB"/>
        </w:rPr>
        <w:t xml:space="preserve">   </w:t>
      </w:r>
      <w:r w:rsidR="001711DF">
        <w:rPr>
          <w:rFonts w:ascii="Times New Roman" w:hAnsi="Times New Roman"/>
          <w:sz w:val="24"/>
          <w:szCs w:val="24"/>
        </w:rPr>
        <w:t xml:space="preserve">In the present work, </w:t>
      </w:r>
      <w:r w:rsidR="008616B4">
        <w:rPr>
          <w:rFonts w:ascii="Times New Roman" w:hAnsi="Times New Roman"/>
          <w:sz w:val="24"/>
          <w:szCs w:val="24"/>
        </w:rPr>
        <w:t>fish diets</w:t>
      </w:r>
      <w:r w:rsidR="001711DF">
        <w:rPr>
          <w:rFonts w:ascii="Times New Roman" w:hAnsi="Times New Roman"/>
          <w:sz w:val="24"/>
          <w:szCs w:val="24"/>
        </w:rPr>
        <w:t xml:space="preserve"> were categorized </w:t>
      </w:r>
      <w:r w:rsidR="00200C50">
        <w:rPr>
          <w:rFonts w:ascii="Times New Roman" w:hAnsi="Times New Roman"/>
          <w:sz w:val="24"/>
          <w:szCs w:val="24"/>
        </w:rPr>
        <w:t>two different</w:t>
      </w:r>
      <w:r w:rsidR="001711DF">
        <w:rPr>
          <w:rFonts w:ascii="Times New Roman" w:hAnsi="Times New Roman"/>
          <w:sz w:val="24"/>
          <w:szCs w:val="24"/>
        </w:rPr>
        <w:t xml:space="preserve"> ways </w:t>
      </w:r>
      <w:r w:rsidR="004F4595">
        <w:rPr>
          <w:rFonts w:ascii="Times New Roman" w:hAnsi="Times New Roman"/>
          <w:sz w:val="24"/>
          <w:szCs w:val="24"/>
        </w:rPr>
        <w:t>to</w:t>
      </w:r>
      <w:r w:rsidR="001711DF">
        <w:rPr>
          <w:rFonts w:ascii="Times New Roman" w:hAnsi="Times New Roman"/>
          <w:sz w:val="24"/>
          <w:szCs w:val="24"/>
        </w:rPr>
        <w:t xml:space="preserve"> reveal </w:t>
      </w:r>
      <w:r w:rsidR="00200C50">
        <w:rPr>
          <w:rFonts w:ascii="Times New Roman" w:hAnsi="Times New Roman"/>
          <w:sz w:val="24"/>
          <w:szCs w:val="24"/>
        </w:rPr>
        <w:t>the relationship of diet</w:t>
      </w:r>
      <w:r w:rsidR="001711DF">
        <w:rPr>
          <w:rFonts w:ascii="Times New Roman" w:hAnsi="Times New Roman"/>
          <w:sz w:val="24"/>
          <w:szCs w:val="24"/>
        </w:rPr>
        <w:t xml:space="preserve"> to rod spectral sensitivity. </w:t>
      </w:r>
      <w:r w:rsidR="001711DF" w:rsidRPr="001711DF">
        <w:rPr>
          <w:rFonts w:ascii="Times New Roman" w:hAnsi="Times New Roman"/>
          <w:sz w:val="24"/>
          <w:szCs w:val="24"/>
        </w:rPr>
        <w:t>In addition to</w:t>
      </w:r>
      <w:r w:rsidR="001711DF">
        <w:rPr>
          <w:rFonts w:ascii="Times New Roman" w:hAnsi="Times New Roman"/>
          <w:sz w:val="24"/>
          <w:szCs w:val="24"/>
        </w:rPr>
        <w:t xml:space="preserve"> the diet categories presented in the main paper</w:t>
      </w:r>
      <w:r w:rsidR="008616B4">
        <w:rPr>
          <w:rFonts w:ascii="Times New Roman" w:hAnsi="Times New Roman"/>
          <w:sz w:val="24"/>
          <w:szCs w:val="24"/>
        </w:rPr>
        <w:t xml:space="preserve"> (benthic </w:t>
      </w:r>
      <w:r w:rsidR="004F4595">
        <w:rPr>
          <w:rFonts w:ascii="Times New Roman" w:hAnsi="Times New Roman"/>
          <w:i/>
          <w:sz w:val="24"/>
          <w:szCs w:val="24"/>
        </w:rPr>
        <w:t>v</w:t>
      </w:r>
      <w:proofErr w:type="gramStart"/>
      <w:r w:rsidR="004F4595">
        <w:rPr>
          <w:rFonts w:ascii="Times New Roman" w:hAnsi="Times New Roman"/>
          <w:i/>
          <w:sz w:val="24"/>
          <w:szCs w:val="24"/>
        </w:rPr>
        <w:t>.</w:t>
      </w:r>
      <w:r w:rsidR="008616B4">
        <w:rPr>
          <w:rFonts w:ascii="Times New Roman" w:hAnsi="Times New Roman"/>
          <w:sz w:val="24"/>
          <w:szCs w:val="24"/>
        </w:rPr>
        <w:t>.</w:t>
      </w:r>
      <w:proofErr w:type="gramEnd"/>
      <w:r w:rsidR="008616B4">
        <w:rPr>
          <w:rFonts w:ascii="Times New Roman" w:hAnsi="Times New Roman"/>
          <w:sz w:val="24"/>
          <w:szCs w:val="24"/>
        </w:rPr>
        <w:t xml:space="preserve"> pelagic prey)</w:t>
      </w:r>
      <w:r w:rsidR="001711DF">
        <w:rPr>
          <w:rFonts w:ascii="Times New Roman" w:hAnsi="Times New Roman"/>
          <w:sz w:val="24"/>
          <w:szCs w:val="24"/>
        </w:rPr>
        <w:t xml:space="preserve">, diet was assigned here to address differences in prey appearance found across trophic levels. </w:t>
      </w:r>
      <w:r w:rsidR="001711DF" w:rsidRPr="00A05BD3">
        <w:rPr>
          <w:rFonts w:ascii="Times New Roman" w:hAnsi="Times New Roman"/>
          <w:sz w:val="24"/>
          <w:szCs w:val="24"/>
        </w:rPr>
        <w:t>The diet variable was organized with fishes consuming mostly: (1) planktonic or non-motile prey (</w:t>
      </w:r>
      <w:r w:rsidR="001711DF" w:rsidRPr="004F4595">
        <w:rPr>
          <w:rFonts w:ascii="Times New Roman" w:hAnsi="Times New Roman"/>
          <w:i/>
          <w:sz w:val="24"/>
          <w:szCs w:val="24"/>
        </w:rPr>
        <w:t>e.g</w:t>
      </w:r>
      <w:r w:rsidR="001711DF" w:rsidRPr="00A05BD3">
        <w:rPr>
          <w:rFonts w:ascii="Times New Roman" w:hAnsi="Times New Roman"/>
          <w:sz w:val="24"/>
          <w:szCs w:val="24"/>
        </w:rPr>
        <w:t>., larvae, coral, detritus, and algae), (2) crustaceans and other small invertebrates, or (3) cephalopods and fish.</w:t>
      </w:r>
    </w:p>
    <w:p w:rsidR="0097161D" w:rsidRPr="00A05BD3" w:rsidRDefault="00BD2C78" w:rsidP="004F4595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D2C78">
        <w:rPr>
          <w:rFonts w:ascii="Times New Roman" w:hAnsi="Times New Roman"/>
          <w:sz w:val="24"/>
          <w:szCs w:val="24"/>
        </w:rPr>
        <w:t xml:space="preserve">These diet categories were included </w:t>
      </w:r>
      <w:r>
        <w:rPr>
          <w:rFonts w:ascii="Times New Roman" w:hAnsi="Times New Roman"/>
          <w:sz w:val="24"/>
          <w:szCs w:val="24"/>
        </w:rPr>
        <w:t>in a phylogenetically-corrected linear model</w:t>
      </w:r>
      <w:r w:rsidR="001C53E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of rod spectral sensitivity in fishes with all other presented ecological variables. </w:t>
      </w:r>
      <w:r w:rsidR="001C53E9">
        <w:rPr>
          <w:rFonts w:ascii="Times New Roman" w:hAnsi="Times New Roman"/>
          <w:sz w:val="24"/>
          <w:szCs w:val="24"/>
        </w:rPr>
        <w:t>A</w:t>
      </w:r>
      <w:r w:rsidR="0097161D" w:rsidRPr="00A05BD3">
        <w:rPr>
          <w:rFonts w:ascii="Times New Roman" w:hAnsi="Times New Roman"/>
          <w:sz w:val="24"/>
          <w:szCs w:val="24"/>
        </w:rPr>
        <w:t xml:space="preserve"> </w:t>
      </w:r>
      <w:r w:rsidR="001C53E9">
        <w:rPr>
          <w:rFonts w:ascii="Times New Roman" w:hAnsi="Times New Roman"/>
          <w:sz w:val="24"/>
          <w:szCs w:val="24"/>
        </w:rPr>
        <w:t>o</w:t>
      </w:r>
      <w:r w:rsidR="0097161D" w:rsidRPr="00A05BD3">
        <w:rPr>
          <w:rFonts w:ascii="Times New Roman" w:hAnsi="Times New Roman"/>
          <w:sz w:val="24"/>
          <w:szCs w:val="24"/>
        </w:rPr>
        <w:t>ne-way Welch’s ANOVA w</w:t>
      </w:r>
      <w:r w:rsidR="001C53E9">
        <w:rPr>
          <w:rFonts w:ascii="Times New Roman" w:hAnsi="Times New Roman"/>
          <w:sz w:val="24"/>
          <w:szCs w:val="24"/>
        </w:rPr>
        <w:t>as</w:t>
      </w:r>
      <w:r w:rsidR="0097161D" w:rsidRPr="00A05BD3">
        <w:rPr>
          <w:rFonts w:ascii="Times New Roman" w:hAnsi="Times New Roman"/>
          <w:sz w:val="24"/>
          <w:szCs w:val="24"/>
        </w:rPr>
        <w:t xml:space="preserve"> used to compare mean rod </w:t>
      </w:r>
      <w:proofErr w:type="spellStart"/>
      <w:r w:rsidR="0097161D" w:rsidRPr="00200C50">
        <w:rPr>
          <w:rFonts w:ascii="Times New Roman" w:hAnsi="Times New Roman"/>
          <w:i/>
          <w:sz w:val="24"/>
          <w:szCs w:val="24"/>
        </w:rPr>
        <w:t>λ</w:t>
      </w:r>
      <w:r w:rsidR="0097161D" w:rsidRPr="004F4595">
        <w:rPr>
          <w:rFonts w:ascii="Times New Roman" w:hAnsi="Times New Roman"/>
          <w:sz w:val="24"/>
          <w:szCs w:val="24"/>
          <w:vertAlign w:val="subscript"/>
        </w:rPr>
        <w:t>max</w:t>
      </w:r>
      <w:proofErr w:type="spellEnd"/>
      <w:r w:rsidR="0097161D" w:rsidRPr="004F4595">
        <w:rPr>
          <w:rFonts w:ascii="Times New Roman" w:hAnsi="Times New Roman"/>
          <w:sz w:val="24"/>
          <w:szCs w:val="24"/>
        </w:rPr>
        <w:t xml:space="preserve"> </w:t>
      </w:r>
      <w:r w:rsidR="0097161D" w:rsidRPr="00A05BD3">
        <w:rPr>
          <w:rFonts w:ascii="Times New Roman" w:hAnsi="Times New Roman"/>
          <w:sz w:val="24"/>
          <w:szCs w:val="24"/>
        </w:rPr>
        <w:t>between the</w:t>
      </w:r>
      <w:r w:rsidR="001C53E9">
        <w:rPr>
          <w:rFonts w:ascii="Times New Roman" w:hAnsi="Times New Roman"/>
          <w:sz w:val="24"/>
          <w:szCs w:val="24"/>
        </w:rPr>
        <w:t xml:space="preserve"> diet</w:t>
      </w:r>
      <w:r w:rsidR="0097161D" w:rsidRPr="00A05BD3">
        <w:rPr>
          <w:rFonts w:ascii="Times New Roman" w:hAnsi="Times New Roman"/>
          <w:sz w:val="24"/>
          <w:szCs w:val="24"/>
        </w:rPr>
        <w:t xml:space="preserve"> categories, as the data did not meet equal variance assumptions. </w:t>
      </w:r>
      <w:r w:rsidR="001C53E9">
        <w:rPr>
          <w:rFonts w:ascii="Times New Roman" w:hAnsi="Times New Roman"/>
          <w:sz w:val="24"/>
          <w:szCs w:val="24"/>
        </w:rPr>
        <w:t xml:space="preserve">A </w:t>
      </w:r>
      <w:r w:rsidR="0097161D" w:rsidRPr="00A05BD3">
        <w:rPr>
          <w:rFonts w:ascii="Times New Roman" w:hAnsi="Times New Roman"/>
          <w:sz w:val="24"/>
          <w:szCs w:val="24"/>
        </w:rPr>
        <w:t>Games-Howell test</w:t>
      </w:r>
      <w:r w:rsidR="001C53E9">
        <w:rPr>
          <w:rFonts w:ascii="Times New Roman" w:hAnsi="Times New Roman"/>
          <w:sz w:val="24"/>
          <w:szCs w:val="24"/>
        </w:rPr>
        <w:t xml:space="preserve"> </w:t>
      </w:r>
      <w:r w:rsidR="0097161D" w:rsidRPr="00A05BD3">
        <w:rPr>
          <w:rFonts w:ascii="Times New Roman" w:hAnsi="Times New Roman"/>
          <w:sz w:val="24"/>
          <w:szCs w:val="24"/>
        </w:rPr>
        <w:t>(which also do not assume equal variances) w</w:t>
      </w:r>
      <w:r w:rsidR="001C53E9">
        <w:rPr>
          <w:rFonts w:ascii="Times New Roman" w:hAnsi="Times New Roman"/>
          <w:sz w:val="24"/>
          <w:szCs w:val="24"/>
        </w:rPr>
        <w:t>as</w:t>
      </w:r>
      <w:r w:rsidR="0097161D" w:rsidRPr="00A05BD3">
        <w:rPr>
          <w:rFonts w:ascii="Times New Roman" w:hAnsi="Times New Roman"/>
          <w:sz w:val="24"/>
          <w:szCs w:val="24"/>
        </w:rPr>
        <w:t xml:space="preserve"> used to examine pairwise differences</w:t>
      </w:r>
      <w:r w:rsidR="001C53E9">
        <w:rPr>
          <w:rFonts w:ascii="Times New Roman" w:hAnsi="Times New Roman"/>
          <w:sz w:val="24"/>
          <w:szCs w:val="24"/>
        </w:rPr>
        <w:t xml:space="preserve"> between categories</w:t>
      </w:r>
      <w:r w:rsidR="0097161D" w:rsidRPr="00A05BD3">
        <w:rPr>
          <w:rFonts w:ascii="Times New Roman" w:hAnsi="Times New Roman"/>
          <w:sz w:val="24"/>
          <w:szCs w:val="24"/>
        </w:rPr>
        <w:t xml:space="preserve">. Critical </w:t>
      </w:r>
      <w:r w:rsidR="004F4595">
        <w:rPr>
          <w:rFonts w:ascii="Times New Roman" w:hAnsi="Times New Roman"/>
          <w:i/>
          <w:sz w:val="24"/>
          <w:szCs w:val="24"/>
        </w:rPr>
        <w:t>P</w:t>
      </w:r>
      <w:r w:rsidR="0097161D" w:rsidRPr="00A05BD3">
        <w:rPr>
          <w:rFonts w:ascii="Times New Roman" w:hAnsi="Times New Roman"/>
          <w:sz w:val="24"/>
          <w:szCs w:val="24"/>
        </w:rPr>
        <w:t>-values were adjusted for multiple testing (</w:t>
      </w:r>
      <w:r w:rsidR="0097161D" w:rsidRPr="004F4595">
        <w:rPr>
          <w:rFonts w:ascii="Times New Roman" w:hAnsi="Times New Roman"/>
          <w:i/>
          <w:sz w:val="24"/>
          <w:szCs w:val="24"/>
        </w:rPr>
        <w:t>n</w:t>
      </w:r>
      <w:r w:rsidR="0097161D" w:rsidRPr="00A05BD3">
        <w:rPr>
          <w:rFonts w:ascii="Times New Roman" w:hAnsi="Times New Roman"/>
          <w:sz w:val="24"/>
          <w:szCs w:val="24"/>
        </w:rPr>
        <w:t xml:space="preserve"> = 3 pairwise comparisons) using the Bonferroni correction </w:t>
      </w:r>
      <w:r w:rsidR="00C77365" w:rsidRPr="00A05BD3">
        <w:rPr>
          <w:rFonts w:ascii="Times New Roman" w:hAnsi="Times New Roman"/>
          <w:sz w:val="24"/>
          <w:szCs w:val="24"/>
        </w:rPr>
        <w:fldChar w:fldCharType="begin" w:fldLock="1"/>
      </w:r>
      <w:r w:rsidR="0097161D" w:rsidRPr="00A05BD3">
        <w:rPr>
          <w:rFonts w:ascii="Times New Roman" w:hAnsi="Times New Roman"/>
          <w:sz w:val="24"/>
          <w:szCs w:val="24"/>
        </w:rPr>
        <w:instrText>ADDIN CSL_CITATION { "citationItems" : [ { "id" : "ITEM-1", "itemData" : { "author" : [ { "dropping-particle" : "", "family" : "Dunn", "given" : "Olive Jean", "non-dropping-particle" : "", "parse-names" : false, "suffix" : "" } ], "container-title" : "Journal of the American Statistical Association", "id" : "ITEM-1", "issue" : "293", "issued" : { "date-parts" : [ [ "1961" ] ] }, "page" : "52-64", "title" : "Multiple Comparisons Among Means", "type" : "article-journal", "volume" : "56" }, "uris" : [ "http://www.mendeley.com/documents/?uuid=a09a412f-0241-46ae-ba7a-fbc54276133b" ] } ], "mendeley" : { "formattedCitation" : "(Dunn, 1961)", "plainTextFormattedCitation" : "(Dunn, 1961)", "previouslyFormattedCitation" : "[8]" }, "properties" : {  }, "schema" : "https://github.com/citation-style-language/schema/raw/master/csl-citation.json" }</w:instrText>
      </w:r>
      <w:r w:rsidR="00C77365" w:rsidRPr="00A05BD3">
        <w:rPr>
          <w:rFonts w:ascii="Times New Roman" w:hAnsi="Times New Roman"/>
          <w:sz w:val="24"/>
          <w:szCs w:val="24"/>
        </w:rPr>
        <w:fldChar w:fldCharType="separate"/>
      </w:r>
      <w:r w:rsidR="0097161D" w:rsidRPr="00A05BD3">
        <w:rPr>
          <w:rFonts w:ascii="Times New Roman" w:hAnsi="Times New Roman"/>
          <w:sz w:val="24"/>
          <w:szCs w:val="24"/>
        </w:rPr>
        <w:t>(Dunn, 1961)</w:t>
      </w:r>
      <w:r w:rsidR="00C77365" w:rsidRPr="00A05BD3">
        <w:rPr>
          <w:rFonts w:ascii="Times New Roman" w:hAnsi="Times New Roman"/>
          <w:sz w:val="24"/>
          <w:szCs w:val="24"/>
        </w:rPr>
        <w:fldChar w:fldCharType="end"/>
      </w:r>
      <w:r w:rsidR="0097161D" w:rsidRPr="00A05BD3">
        <w:rPr>
          <w:rFonts w:ascii="Times New Roman" w:hAnsi="Times New Roman"/>
          <w:sz w:val="24"/>
          <w:szCs w:val="24"/>
        </w:rPr>
        <w:t xml:space="preserve">. </w:t>
      </w:r>
    </w:p>
    <w:p w:rsidR="001C53E9" w:rsidRPr="00A05BD3" w:rsidRDefault="001C53E9" w:rsidP="004F4595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Similar to the analyses </w:t>
      </w:r>
      <w:r w:rsidR="00200C50">
        <w:rPr>
          <w:rFonts w:ascii="Times New Roman" w:hAnsi="Times New Roman"/>
          <w:sz w:val="24"/>
          <w:szCs w:val="24"/>
        </w:rPr>
        <w:t>containing</w:t>
      </w:r>
      <w:r>
        <w:rPr>
          <w:rFonts w:ascii="Times New Roman" w:hAnsi="Times New Roman"/>
          <w:sz w:val="24"/>
          <w:szCs w:val="24"/>
        </w:rPr>
        <w:t xml:space="preserve"> benthic </w:t>
      </w:r>
      <w:r w:rsidR="004F4595">
        <w:rPr>
          <w:rFonts w:ascii="Times New Roman" w:hAnsi="Times New Roman"/>
          <w:i/>
          <w:sz w:val="24"/>
          <w:szCs w:val="24"/>
        </w:rPr>
        <w:t>v</w:t>
      </w:r>
      <w:r w:rsidR="008616B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pelagic </w:t>
      </w:r>
      <w:r w:rsidR="00200C50">
        <w:rPr>
          <w:rFonts w:ascii="Times New Roman" w:hAnsi="Times New Roman"/>
          <w:sz w:val="24"/>
          <w:szCs w:val="24"/>
        </w:rPr>
        <w:t xml:space="preserve">diet </w:t>
      </w:r>
      <w:r>
        <w:rPr>
          <w:rFonts w:ascii="Times New Roman" w:hAnsi="Times New Roman"/>
          <w:sz w:val="24"/>
          <w:szCs w:val="24"/>
        </w:rPr>
        <w:t>designations, t</w:t>
      </w:r>
      <w:r w:rsidRPr="00A05BD3">
        <w:rPr>
          <w:rFonts w:ascii="Times New Roman" w:hAnsi="Times New Roman"/>
          <w:sz w:val="24"/>
          <w:szCs w:val="24"/>
        </w:rPr>
        <w:t>he results of the linear models</w:t>
      </w:r>
      <w:r w:rsidR="00200C50">
        <w:rPr>
          <w:rFonts w:ascii="Times New Roman" w:hAnsi="Times New Roman"/>
          <w:sz w:val="24"/>
          <w:szCs w:val="24"/>
        </w:rPr>
        <w:t xml:space="preserve"> presented here</w:t>
      </w:r>
      <w:r w:rsidRPr="00A05BD3">
        <w:rPr>
          <w:rFonts w:ascii="Times New Roman" w:hAnsi="Times New Roman"/>
          <w:sz w:val="24"/>
          <w:szCs w:val="24"/>
        </w:rPr>
        <w:t xml:space="preserve"> identified the best</w:t>
      </w:r>
      <w:r w:rsidR="004F4595">
        <w:rPr>
          <w:rFonts w:ascii="Times New Roman" w:hAnsi="Times New Roman"/>
          <w:sz w:val="24"/>
          <w:szCs w:val="24"/>
        </w:rPr>
        <w:t>-</w:t>
      </w:r>
      <w:r w:rsidRPr="00A05BD3">
        <w:rPr>
          <w:rFonts w:ascii="Times New Roman" w:hAnsi="Times New Roman"/>
          <w:sz w:val="24"/>
          <w:szCs w:val="24"/>
        </w:rPr>
        <w:t xml:space="preserve">fit model to contain both depth and habitat as co-predictors. The addition of diet as a co-predictor produced the </w:t>
      </w:r>
      <w:r w:rsidR="004F4595" w:rsidRPr="00A05BD3">
        <w:rPr>
          <w:rFonts w:ascii="Times New Roman" w:hAnsi="Times New Roman"/>
          <w:sz w:val="24"/>
          <w:szCs w:val="24"/>
        </w:rPr>
        <w:t>second-best</w:t>
      </w:r>
      <w:r w:rsidRPr="00A05BD3">
        <w:rPr>
          <w:rFonts w:ascii="Times New Roman" w:hAnsi="Times New Roman"/>
          <w:sz w:val="24"/>
          <w:szCs w:val="24"/>
        </w:rPr>
        <w:t xml:space="preserve"> model, which had the only ΔAIC value &lt;</w:t>
      </w:r>
      <w:r w:rsidR="004F4595">
        <w:rPr>
          <w:rFonts w:ascii="Times New Roman" w:hAnsi="Times New Roman"/>
          <w:sz w:val="24"/>
          <w:szCs w:val="24"/>
        </w:rPr>
        <w:t xml:space="preserve"> </w:t>
      </w:r>
      <w:r w:rsidRPr="00A05BD3"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z w:val="24"/>
          <w:szCs w:val="24"/>
        </w:rPr>
        <w:t>Diet alone did not have significant explanatory power, having a</w:t>
      </w:r>
      <w:r w:rsidRPr="00A05BD3">
        <w:rPr>
          <w:rFonts w:ascii="Times New Roman" w:hAnsi="Times New Roman"/>
          <w:sz w:val="24"/>
          <w:szCs w:val="24"/>
        </w:rPr>
        <w:t xml:space="preserve"> ΔAIC </w:t>
      </w:r>
      <w:r>
        <w:rPr>
          <w:rFonts w:ascii="Times New Roman" w:hAnsi="Times New Roman"/>
          <w:sz w:val="24"/>
          <w:szCs w:val="24"/>
        </w:rPr>
        <w:t>far greater than 4 and an</w:t>
      </w:r>
      <w:r w:rsidRPr="00A05BD3">
        <w:rPr>
          <w:rFonts w:ascii="Times New Roman" w:hAnsi="Times New Roman"/>
          <w:sz w:val="24"/>
          <w:szCs w:val="24"/>
        </w:rPr>
        <w:t xml:space="preserve"> Akaike weight of </w:t>
      </w:r>
      <w:r>
        <w:rPr>
          <w:rFonts w:ascii="Times New Roman" w:hAnsi="Times New Roman"/>
          <w:sz w:val="24"/>
          <w:szCs w:val="24"/>
        </w:rPr>
        <w:t>0.</w:t>
      </w:r>
    </w:p>
    <w:p w:rsidR="004F4595" w:rsidRDefault="004F4595" w:rsidP="004F459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C40E4D" w:rsidRPr="00BD2C78" w:rsidRDefault="004F4595" w:rsidP="004F459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Supporting</w:t>
      </w:r>
      <w:r w:rsidR="00C40E4D" w:rsidRPr="004B613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Information </w:t>
      </w:r>
      <w:r w:rsidR="00C40E4D" w:rsidRPr="004B6130">
        <w:rPr>
          <w:rFonts w:ascii="Times New Roman" w:hAnsi="Times New Roman"/>
          <w:sz w:val="24"/>
          <w:szCs w:val="24"/>
        </w:rPr>
        <w:t xml:space="preserve">Figure </w:t>
      </w:r>
      <w:r>
        <w:rPr>
          <w:rFonts w:ascii="Times New Roman" w:hAnsi="Times New Roman"/>
          <w:sz w:val="24"/>
          <w:szCs w:val="24"/>
        </w:rPr>
        <w:t>S</w:t>
      </w:r>
      <w:r w:rsidR="00C40E4D" w:rsidRPr="004B6130">
        <w:rPr>
          <w:rFonts w:ascii="Times New Roman" w:hAnsi="Times New Roman"/>
          <w:sz w:val="24"/>
          <w:szCs w:val="24"/>
        </w:rPr>
        <w:t>1</w:t>
      </w:r>
      <w:r w:rsidR="004B6130" w:rsidRPr="004B6130">
        <w:rPr>
          <w:rFonts w:ascii="Times New Roman" w:hAnsi="Times New Roman"/>
          <w:sz w:val="24"/>
          <w:szCs w:val="24"/>
        </w:rPr>
        <w:t>.</w:t>
      </w:r>
      <w:r w:rsidR="00C40E4D" w:rsidRPr="004B613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 xml:space="preserve">Box plots </w:t>
      </w:r>
      <w:bookmarkStart w:id="0" w:name="_Hlk520829650"/>
      <w:r>
        <w:rPr>
          <w:rFonts w:ascii="Times" w:hAnsi="Times" w:cs="Times"/>
          <w:sz w:val="24"/>
          <w:szCs w:val="24"/>
        </w:rPr>
        <w:t>(</w:t>
      </w:r>
      <w:r w:rsidRPr="000F79D3">
        <w:rPr>
          <w:rFonts w:ascii="Times New Roman" w:hAnsi="Times New Roman"/>
          <w:sz w:val="24"/>
          <w:szCs w:val="24"/>
        </w:rPr>
        <w:t>▬</w:t>
      </w:r>
      <w:bookmarkEnd w:id="0"/>
      <w:r w:rsidRPr="000F79D3">
        <w:rPr>
          <w:rFonts w:ascii="Times New Roman" w:hAnsi="Times New Roman"/>
          <w:sz w:val="24"/>
          <w:szCs w:val="24"/>
        </w:rPr>
        <w:t xml:space="preserve">, median; </w:t>
      </w:r>
      <w:bookmarkStart w:id="1" w:name="_Hlk528072115"/>
      <w:r w:rsidRPr="000F79D3">
        <w:rPr>
          <w:rFonts w:ascii="Times New Roman" w:hAnsi="Times New Roman"/>
          <w:sz w:val="24"/>
          <w:szCs w:val="24"/>
        </w:rPr>
        <w:t>□</w:t>
      </w:r>
      <w:bookmarkEnd w:id="1"/>
      <w:r w:rsidRPr="000F79D3">
        <w:rPr>
          <w:rFonts w:ascii="Times New Roman" w:hAnsi="Times New Roman"/>
          <w:sz w:val="24"/>
          <w:szCs w:val="24"/>
        </w:rPr>
        <w:t xml:space="preserve">, 25th and 75th quantiles; </w:t>
      </w:r>
      <w:r w:rsidRPr="000F79D3">
        <w:rPr>
          <w:rFonts w:ascii="Calibri Light" w:hAnsi="Calibri Light" w:cs="Calibri Light"/>
          <w:sz w:val="24"/>
          <w:szCs w:val="24"/>
        </w:rPr>
        <w:t>T</w:t>
      </w:r>
      <w:r w:rsidRPr="000F79D3">
        <w:rPr>
          <w:rFonts w:ascii="Times New Roman" w:hAnsi="Times New Roman"/>
          <w:sz w:val="24"/>
          <w:szCs w:val="24"/>
        </w:rPr>
        <w:t>, range; •, outliers</w:t>
      </w:r>
      <w:r>
        <w:rPr>
          <w:rFonts w:ascii="Times New Roman" w:hAnsi="Times New Roman"/>
          <w:sz w:val="24"/>
          <w:szCs w:val="24"/>
        </w:rPr>
        <w:t>)</w:t>
      </w:r>
      <w:r w:rsidRPr="00D219E5"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>showing r</w:t>
      </w:r>
      <w:r w:rsidR="00C40E4D" w:rsidRPr="004B6130">
        <w:rPr>
          <w:rFonts w:ascii="Times New Roman" w:hAnsi="Times New Roman"/>
          <w:sz w:val="24"/>
          <w:szCs w:val="24"/>
        </w:rPr>
        <w:t>od</w:t>
      </w:r>
      <w:r w:rsidR="00C40E4D" w:rsidRPr="00C40E4D">
        <w:rPr>
          <w:rFonts w:ascii="Times New Roman" w:hAnsi="Times New Roman"/>
          <w:sz w:val="24"/>
          <w:szCs w:val="24"/>
        </w:rPr>
        <w:t xml:space="preserve"> spectral sensitivity across</w:t>
      </w:r>
      <w:r w:rsidR="00C40E4D">
        <w:rPr>
          <w:rFonts w:ascii="Times New Roman" w:hAnsi="Times New Roman"/>
          <w:sz w:val="24"/>
          <w:szCs w:val="24"/>
        </w:rPr>
        <w:t xml:space="preserve"> the</w:t>
      </w:r>
      <w:r w:rsidR="00C40E4D" w:rsidRPr="00C40E4D">
        <w:rPr>
          <w:rFonts w:ascii="Times New Roman" w:hAnsi="Times New Roman"/>
          <w:sz w:val="24"/>
          <w:szCs w:val="24"/>
        </w:rPr>
        <w:t xml:space="preserve"> ecological variables diet</w:t>
      </w:r>
      <w:r w:rsidR="00C40E4D">
        <w:rPr>
          <w:rFonts w:ascii="Times New Roman" w:hAnsi="Times New Roman"/>
          <w:sz w:val="24"/>
          <w:szCs w:val="24"/>
        </w:rPr>
        <w:t xml:space="preserve"> organized according </w:t>
      </w:r>
      <w:r w:rsidR="00C40E4D">
        <w:rPr>
          <w:rFonts w:ascii="Times New Roman" w:hAnsi="Times New Roman"/>
          <w:sz w:val="24"/>
          <w:szCs w:val="24"/>
        </w:rPr>
        <w:lastRenderedPageBreak/>
        <w:t xml:space="preserve">to trophic level. No significant differences were observed (all </w:t>
      </w:r>
      <w:r w:rsidR="00C40E4D" w:rsidRPr="00C40E4D">
        <w:rPr>
          <w:rFonts w:ascii="Times New Roman" w:hAnsi="Times New Roman"/>
          <w:i/>
          <w:sz w:val="24"/>
          <w:szCs w:val="24"/>
        </w:rPr>
        <w:t>P</w:t>
      </w:r>
      <w:r w:rsidR="00C40E4D">
        <w:rPr>
          <w:rFonts w:ascii="Times New Roman" w:hAnsi="Times New Roman"/>
          <w:sz w:val="24"/>
          <w:szCs w:val="24"/>
        </w:rPr>
        <w:t xml:space="preserve"> &gt; 0.05)</w:t>
      </w:r>
      <w:r w:rsidR="00200C50">
        <w:rPr>
          <w:rFonts w:ascii="Times New Roman" w:hAnsi="Times New Roman"/>
          <w:sz w:val="24"/>
          <w:szCs w:val="24"/>
        </w:rPr>
        <w:t>.</w:t>
      </w:r>
      <w:r w:rsidR="00C40E4D">
        <w:rPr>
          <w:rFonts w:ascii="Times New Roman" w:hAnsi="Times New Roman"/>
          <w:sz w:val="24"/>
          <w:szCs w:val="24"/>
        </w:rPr>
        <w:t xml:space="preserve"> </w:t>
      </w:r>
      <w:r w:rsidR="00C40E4D" w:rsidRPr="00C40E4D">
        <w:rPr>
          <w:rFonts w:ascii="Times New Roman" w:hAnsi="Times New Roman"/>
          <w:sz w:val="24"/>
          <w:szCs w:val="24"/>
        </w:rPr>
        <w:t xml:space="preserve">Numbers listed beneath plot labels are the sample size for that category. </w:t>
      </w:r>
      <w:bookmarkStart w:id="2" w:name="_GoBack"/>
      <w:bookmarkEnd w:id="2"/>
      <w:r w:rsidR="00C77365">
        <w:rPr>
          <w:rFonts w:ascii="Times New Roman" w:hAnsi="Times New Roman"/>
          <w:noProof/>
          <w:sz w:val="24"/>
          <w:szCs w:val="24"/>
        </w:rPr>
        <w:pict>
          <v:rect id="Rectangle 2" o:spid="_x0000_s1026" style="position:absolute;left:0;text-align:left;margin-left:169pt;margin-top:33.7pt;width:45.5pt;height: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" fillcolor="white [3212]" stroked="f" strokeweight="1pt"/>
        </w:pict>
      </w:r>
    </w:p>
    <w:sectPr w:rsidR="00C40E4D" w:rsidRPr="00BD2C78" w:rsidSect="009C1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711DF"/>
    <w:rsid w:val="001711DF"/>
    <w:rsid w:val="001A0CF1"/>
    <w:rsid w:val="001C53E9"/>
    <w:rsid w:val="00200C50"/>
    <w:rsid w:val="004B6130"/>
    <w:rsid w:val="004F4595"/>
    <w:rsid w:val="008616B4"/>
    <w:rsid w:val="0097161D"/>
    <w:rsid w:val="009C121C"/>
    <w:rsid w:val="00BD2C78"/>
    <w:rsid w:val="00C40E4D"/>
    <w:rsid w:val="00C77365"/>
    <w:rsid w:val="00CA3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F45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E83978-6BCD-46C6-BF28-069D1CE65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</dc:creator>
  <cp:lastModifiedBy>006890</cp:lastModifiedBy>
  <cp:revision>2</cp:revision>
  <dcterms:created xsi:type="dcterms:W3CDTF">2018-12-24T10:54:00Z</dcterms:created>
  <dcterms:modified xsi:type="dcterms:W3CDTF">2018-12-24T10:54:00Z</dcterms:modified>
</cp:coreProperties>
</file>