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26AB4296" w:rsidR="00384804" w:rsidRDefault="00B24734" w:rsidP="00794D2C">
            <w:pPr>
              <w:pStyle w:val="TableBody"/>
            </w:pPr>
            <w:r>
              <w:fldChar w:fldCharType="begin"/>
            </w:r>
            <w:r>
              <w:instrText xml:space="preserve"> DATE \@ "M/d/yyyy" </w:instrText>
            </w:r>
            <w:r>
              <w:fldChar w:fldCharType="separate"/>
            </w:r>
            <w:r w:rsidR="00973A63">
              <w:rPr>
                <w:noProof/>
              </w:rPr>
              <w:t>2/14/2020</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 xml:space="preserve">When debugging server-side scripts, use </w:t>
      </w:r>
      <w:proofErr w:type="spellStart"/>
      <w:r>
        <w:t>VisualStudio</w:t>
      </w:r>
      <w:proofErr w:type="spellEnd"/>
      <w:r>
        <w:t xml:space="preserve">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executes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w:t>
      </w:r>
      <w:proofErr w:type="spellStart"/>
      <w:r>
        <w:t>iForm</w:t>
      </w:r>
      <w:proofErr w:type="spellEnd"/>
      <w:r>
        <w:t xml:space="preserve">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proofErr w:type="spellStart"/>
      <w:r w:rsidR="00840302" w:rsidRPr="00840302">
        <w:t>VV.Form.Global.AdminSave</w:t>
      </w:r>
      <w:proofErr w:type="spellEnd"/>
      <w:r w:rsidR="00840302" w:rsidRPr="00840302">
        <w:t>();</w:t>
      </w:r>
    </w:p>
    <w:p w14:paraId="123952A8" w14:textId="1A1A59AE" w:rsidR="00840302" w:rsidRDefault="00840302" w:rsidP="00840302">
      <w:pPr>
        <w:pStyle w:val="BodyText"/>
        <w:numPr>
          <w:ilvl w:val="1"/>
          <w:numId w:val="24"/>
        </w:numPr>
      </w:pPr>
      <w:r>
        <w:t xml:space="preserve">Only </w:t>
      </w:r>
      <w:proofErr w:type="spellStart"/>
      <w:r>
        <w:t>VaultAccess</w:t>
      </w:r>
      <w:proofErr w:type="spellEnd"/>
      <w:r>
        <w:t xml:space="preserve">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proofErr w:type="spellStart"/>
      <w:r w:rsidR="00BF452D" w:rsidRPr="00BF452D">
        <w:t>VV.Form.Global.CloseAndUnlockForm</w:t>
      </w:r>
      <w:proofErr w:type="spellEnd"/>
      <w:r w:rsidR="00BF452D" w:rsidRPr="00BF452D">
        <w:t>()</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 xml:space="preserve">The </w:t>
      </w:r>
      <w:proofErr w:type="spellStart"/>
      <w:r>
        <w:t>SaveButton</w:t>
      </w:r>
      <w:proofErr w:type="spellEnd"/>
      <w:r>
        <w:t xml:space="preserve"> Form Control should always be hidden</w:t>
      </w:r>
      <w:r w:rsidR="006E55EE">
        <w:t xml:space="preserve">. </w:t>
      </w:r>
    </w:p>
    <w:p w14:paraId="3583BC32" w14:textId="6C5D4DA1" w:rsidR="006E55EE" w:rsidRDefault="006E55EE" w:rsidP="00840302">
      <w:pPr>
        <w:pStyle w:val="BodyText"/>
        <w:numPr>
          <w:ilvl w:val="0"/>
          <w:numId w:val="24"/>
        </w:numPr>
      </w:pPr>
      <w:r>
        <w:t xml:space="preserve">The </w:t>
      </w:r>
      <w:proofErr w:type="spellStart"/>
      <w:r>
        <w:t>TabControl</w:t>
      </w:r>
      <w:proofErr w:type="spellEnd"/>
      <w:r>
        <w:t xml:space="preserve"> Form Control should never be hidden. </w:t>
      </w:r>
      <w:r w:rsidR="00681905">
        <w:t xml:space="preserve">Access to form tabs should be controlled </w:t>
      </w:r>
      <w:r w:rsidR="003261F3">
        <w:t>in the Menu tab of the Template Details screen.</w:t>
      </w:r>
    </w:p>
    <w:p w14:paraId="29666BC5" w14:textId="7BE457D0" w:rsidR="00386E81" w:rsidRDefault="00386E81" w:rsidP="00386E81">
      <w:pPr>
        <w:pStyle w:val="Heading1"/>
      </w:pPr>
      <w:r>
        <w:t>Query Standards</w:t>
      </w:r>
    </w:p>
    <w:p w14:paraId="490D4220" w14:textId="36EFF13A" w:rsidR="00973A63" w:rsidRDefault="00973A63" w:rsidP="00973A63">
      <w:pPr>
        <w:pStyle w:val="Heading2"/>
      </w:pPr>
      <w:r>
        <w:t>Naming Standards</w:t>
      </w:r>
    </w:p>
    <w:p w14:paraId="59413809" w14:textId="0209B263" w:rsidR="00386E81" w:rsidRDefault="00386E81" w:rsidP="00386E81">
      <w:r>
        <w:t xml:space="preserve">The following are a list of standards and guidelines for how queries should be named. </w:t>
      </w:r>
    </w:p>
    <w:p w14:paraId="481A7498" w14:textId="0692014E" w:rsidR="005821B5" w:rsidRDefault="005821B5" w:rsidP="005821B5">
      <w:r>
        <w:t>First, use the appropriate prefix based on list type:</w:t>
      </w:r>
    </w:p>
    <w:p w14:paraId="39F7B972" w14:textId="77777777" w:rsidR="005821B5" w:rsidRDefault="005821B5" w:rsidP="005821B5">
      <w:pPr>
        <w:pStyle w:val="ListParagraph"/>
        <w:numPr>
          <w:ilvl w:val="0"/>
          <w:numId w:val="27"/>
        </w:numPr>
      </w:pPr>
      <w:r>
        <w:t xml:space="preserve">Drop Down List -  </w:t>
      </w:r>
      <w:proofErr w:type="spellStart"/>
      <w:r>
        <w:t>zDD</w:t>
      </w:r>
      <w:proofErr w:type="spellEnd"/>
    </w:p>
    <w:p w14:paraId="6F92162A" w14:textId="77777777" w:rsidR="005821B5" w:rsidRDefault="005821B5" w:rsidP="005821B5">
      <w:pPr>
        <w:pStyle w:val="ListParagraph"/>
        <w:numPr>
          <w:ilvl w:val="0"/>
          <w:numId w:val="27"/>
        </w:numPr>
      </w:pPr>
      <w:r>
        <w:t xml:space="preserve">Drop Down List  with Lookup to populate cascading drop down - </w:t>
      </w:r>
      <w:proofErr w:type="spellStart"/>
      <w:r>
        <w:t>zDDLkup</w:t>
      </w:r>
      <w:proofErr w:type="spellEnd"/>
    </w:p>
    <w:p w14:paraId="52693B99" w14:textId="77777777" w:rsidR="005821B5" w:rsidRDefault="005821B5" w:rsidP="005821B5">
      <w:pPr>
        <w:pStyle w:val="ListParagraph"/>
        <w:numPr>
          <w:ilvl w:val="0"/>
          <w:numId w:val="27"/>
        </w:numPr>
      </w:pPr>
      <w:r>
        <w:t xml:space="preserve">Lookup Query to populate other fields - </w:t>
      </w:r>
      <w:proofErr w:type="spellStart"/>
      <w:r>
        <w:t>zLookup</w:t>
      </w:r>
      <w:proofErr w:type="spellEnd"/>
    </w:p>
    <w:p w14:paraId="31E8927E" w14:textId="59E50D56" w:rsidR="005821B5" w:rsidRDefault="005821B5" w:rsidP="005821B5">
      <w:pPr>
        <w:pStyle w:val="ListParagraph"/>
        <w:numPr>
          <w:ilvl w:val="0"/>
          <w:numId w:val="27"/>
        </w:numPr>
      </w:pPr>
      <w:r>
        <w:t xml:space="preserve">The query for web services - </w:t>
      </w:r>
      <w:proofErr w:type="spellStart"/>
      <w:r>
        <w:t>zWebSvc</w:t>
      </w:r>
      <w:proofErr w:type="spellEnd"/>
    </w:p>
    <w:p w14:paraId="29A2E173" w14:textId="4248B92D" w:rsidR="00386E81" w:rsidRDefault="005821B5" w:rsidP="005821B5">
      <w:r>
        <w:t>All queries should have the Title for the list information to start the name after the prefix.  Then have a "by" statement if the query is filtering the information or to represent the @Value passed into it.</w:t>
      </w:r>
    </w:p>
    <w:p w14:paraId="52780C5A" w14:textId="6759D758" w:rsidR="00386E81" w:rsidRDefault="00EA6003" w:rsidP="00386E81">
      <w:pPr>
        <w:pStyle w:val="BodyText"/>
      </w:pPr>
      <w:r>
        <w:lastRenderedPageBreak/>
        <w:t xml:space="preserve">Query name examples: </w:t>
      </w:r>
    </w:p>
    <w:p w14:paraId="7CA74A0B" w14:textId="0EC29D4D" w:rsidR="00EA6003" w:rsidRDefault="00EA6003" w:rsidP="00EA6003">
      <w:pPr>
        <w:pStyle w:val="BodyText"/>
        <w:numPr>
          <w:ilvl w:val="0"/>
          <w:numId w:val="28"/>
        </w:numPr>
      </w:pPr>
      <w:proofErr w:type="spellStart"/>
      <w:r>
        <w:t>zDD</w:t>
      </w:r>
      <w:proofErr w:type="spellEnd"/>
      <w:r w:rsidR="004267DF">
        <w:t xml:space="preserve"> </w:t>
      </w:r>
      <w:r>
        <w:t>Yes</w:t>
      </w:r>
      <w:r w:rsidR="004267DF">
        <w:t xml:space="preserve"> </w:t>
      </w:r>
      <w:r>
        <w:t>No</w:t>
      </w:r>
    </w:p>
    <w:p w14:paraId="25028F6E" w14:textId="3A3D42F8" w:rsidR="00EA6003" w:rsidRDefault="00EA6003" w:rsidP="00EA6003">
      <w:pPr>
        <w:pStyle w:val="BodyText"/>
        <w:numPr>
          <w:ilvl w:val="0"/>
          <w:numId w:val="28"/>
        </w:numPr>
      </w:pPr>
      <w:proofErr w:type="spellStart"/>
      <w:r>
        <w:t>zDDLkup</w:t>
      </w:r>
      <w:proofErr w:type="spellEnd"/>
      <w:r w:rsidR="004267DF">
        <w:t xml:space="preserve"> </w:t>
      </w:r>
      <w:r>
        <w:t>Agencies</w:t>
      </w:r>
      <w:r w:rsidR="004267DF">
        <w:t xml:space="preserve"> </w:t>
      </w:r>
      <w:r>
        <w:t>by</w:t>
      </w:r>
      <w:r w:rsidR="004267DF">
        <w:t xml:space="preserve"> </w:t>
      </w:r>
      <w:r>
        <w:t>Zip</w:t>
      </w:r>
      <w:r w:rsidR="004267DF">
        <w:t xml:space="preserve"> </w:t>
      </w:r>
      <w:r>
        <w:t>Code</w:t>
      </w:r>
    </w:p>
    <w:p w14:paraId="37F986CE" w14:textId="450F85C6" w:rsidR="00EA6003" w:rsidRDefault="00EA6003" w:rsidP="00EA6003">
      <w:pPr>
        <w:pStyle w:val="BodyText"/>
        <w:numPr>
          <w:ilvl w:val="0"/>
          <w:numId w:val="28"/>
        </w:numPr>
      </w:pPr>
      <w:proofErr w:type="spellStart"/>
      <w:r>
        <w:t>zLookup</w:t>
      </w:r>
      <w:proofErr w:type="spellEnd"/>
      <w:r w:rsidR="004267DF">
        <w:t xml:space="preserve"> </w:t>
      </w:r>
      <w:r w:rsidR="00FC22B2">
        <w:t>Agency</w:t>
      </w:r>
      <w:r w:rsidR="004267DF">
        <w:t xml:space="preserve"> </w:t>
      </w:r>
      <w:r w:rsidR="00FC22B2">
        <w:t>Info</w:t>
      </w:r>
      <w:r w:rsidR="004267DF">
        <w:t xml:space="preserve"> </w:t>
      </w:r>
      <w:r w:rsidR="00FC22B2">
        <w:t>by</w:t>
      </w:r>
      <w:r w:rsidR="004267DF">
        <w:t xml:space="preserve"> </w:t>
      </w:r>
      <w:r w:rsidR="00FC22B2">
        <w:t>Form</w:t>
      </w:r>
      <w:r w:rsidR="004267DF">
        <w:t xml:space="preserve"> </w:t>
      </w:r>
      <w:r w:rsidR="00FC22B2">
        <w:t>ID</w:t>
      </w:r>
    </w:p>
    <w:p w14:paraId="3434A52E" w14:textId="23ED1B21" w:rsidR="00386E81" w:rsidRDefault="00FC22B2" w:rsidP="00386E81">
      <w:pPr>
        <w:pStyle w:val="BodyText"/>
        <w:numPr>
          <w:ilvl w:val="0"/>
          <w:numId w:val="28"/>
        </w:numPr>
      </w:pPr>
      <w:proofErr w:type="spellStart"/>
      <w:r>
        <w:t>zWebSvc</w:t>
      </w:r>
      <w:proofErr w:type="spellEnd"/>
      <w:r w:rsidR="004267DF">
        <w:t xml:space="preserve"> </w:t>
      </w:r>
      <w:r w:rsidR="006B4900">
        <w:t>Find</w:t>
      </w:r>
      <w:r w:rsidR="004267DF">
        <w:t xml:space="preserve"> </w:t>
      </w:r>
      <w:r w:rsidR="006B4900">
        <w:t>Agency</w:t>
      </w:r>
    </w:p>
    <w:p w14:paraId="5A367B48" w14:textId="5F2F690F" w:rsidR="00973A63" w:rsidRDefault="00973A63" w:rsidP="00973A63">
      <w:pPr>
        <w:pStyle w:val="Heading2"/>
      </w:pPr>
      <w:r>
        <w:t>Other Query Standards</w:t>
      </w:r>
    </w:p>
    <w:p w14:paraId="38DE3D17" w14:textId="0A9068CB" w:rsidR="00973A63" w:rsidRPr="001923DB" w:rsidRDefault="00D006E5" w:rsidP="00973A63">
      <w:pPr>
        <w:pStyle w:val="BodyText"/>
      </w:pPr>
      <w:r>
        <w:t>Queries shoul</w:t>
      </w:r>
      <w:bookmarkStart w:id="4" w:name="_GoBack"/>
      <w:bookmarkEnd w:id="4"/>
      <w:r>
        <w:t>d be</w:t>
      </w:r>
      <w:r w:rsidRPr="00D006E5">
        <w:t xml:space="preserve"> sorted alphabetically by display value unless specifically required to be sorted another way</w:t>
      </w:r>
      <w:r>
        <w:t>.</w:t>
      </w:r>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74F52177" w:rsidR="004F0090" w:rsidRDefault="004F0090" w:rsidP="004F0090">
      <w:pPr>
        <w:pStyle w:val="ListParagraph"/>
        <w:numPr>
          <w:ilvl w:val="0"/>
          <w:numId w:val="12"/>
        </w:numPr>
      </w:pPr>
      <w:r>
        <w:t xml:space="preserve">When setting date fields or </w:t>
      </w:r>
      <w:r w:rsidR="00637047">
        <w:t>otherwise handling dates</w:t>
      </w:r>
      <w:r>
        <w:t xml:space="preserve">, </w:t>
      </w:r>
      <w:r w:rsidRPr="00F03627">
        <w:rPr>
          <w:b/>
        </w:rPr>
        <w:t>avoid</w:t>
      </w:r>
      <w:r w:rsidR="00F03627">
        <w:t xml:space="preserve"> </w:t>
      </w:r>
      <w:r>
        <w:t>.</w:t>
      </w:r>
      <w:proofErr w:type="spellStart"/>
      <w:r>
        <w:t>toLocaleDateString</w:t>
      </w:r>
      <w:proofErr w:type="spellEnd"/>
      <w:r>
        <w:t>() and .</w:t>
      </w:r>
      <w:proofErr w:type="spellStart"/>
      <w:r>
        <w:t>toLocaleTimeString</w:t>
      </w:r>
      <w:proofErr w:type="spellEnd"/>
      <w:r>
        <w:t xml:space="preserve">(), as these methods are </w:t>
      </w:r>
      <w:r w:rsidRPr="0001165E">
        <w:rPr>
          <w:b/>
        </w:rPr>
        <w:t xml:space="preserve">not supported </w:t>
      </w:r>
      <w:r>
        <w:t>in Internet Explorer 11. You may inst</w:t>
      </w:r>
      <w:r w:rsidR="00016EF4">
        <w:t xml:space="preserve">ead </w:t>
      </w:r>
      <w:r>
        <w:t xml:space="preserve">build a string to represent the date in order to use the </w:t>
      </w:r>
      <w:proofErr w:type="spellStart"/>
      <w:r>
        <w:t>VV.Form.SetFieldValue</w:t>
      </w:r>
      <w:proofErr w:type="spell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Date().</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lastRenderedPageBreak/>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r w:rsidRPr="005461FE">
        <w:rPr>
          <w:rFonts w:ascii="Consolas" w:hAnsi="Consolas" w:cs="Consolas"/>
          <w:color w:val="000000"/>
          <w:sz w:val="16"/>
          <w:szCs w:val="16"/>
        </w:rPr>
        <w:t>VV.Form.GetDateObjectFromCalendar</w:t>
      </w:r>
      <w:proofErr w:type="spell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Date();</w:t>
      </w:r>
    </w:p>
    <w:p w14:paraId="1CD9EB2E" w14:textId="1C119A16" w:rsidR="006772AF" w:rsidRPr="00016EF4" w:rsidRDefault="004F0090" w:rsidP="00016EF4">
      <w:pPr>
        <w:jc w:val="left"/>
        <w:rPr>
          <w:sz w:val="16"/>
          <w:szCs w:val="16"/>
        </w:rPr>
      </w:pPr>
      <w:proofErr w:type="spellStart"/>
      <w:r w:rsidRPr="005461FE">
        <w:rPr>
          <w:rFonts w:ascii="Consolas" w:hAnsi="Consolas" w:cs="Consolas"/>
          <w:color w:val="000000"/>
          <w:sz w:val="16"/>
          <w:szCs w:val="16"/>
        </w:rPr>
        <w:t>VV.Form.SetFieldValue</w:t>
      </w:r>
      <w:proofErr w:type="spell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953D3B3" w14:textId="52245B94"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 xml:space="preserve">that we </w:t>
      </w:r>
      <w:r w:rsidR="007D275A" w:rsidRPr="003F30BA">
        <w:t>should not use</w:t>
      </w:r>
      <w:r w:rsidR="007D275A">
        <w:t>:</w:t>
      </w:r>
    </w:p>
    <w:p w14:paraId="57DA115C" w14:textId="3397959F" w:rsidR="009B2DFF" w:rsidRPr="003F30BA" w:rsidRDefault="003F30BA" w:rsidP="003F30BA">
      <w:pPr>
        <w:pStyle w:val="ListParagraph"/>
        <w:rPr>
          <w:b/>
        </w:rPr>
      </w:pPr>
      <w:r>
        <w:rPr>
          <w:b/>
        </w:rPr>
        <w:t xml:space="preserve">DO NOT USE: </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proofErr w:type="spellStart"/>
      <w:r w:rsidRPr="007D275A">
        <w:rPr>
          <w:rFonts w:ascii="Courier New" w:hAnsi="Courier New" w:cs="Courier New"/>
          <w:color w:val="0077AA"/>
          <w:sz w:val="20"/>
          <w:szCs w:val="20"/>
          <w:shd w:val="clear" w:color="auto" w:fill="F5F2F0"/>
          <w:lang w:val="es-CL" w:eastAsia="es-CL"/>
        </w:rPr>
        <w:t>const</w:t>
      </w:r>
      <w:proofErr w:type="spellEnd"/>
      <w:r w:rsidRPr="007D275A">
        <w:rPr>
          <w:rFonts w:ascii="Courier New" w:hAnsi="Courier New" w:cs="Courier New"/>
          <w:color w:val="000000"/>
          <w:sz w:val="20"/>
          <w:szCs w:val="20"/>
          <w:shd w:val="clear" w:color="auto" w:fill="F5F2F0"/>
          <w:lang w:val="es-CL" w:eastAsia="es-CL"/>
        </w:rPr>
        <w:t xml:space="preserve"> </w:t>
      </w:r>
      <w:proofErr w:type="spellStart"/>
      <w:r w:rsidRPr="007D275A">
        <w:rPr>
          <w:rFonts w:ascii="Courier New" w:hAnsi="Courier New" w:cs="Courier New"/>
          <w:color w:val="883F44"/>
          <w:sz w:val="20"/>
          <w:szCs w:val="20"/>
          <w:shd w:val="clear" w:color="auto" w:fill="F5F2F0"/>
          <w:lang w:val="es-CL" w:eastAsia="es-CL"/>
        </w:rPr>
        <w:t>absValue</w:t>
      </w:r>
      <w:proofErr w:type="spellEnd"/>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roofErr w:type="spellStart"/>
      <w:r w:rsidRPr="007D275A">
        <w:rPr>
          <w:rFonts w:ascii="Courier New" w:hAnsi="Courier New" w:cs="Courier New"/>
          <w:color w:val="000000"/>
          <w:sz w:val="20"/>
          <w:szCs w:val="20"/>
          <w:shd w:val="clear" w:color="auto" w:fill="F5F2F0"/>
          <w:lang w:val="es-CL" w:eastAsia="es-CL"/>
        </w:rPr>
        <w:t>number</w:t>
      </w:r>
      <w:proofErr w:type="spellEnd"/>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 xml:space="preserve">backtick literals:  </w:t>
      </w:r>
      <w:r>
        <w:rPr>
          <w:rFonts w:ascii="Arial" w:hAnsi="Arial" w:cs="Arial"/>
          <w:color w:val="222222"/>
          <w:shd w:val="clear" w:color="auto" w:fill="FFFFFF"/>
        </w:rPr>
        <w:t>(`${</w:t>
      </w:r>
      <w:proofErr w:type="spellStart"/>
      <w:r>
        <w:rPr>
          <w:rFonts w:ascii="Arial" w:hAnsi="Arial" w:cs="Arial"/>
          <w:color w:val="222222"/>
          <w:shd w:val="clear" w:color="auto" w:fill="FFFFFF"/>
        </w:rPr>
        <w:t>successMessage</w:t>
      </w:r>
      <w:proofErr w:type="spellEnd"/>
      <w:r>
        <w:rPr>
          <w:rFonts w:ascii="Arial" w:hAnsi="Arial" w:cs="Arial"/>
          <w:color w:val="222222"/>
          <w:shd w:val="clear" w:color="auto" w:fill="FFFFFF"/>
        </w:rPr>
        <w:t>} The form will be saved when the yellow banner appears.`)</w:t>
      </w:r>
    </w:p>
    <w:p w14:paraId="235EDF0B" w14:textId="2E437B0F" w:rsidR="006772AF" w:rsidRDefault="00CE209F" w:rsidP="007D275A">
      <w:pPr>
        <w:ind w:left="720"/>
      </w:pPr>
      <w:r>
        <w:t xml:space="preserve">These commands in code </w:t>
      </w:r>
      <w:r w:rsidRPr="00FE2F0C">
        <w:t>will not work</w:t>
      </w:r>
      <w:r>
        <w:t xml:space="preserve">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r>
        <w:t>vvClient.forms.getForms</w:t>
      </w:r>
      <w:proofErr w:type="spell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25E87DC0" w14:textId="1446CDA3" w:rsidR="00B451A8" w:rsidRPr="00521536" w:rsidRDefault="00B451A8" w:rsidP="006772AF">
      <w:pPr>
        <w:pStyle w:val="ListParagraph"/>
        <w:numPr>
          <w:ilvl w:val="0"/>
          <w:numId w:val="12"/>
        </w:numPr>
        <w:rPr>
          <w:color w:val="4F81BD" w:themeColor="accent1"/>
        </w:rPr>
      </w:pPr>
      <w:r w:rsidRPr="00521536">
        <w:rPr>
          <w:color w:val="4F81BD" w:themeColor="accent1"/>
        </w:rPr>
        <w:t xml:space="preserve">When declaring variables, only use const in web service scripts to declare configuration type variables that will never change in your code.  At all other times use let or var.  This will prevent errors from occurring if someone </w:t>
      </w:r>
      <w:r w:rsidR="00D311F9" w:rsidRPr="00521536">
        <w:rPr>
          <w:color w:val="4F81BD" w:themeColor="accent1"/>
        </w:rPr>
        <w:t>inadvertently attempts to assign values to a const variable after it has been declared.</w:t>
      </w:r>
    </w:p>
    <w:p w14:paraId="4ED94982" w14:textId="2ADAC5F1" w:rsidR="006772AF" w:rsidRDefault="006772AF" w:rsidP="006772AF">
      <w:pPr>
        <w:pStyle w:val="ListParagraph"/>
        <w:numPr>
          <w:ilvl w:val="0"/>
          <w:numId w:val="12"/>
        </w:numPr>
      </w:pPr>
      <w:r>
        <w:t xml:space="preserve">A comment section needs to be at the top of the </w:t>
      </w:r>
      <w:proofErr w:type="spellStart"/>
      <w:r>
        <w:t>module.exports.main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require(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require(</w:t>
      </w:r>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module.exports.getCredentials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options.customerAlias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options.databaseAlias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options.userId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options.password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options.clientId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options.clientSecret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module.exports.main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  (Following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r w:rsidR="00720CD2">
        <w:rPr>
          <w:rFonts w:ascii="Consolas" w:hAnsi="Consolas" w:cs="Consolas"/>
          <w:color w:val="000000"/>
          <w:sz w:val="19"/>
          <w:szCs w:val="19"/>
          <w:highlight w:val="white"/>
        </w:rPr>
        <w:t>logger.info(</w:t>
      </w:r>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lastRenderedPageBreak/>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r w:rsidR="00016281" w:rsidRPr="00016281">
        <w:t>vvClient.forms.getForms</w:t>
      </w:r>
      <w:proofErr w:type="spellEnd"/>
      <w:r w:rsidR="00016281">
        <w:t>(), consider whether</w:t>
      </w:r>
      <w:r w:rsidR="00A75A88">
        <w:t xml:space="preserve"> your query string </w:t>
      </w:r>
      <w:r w:rsidR="00041C02">
        <w:t>could</w:t>
      </w:r>
      <w:r w:rsidR="00A75A88">
        <w:t xml:space="preserve"> include any apostrophes. This is common in names. </w:t>
      </w:r>
      <w:r w:rsidR="00F06E0E" w:rsidRPr="00F06E0E">
        <w:t>String expressions containing an apostrophe must escaped with the apostrophe with either a \ (backslash) or escaped with a ‘ (single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ensure that all apostrophes are escaped in your string expressions is to use the .replace()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5B0DA609" w:rsidR="006772AF" w:rsidRDefault="006772AF" w:rsidP="005C4B5C">
      <w:pPr>
        <w:pStyle w:val="ListParagraph"/>
        <w:numPr>
          <w:ilvl w:val="0"/>
          <w:numId w:val="26"/>
        </w:numPr>
        <w:spacing w:before="0" w:after="160" w:line="259" w:lineRule="auto"/>
        <w:jc w:val="left"/>
      </w:pPr>
      <w:r>
        <w:t xml:space="preserve">Bubble error messages back through to the client.  Not all error messages should be displayed to the client but they should be specific and handled </w:t>
      </w:r>
      <w:r w:rsidR="00720CD2">
        <w:t>as needed</w:t>
      </w:r>
      <w:r>
        <w:t>.</w:t>
      </w:r>
      <w:r w:rsidR="0021698E">
        <w:t xml:space="preserve"> </w:t>
      </w:r>
      <w:r w:rsidR="005C4B5C">
        <w:t xml:space="preserve">For example, if a “not unique” error returns from a </w:t>
      </w:r>
      <w:proofErr w:type="spellStart"/>
      <w:r w:rsidR="005C4B5C">
        <w:t>verifyUnique</w:t>
      </w:r>
      <w:proofErr w:type="spellEnd"/>
      <w:r w:rsidR="005C4B5C">
        <w:t xml:space="preserve"> call, pass back a user-friendly error that will tell the user know which fields need to be updated.</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676EBF4F"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p w14:paraId="1EAE1A6F" w14:textId="17984570" w:rsidR="002355A7" w:rsidRDefault="002355A7" w:rsidP="002355A7"/>
    <w:p w14:paraId="47ACA644" w14:textId="29901D88" w:rsidR="002355A7" w:rsidRDefault="00414194" w:rsidP="005A5A1C">
      <w:pPr>
        <w:pStyle w:val="Heading1"/>
      </w:pPr>
      <w:r>
        <w:lastRenderedPageBreak/>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The architect is the person who holds and drives the vision of the end product.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lastRenderedPageBreak/>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proofErr w:type="spellStart"/>
      <w:r>
        <w:t>Customer.api</w:t>
      </w:r>
      <w:proofErr w:type="spellEnd"/>
      <w:r>
        <w:t xml:space="preserve"> – used for web services only.</w:t>
      </w:r>
    </w:p>
    <w:p w14:paraId="70E95895" w14:textId="6D695018" w:rsidR="007F7F78" w:rsidRDefault="007F7F78" w:rsidP="007F7F78">
      <w:pPr>
        <w:pStyle w:val="BodyText"/>
        <w:numPr>
          <w:ilvl w:val="0"/>
          <w:numId w:val="25"/>
        </w:numPr>
      </w:pPr>
      <w:proofErr w:type="spellStart"/>
      <w:r>
        <w:t>Customer.config</w:t>
      </w:r>
      <w:proofErr w:type="spellEnd"/>
      <w:r>
        <w:t xml:space="preserve"> – used for configuration accounts. The data center team will typically set up this user.</w:t>
      </w:r>
    </w:p>
    <w:p w14:paraId="7C329B81" w14:textId="7BF9066E" w:rsidR="007F7F78" w:rsidRDefault="007F7F78" w:rsidP="007F7F78">
      <w:pPr>
        <w:pStyle w:val="BodyText"/>
        <w:numPr>
          <w:ilvl w:val="0"/>
          <w:numId w:val="25"/>
        </w:numPr>
      </w:pPr>
      <w:proofErr w:type="spellStart"/>
      <w:r>
        <w:t>Customer.purpose.import</w:t>
      </w:r>
      <w:proofErr w:type="spellEnd"/>
      <w:r>
        <w:t xml:space="preserve"> – used for configuring imports that have security in a specific area of the system. Example: </w:t>
      </w:r>
      <w:proofErr w:type="spellStart"/>
      <w:r>
        <w:t>customer.file</w:t>
      </w:r>
      <w:r w:rsidR="00CB76AE">
        <w:t>s.import</w:t>
      </w:r>
      <w:proofErr w:type="spellEnd"/>
      <w:r w:rsidR="00CB76AE">
        <w:t xml:space="preserve"> or </w:t>
      </w:r>
      <w:proofErr w:type="spellStart"/>
      <w:r w:rsidR="00CB76AE">
        <w:t>customer.emails.import</w:t>
      </w:r>
      <w:proofErr w:type="spellEnd"/>
    </w:p>
    <w:p w14:paraId="1B789449" w14:textId="5914B5FB" w:rsidR="00CB76AE" w:rsidRDefault="00CB76AE" w:rsidP="007F7F78">
      <w:pPr>
        <w:pStyle w:val="BodyText"/>
        <w:numPr>
          <w:ilvl w:val="0"/>
          <w:numId w:val="25"/>
        </w:numPr>
      </w:pPr>
      <w:proofErr w:type="spellStart"/>
      <w:r>
        <w:t>Customer.ocr</w:t>
      </w:r>
      <w:proofErr w:type="spellEnd"/>
      <w:r>
        <w:t xml:space="preserve"> – used for OCR. The VisualVault technical resource that is configuring OCR will typically set up this user. </w:t>
      </w:r>
    </w:p>
    <w:p w14:paraId="0A963E3F" w14:textId="3F7F986E" w:rsidR="00CB76AE" w:rsidRPr="00CF3688" w:rsidRDefault="00CB76AE" w:rsidP="007F7F78">
      <w:pPr>
        <w:pStyle w:val="BodyText"/>
        <w:numPr>
          <w:ilvl w:val="0"/>
          <w:numId w:val="25"/>
        </w:numPr>
      </w:pPr>
      <w:proofErr w:type="spellStart"/>
      <w:r>
        <w:t>Customer.purpose</w:t>
      </w:r>
      <w:proofErr w:type="spellEnd"/>
      <w:r>
        <w:t xml:space="preserve"> – used for any other</w:t>
      </w:r>
      <w:r w:rsidR="007A504F">
        <w:t xml:space="preserve"> solution-specific programmatic purpose</w:t>
      </w:r>
      <w:r w:rsidR="00C644A8">
        <w:t xml:space="preserve"> with security in a specific area of the system. </w:t>
      </w:r>
    </w:p>
    <w:p w14:paraId="5AD52012" w14:textId="77777777" w:rsidR="00CF3688" w:rsidRPr="00E55750" w:rsidRDefault="00CF3688" w:rsidP="00812F0A">
      <w:pPr>
        <w:pStyle w:val="BodyText"/>
      </w:pPr>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EC87" w14:textId="77777777" w:rsidR="0097194A" w:rsidRDefault="0097194A">
      <w:r>
        <w:separator/>
      </w:r>
    </w:p>
    <w:p w14:paraId="16E0CF3D" w14:textId="77777777" w:rsidR="0097194A" w:rsidRDefault="0097194A"/>
  </w:endnote>
  <w:endnote w:type="continuationSeparator" w:id="0">
    <w:p w14:paraId="0F204EBA" w14:textId="77777777" w:rsidR="0097194A" w:rsidRDefault="0097194A">
      <w:r>
        <w:continuationSeparator/>
      </w:r>
    </w:p>
    <w:p w14:paraId="6578FB8D" w14:textId="77777777" w:rsidR="0097194A" w:rsidRDefault="0097194A"/>
  </w:endnote>
  <w:endnote w:type="continuationNotice" w:id="1">
    <w:p w14:paraId="47B58E4A" w14:textId="77777777" w:rsidR="0097194A" w:rsidRDefault="009719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FEBB" w14:textId="77777777" w:rsidR="0097194A" w:rsidRDefault="0097194A">
      <w:r>
        <w:separator/>
      </w:r>
    </w:p>
    <w:p w14:paraId="6FAF277E" w14:textId="77777777" w:rsidR="0097194A" w:rsidRDefault="0097194A"/>
  </w:footnote>
  <w:footnote w:type="continuationSeparator" w:id="0">
    <w:p w14:paraId="4A49E6E5" w14:textId="77777777" w:rsidR="0097194A" w:rsidRDefault="0097194A">
      <w:r>
        <w:continuationSeparator/>
      </w:r>
    </w:p>
    <w:p w14:paraId="102BBD01" w14:textId="77777777" w:rsidR="0097194A" w:rsidRDefault="0097194A"/>
  </w:footnote>
  <w:footnote w:type="continuationNotice" w:id="1">
    <w:p w14:paraId="594FA85C" w14:textId="77777777" w:rsidR="0097194A" w:rsidRDefault="009719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rto="http://schemas.microsoft.com/office/word/2006/arto">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rto="http://schemas.microsoft.com/office/word/2006/arto">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31.95pt;height:31.9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D03361"/>
    <w:multiLevelType w:val="hybridMultilevel"/>
    <w:tmpl w:val="97F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31A56"/>
    <w:multiLevelType w:val="hybridMultilevel"/>
    <w:tmpl w:val="29CC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14"/>
  </w:num>
  <w:num w:numId="5">
    <w:abstractNumId w:val="20"/>
  </w:num>
  <w:num w:numId="6">
    <w:abstractNumId w:val="17"/>
  </w:num>
  <w:num w:numId="7">
    <w:abstractNumId w:val="28"/>
  </w:num>
  <w:num w:numId="8">
    <w:abstractNumId w:val="25"/>
  </w:num>
  <w:num w:numId="9">
    <w:abstractNumId w:val="29"/>
  </w:num>
  <w:num w:numId="10">
    <w:abstractNumId w:val="7"/>
  </w:num>
  <w:num w:numId="11">
    <w:abstractNumId w:val="23"/>
  </w:num>
  <w:num w:numId="12">
    <w:abstractNumId w:val="24"/>
  </w:num>
  <w:num w:numId="13">
    <w:abstractNumId w:val="9"/>
  </w:num>
  <w:num w:numId="14">
    <w:abstractNumId w:val="19"/>
  </w:num>
  <w:num w:numId="15">
    <w:abstractNumId w:val="18"/>
  </w:num>
  <w:num w:numId="16">
    <w:abstractNumId w:val="8"/>
  </w:num>
  <w:num w:numId="17">
    <w:abstractNumId w:val="26"/>
  </w:num>
  <w:num w:numId="18">
    <w:abstractNumId w:val="27"/>
  </w:num>
  <w:num w:numId="19">
    <w:abstractNumId w:val="21"/>
  </w:num>
  <w:num w:numId="20">
    <w:abstractNumId w:val="13"/>
  </w:num>
  <w:num w:numId="21">
    <w:abstractNumId w:val="11"/>
  </w:num>
  <w:num w:numId="22">
    <w:abstractNumId w:val="31"/>
  </w:num>
  <w:num w:numId="23">
    <w:abstractNumId w:val="4"/>
  </w:num>
  <w:num w:numId="24">
    <w:abstractNumId w:val="10"/>
  </w:num>
  <w:num w:numId="25">
    <w:abstractNumId w:val="6"/>
  </w:num>
  <w:num w:numId="26">
    <w:abstractNumId w:val="15"/>
  </w:num>
  <w:num w:numId="27">
    <w:abstractNumId w:val="30"/>
  </w:num>
  <w:num w:numId="2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wFAL3SDqYtAAAA"/>
  </w:docVars>
  <w:rsids>
    <w:rsidRoot w:val="00B1350F"/>
    <w:rsid w:val="000015D9"/>
    <w:rsid w:val="00001FC6"/>
    <w:rsid w:val="00003124"/>
    <w:rsid w:val="00004DB7"/>
    <w:rsid w:val="00006B4C"/>
    <w:rsid w:val="00007CFC"/>
    <w:rsid w:val="00010B2C"/>
    <w:rsid w:val="0001165E"/>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1406"/>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494"/>
    <w:rsid w:val="00124824"/>
    <w:rsid w:val="00125004"/>
    <w:rsid w:val="00125B9F"/>
    <w:rsid w:val="00125F78"/>
    <w:rsid w:val="00126932"/>
    <w:rsid w:val="001307DA"/>
    <w:rsid w:val="00131E02"/>
    <w:rsid w:val="00133C42"/>
    <w:rsid w:val="001344E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698E"/>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177"/>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6E81"/>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0BA"/>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7DF"/>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536"/>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21B5"/>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4B5C"/>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4900"/>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3F0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37D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194A"/>
    <w:rsid w:val="00973A63"/>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2DFF"/>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3912"/>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1A8"/>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06E5"/>
    <w:rsid w:val="00D055C6"/>
    <w:rsid w:val="00D06CBC"/>
    <w:rsid w:val="00D06E94"/>
    <w:rsid w:val="00D11B35"/>
    <w:rsid w:val="00D2072B"/>
    <w:rsid w:val="00D22C80"/>
    <w:rsid w:val="00D24371"/>
    <w:rsid w:val="00D26776"/>
    <w:rsid w:val="00D311F9"/>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003"/>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627"/>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2B2"/>
    <w:rsid w:val="00FC2BAE"/>
    <w:rsid w:val="00FC7103"/>
    <w:rsid w:val="00FD2274"/>
    <w:rsid w:val="00FE0053"/>
    <w:rsid w:val="00FE0C45"/>
    <w:rsid w:val="00FE2F0C"/>
    <w:rsid w:val="00FE7AB5"/>
    <w:rsid w:val="00FF12DD"/>
    <w:rsid w:val="00FF1596"/>
    <w:rsid w:val="00FF1AC7"/>
    <w:rsid w:val="00FF286A"/>
    <w:rsid w:val="00FF29DD"/>
    <w:rsid w:val="00FF524F"/>
    <w:rsid w:val="00FF58EF"/>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DB3C-55B1-4E4D-8366-4705C14EFE1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572f205-752f-486b-89bb-e89f4487d337"/>
    <ds:schemaRef ds:uri="09bbcd4f-8514-43bd-a880-2fa72b1edd26"/>
    <ds:schemaRef ds:uri="http://www.w3.org/XML/1998/namespace"/>
    <ds:schemaRef ds:uri="http://purl.org/dc/dcmitype/"/>
  </ds:schemaRefs>
</ds:datastoreItem>
</file>

<file path=customXml/itemProps2.xml><?xml version="1.0" encoding="utf-8"?>
<ds:datastoreItem xmlns:ds="http://schemas.openxmlformats.org/officeDocument/2006/customXml" ds:itemID="{DF318F44-FDF4-4C89-AC76-A03406041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4.xml><?xml version="1.0" encoding="utf-8"?>
<ds:datastoreItem xmlns:ds="http://schemas.openxmlformats.org/officeDocument/2006/customXml" ds:itemID="{42D9FFE4-AA69-4DD8-A414-FE8049EF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775</TotalTime>
  <Pages>11</Pages>
  <Words>3185</Words>
  <Characters>17389</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20533</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223</cp:revision>
  <cp:lastPrinted>2007-04-09T19:29:00Z</cp:lastPrinted>
  <dcterms:created xsi:type="dcterms:W3CDTF">2017-11-17T22:48:00Z</dcterms:created>
  <dcterms:modified xsi:type="dcterms:W3CDTF">2020-02-14T23:33:00Z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y fmtid="{D5CDD505-2E9C-101B-9397-08002B2CF9AE}" pid="3" name="AuthorIds_UIVersion_7168">
    <vt:lpwstr>37</vt:lpwstr>
  </property>
</Properties>
</file>