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65" w:type="dxa"/>
        <w:tblLook w:val="04A0" w:firstRow="1" w:lastRow="0" w:firstColumn="1" w:lastColumn="0" w:noHBand="0" w:noVBand="1"/>
      </w:tblPr>
      <w:tblGrid>
        <w:gridCol w:w="938"/>
        <w:gridCol w:w="1114"/>
        <w:gridCol w:w="2404"/>
        <w:gridCol w:w="5309"/>
      </w:tblGrid>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sz w:val="28"/>
              </w:rPr>
              <w:pict/>
            </w:r>
            <w:r w:rsidRPr="00433AF6">
              <w:rPr>
                <w:sz w:val="28"/>
              </w:rPr>
              <w:pict/>
            </w:r>
            <w:r w:rsidRPr="00433AF6">
              <w:rPr>
                <w:rStyle w:val="Strong"/>
                <w:rFonts w:ascii="Georgia" w:eastAsia="Times New Roman" w:hAnsi="Georgia"/>
                <w:color w:val="616161"/>
                <w:sz w:val="20"/>
                <w:szCs w:val="18"/>
              </w:rPr>
              <w:t> </w:t>
            </w:r>
            <w:proofErr w:type="spellStart"/>
            <w:r w:rsidRPr="00433AF6">
              <w:rPr>
                <w:rStyle w:val="Strong"/>
                <w:rFonts w:ascii="Georgia" w:eastAsia="Times New Roman" w:hAnsi="Georgia"/>
                <w:color w:val="616161"/>
                <w:sz w:val="20"/>
                <w:szCs w:val="18"/>
              </w:rPr>
              <w:t>Opcode</w:t>
            </w:r>
            <w:proofErr w:type="spellEnd"/>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Operand</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Explanation of Instruction</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Description</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bookmarkStart w:id="0" w:name="_GoBack"/>
            <w:bookmarkEnd w:id="0"/>
            <w:r w:rsidRPr="00433AF6">
              <w:rPr>
                <w:rStyle w:val="Strong"/>
                <w:rFonts w:ascii="Georgia" w:eastAsia="Times New Roman" w:hAnsi="Georgia"/>
                <w:color w:val="616161"/>
                <w:sz w:val="20"/>
                <w:szCs w:val="18"/>
              </w:rPr>
              <w:t>ADD</w:t>
            </w:r>
          </w:p>
        </w:tc>
        <w:tc>
          <w:tcPr>
            <w:tcW w:w="0" w:type="auto"/>
            <w:hideMark/>
          </w:tcPr>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R</w:t>
            </w:r>
          </w:p>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M</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Add register or memory, to accumulator</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contents of the operand (register or memory) are added to the contents of the accumulator and the result is stored in the accumulator. If the operand is a memory location, its location is specified by the contents of the HL registers. All flags are modified to reflect the result of the addition.</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ADD B or ADD M</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ADC</w:t>
            </w:r>
          </w:p>
        </w:tc>
        <w:tc>
          <w:tcPr>
            <w:tcW w:w="0" w:type="auto"/>
            <w:hideMark/>
          </w:tcPr>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R</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M</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Add register to accumulator with carry</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contents of the operand (register or memory) and M the Carry flag are added to the contents of the accumulator and the result is stored in the accumulator. If the operand is a memory location, its location is specified by the contents of the HL registers. All flags are modified to reflect the result of the addition.</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ADC B or ADC M</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ADI</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8-bit data</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Add immediate to accumulator</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8-bit data (operand) is added to the contents of the accumulator and the result is stored in the accumulator. All flags are modified to reflect the result of the addition.</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ADI 45H</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ACI</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8-bit data</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Add immediate to accumulator with carry</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8-bit data (operand) and the Carry flag are added to the contents of the accumulator and the result is stored in the accumulator. All flags are modified to reflect the result of the addition.</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ACI 45H</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LXI</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 xml:space="preserve">Reg. pair, 16-bit </w:t>
            </w:r>
            <w:r w:rsidRPr="00433AF6">
              <w:rPr>
                <w:rStyle w:val="Strong"/>
                <w:rFonts w:ascii="Georgia" w:eastAsia="Times New Roman" w:hAnsi="Georgia"/>
                <w:color w:val="616161"/>
                <w:sz w:val="20"/>
                <w:szCs w:val="18"/>
              </w:rPr>
              <w:lastRenderedPageBreak/>
              <w:t>data</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lastRenderedPageBreak/>
              <w:t>Load register pair immediate</w:t>
            </w:r>
          </w:p>
        </w:tc>
        <w:tc>
          <w:tcPr>
            <w:tcW w:w="0" w:type="auto"/>
            <w:hideMark/>
          </w:tcPr>
          <w:p w:rsidR="00433AF6" w:rsidRPr="00433AF6" w:rsidRDefault="00433AF6" w:rsidP="00433AF6">
            <w:pPr>
              <w:pStyle w:val="Heading2"/>
              <w:jc w:val="center"/>
              <w:rPr>
                <w:rFonts w:eastAsiaTheme="minorEastAsia"/>
                <w:sz w:val="28"/>
              </w:rPr>
            </w:pPr>
            <w:r w:rsidRPr="00433AF6">
              <w:rPr>
                <w:sz w:val="28"/>
              </w:rPr>
              <w:t xml:space="preserve">The instruction loads 16-bit data in the register pair designated in the </w:t>
            </w:r>
            <w:r w:rsidRPr="00433AF6">
              <w:rPr>
                <w:sz w:val="28"/>
              </w:rPr>
              <w:lastRenderedPageBreak/>
              <w:t>operand.</w:t>
            </w:r>
          </w:p>
          <w:p w:rsidR="00433AF6" w:rsidRPr="00433AF6" w:rsidRDefault="00433AF6" w:rsidP="00433AF6">
            <w:pPr>
              <w:pStyle w:val="Heading2"/>
              <w:jc w:val="center"/>
              <w:rPr>
                <w:rFonts w:eastAsiaTheme="minorEastAsia"/>
                <w:sz w:val="28"/>
              </w:rPr>
            </w:pPr>
            <w:r w:rsidRPr="00433AF6">
              <w:rPr>
                <w:sz w:val="28"/>
              </w:rPr>
              <w:t>E</w:t>
            </w:r>
            <w:r w:rsidRPr="00433AF6">
              <w:rPr>
                <w:rStyle w:val="Strong"/>
                <w:rFonts w:ascii="Georgia" w:hAnsi="Georgia"/>
                <w:color w:val="616161"/>
                <w:sz w:val="20"/>
                <w:szCs w:val="18"/>
              </w:rPr>
              <w:t>xample: LXI H, 2034H or LXI H, XYZ</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lastRenderedPageBreak/>
              <w:t>DAD</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Reg. pair</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Add register pair to H and L registers</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16-bit contents of the specified register pair are added to the contents of the HL register and the sum is stored in the HL register. The contents of the source register pair are not altered. If the result is larger than 16 bits, the CY flag is set. No other flags are affected.</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DAD H</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SUB</w:t>
            </w:r>
          </w:p>
        </w:tc>
        <w:tc>
          <w:tcPr>
            <w:tcW w:w="0" w:type="auto"/>
            <w:hideMark/>
          </w:tcPr>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R</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M</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Subtract register or memory from accumulator</w:t>
            </w:r>
          </w:p>
        </w:tc>
        <w:tc>
          <w:tcPr>
            <w:tcW w:w="0" w:type="auto"/>
            <w:hideMark/>
          </w:tcPr>
          <w:p w:rsidR="00433AF6" w:rsidRPr="00433AF6" w:rsidRDefault="00433AF6" w:rsidP="00433AF6">
            <w:pPr>
              <w:pStyle w:val="Heading2"/>
              <w:jc w:val="center"/>
              <w:rPr>
                <w:rFonts w:eastAsiaTheme="minorEastAsia"/>
                <w:sz w:val="28"/>
              </w:rPr>
            </w:pPr>
            <w:r w:rsidRPr="00433AF6">
              <w:rPr>
                <w:sz w:val="28"/>
              </w:rPr>
              <w:t xml:space="preserve">The contents of the operand (register or </w:t>
            </w:r>
            <w:proofErr w:type="gramStart"/>
            <w:r w:rsidRPr="00433AF6">
              <w:rPr>
                <w:sz w:val="28"/>
              </w:rPr>
              <w:t>memory )</w:t>
            </w:r>
            <w:proofErr w:type="gramEnd"/>
            <w:r w:rsidRPr="00433AF6">
              <w:rPr>
                <w:sz w:val="28"/>
              </w:rPr>
              <w:t xml:space="preserve"> are subtracted from the contents of the accumulator, and the result is stored in the accumulator. If the operand is a memory location, its location is specified by the contents of the HL registers. All flags are modified to reflect the result of the subtraction.</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SUB B or SUB M</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SBB</w:t>
            </w:r>
          </w:p>
        </w:tc>
        <w:tc>
          <w:tcPr>
            <w:tcW w:w="0" w:type="auto"/>
            <w:hideMark/>
          </w:tcPr>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R</w:t>
            </w:r>
          </w:p>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M</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Subtract source and borrow from accumulator</w:t>
            </w:r>
          </w:p>
        </w:tc>
        <w:tc>
          <w:tcPr>
            <w:tcW w:w="0" w:type="auto"/>
            <w:hideMark/>
          </w:tcPr>
          <w:p w:rsidR="00433AF6" w:rsidRPr="00433AF6" w:rsidRDefault="00433AF6" w:rsidP="00433AF6">
            <w:pPr>
              <w:pStyle w:val="Heading2"/>
              <w:jc w:val="center"/>
              <w:rPr>
                <w:rFonts w:eastAsiaTheme="minorEastAsia"/>
                <w:sz w:val="28"/>
              </w:rPr>
            </w:pPr>
            <w:r w:rsidRPr="00433AF6">
              <w:rPr>
                <w:sz w:val="28"/>
              </w:rPr>
              <w:t xml:space="preserve">The contents of the operand (register or </w:t>
            </w:r>
            <w:proofErr w:type="gramStart"/>
            <w:r w:rsidRPr="00433AF6">
              <w:rPr>
                <w:sz w:val="28"/>
              </w:rPr>
              <w:t>memory )</w:t>
            </w:r>
            <w:proofErr w:type="gramEnd"/>
            <w:r w:rsidRPr="00433AF6">
              <w:rPr>
                <w:sz w:val="28"/>
              </w:rPr>
              <w:t xml:space="preserve"> and M the Borrow flag are subtracted from the contents of the accumulator and the result is placed in the accumulator. If the operand is a memory location, its location is specified by the contents of the HL registers. All flags are modified to reflect the result of the subtraction.</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SBB B or SBB M</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SUI</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8-bit data</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Subtract immediate from accumulator</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8-bit data (operand) is subtracted from the contents of the accumulator and the result is stored in the accumulator. All flags are modified to reflect the result of the subtraction.</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SUI 45H</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lastRenderedPageBreak/>
              <w:t>SBI</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8-bit data</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Subtract immediate from accumulator with borrow</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contents of register H are exchanged with the contents of register D, and the contents of register L are exchanged with the contents of register E.</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XCHG</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INR</w:t>
            </w:r>
          </w:p>
        </w:tc>
        <w:tc>
          <w:tcPr>
            <w:tcW w:w="0" w:type="auto"/>
            <w:hideMark/>
          </w:tcPr>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R</w:t>
            </w:r>
          </w:p>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M</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Increment register or memory by 1</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contents of the designated register or memory) are incremented by 1 and the result is stored in the same place. If the operand is a memory location, its location is specified by the contents of the HL registers.</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INR B or INR M</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INX</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R</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Increment register pair by 1</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contents of the designated register pair are incremented by 1 and the result is stored in the same place.</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INX H</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DCR</w:t>
            </w:r>
          </w:p>
        </w:tc>
        <w:tc>
          <w:tcPr>
            <w:tcW w:w="0" w:type="auto"/>
            <w:hideMark/>
          </w:tcPr>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R</w:t>
            </w:r>
          </w:p>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M</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Decrement register or memory by 1</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contents of the designated register or memory are M decremented by 1 and the result is stored in the same place. If the operand is a memory location, its location is specified by the contents of the HL registers.</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DCR B or DCR M</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DCX</w:t>
            </w:r>
          </w:p>
        </w:tc>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R</w:t>
            </w:r>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Decrement register pair by 1</w:t>
            </w:r>
          </w:p>
        </w:tc>
        <w:tc>
          <w:tcPr>
            <w:tcW w:w="0" w:type="auto"/>
            <w:hideMark/>
          </w:tcPr>
          <w:p w:rsidR="00433AF6" w:rsidRPr="00433AF6" w:rsidRDefault="00433AF6" w:rsidP="00433AF6">
            <w:pPr>
              <w:pStyle w:val="Heading2"/>
              <w:jc w:val="center"/>
              <w:rPr>
                <w:rFonts w:eastAsiaTheme="minorEastAsia"/>
                <w:sz w:val="28"/>
              </w:rPr>
            </w:pPr>
            <w:r w:rsidRPr="00433AF6">
              <w:rPr>
                <w:sz w:val="28"/>
              </w:rPr>
              <w:t>The contents of the designated register pair are decremented by 1 and the result is stored in the same place.</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DCX H</w:t>
            </w:r>
          </w:p>
        </w:tc>
      </w:tr>
      <w:tr w:rsidR="00433AF6" w:rsidRPr="00433AF6" w:rsidTr="00433AF6">
        <w:tc>
          <w:tcPr>
            <w:tcW w:w="0" w:type="auto"/>
            <w:hideMark/>
          </w:tcPr>
          <w:p w:rsidR="00433AF6" w:rsidRPr="00433AF6" w:rsidRDefault="00433AF6" w:rsidP="00433AF6">
            <w:pPr>
              <w:pStyle w:val="Heading2"/>
              <w:jc w:val="center"/>
              <w:rPr>
                <w:rFonts w:eastAsia="Times New Roman"/>
                <w:sz w:val="28"/>
              </w:rPr>
            </w:pPr>
            <w:r w:rsidRPr="00433AF6">
              <w:rPr>
                <w:rStyle w:val="Strong"/>
                <w:rFonts w:ascii="Georgia" w:eastAsia="Times New Roman" w:hAnsi="Georgia"/>
                <w:color w:val="616161"/>
                <w:sz w:val="20"/>
                <w:szCs w:val="18"/>
              </w:rPr>
              <w:t>DAA</w:t>
            </w:r>
          </w:p>
        </w:tc>
        <w:tc>
          <w:tcPr>
            <w:tcW w:w="0" w:type="auto"/>
            <w:hideMark/>
          </w:tcPr>
          <w:p w:rsidR="00433AF6" w:rsidRPr="00433AF6" w:rsidRDefault="00433AF6" w:rsidP="00433AF6">
            <w:pPr>
              <w:pStyle w:val="Heading2"/>
              <w:jc w:val="center"/>
              <w:rPr>
                <w:rFonts w:eastAsia="Times New Roman"/>
                <w:sz w:val="28"/>
              </w:rPr>
            </w:pPr>
            <w:proofErr w:type="gramStart"/>
            <w:r w:rsidRPr="00433AF6">
              <w:rPr>
                <w:rStyle w:val="Strong"/>
                <w:rFonts w:ascii="Georgia" w:eastAsia="Times New Roman" w:hAnsi="Georgia"/>
                <w:color w:val="616161"/>
                <w:sz w:val="20"/>
                <w:szCs w:val="18"/>
              </w:rPr>
              <w:t>none</w:t>
            </w:r>
            <w:proofErr w:type="gramEnd"/>
          </w:p>
        </w:tc>
        <w:tc>
          <w:tcPr>
            <w:tcW w:w="0" w:type="auto"/>
            <w:hideMark/>
          </w:tcPr>
          <w:p w:rsidR="00433AF6" w:rsidRPr="00433AF6" w:rsidRDefault="00433AF6" w:rsidP="00433AF6">
            <w:pPr>
              <w:pStyle w:val="Heading2"/>
              <w:jc w:val="center"/>
              <w:rPr>
                <w:rFonts w:eastAsia="Times New Roman"/>
                <w:sz w:val="28"/>
              </w:rPr>
            </w:pPr>
            <w:r w:rsidRPr="00433AF6">
              <w:rPr>
                <w:rFonts w:eastAsia="Times New Roman"/>
                <w:sz w:val="28"/>
              </w:rPr>
              <w:t>Decimal adjust accumulator</w:t>
            </w:r>
          </w:p>
        </w:tc>
        <w:tc>
          <w:tcPr>
            <w:tcW w:w="0" w:type="auto"/>
            <w:hideMark/>
          </w:tcPr>
          <w:p w:rsidR="00433AF6" w:rsidRPr="00433AF6" w:rsidRDefault="00433AF6" w:rsidP="00433AF6">
            <w:pPr>
              <w:pStyle w:val="Heading2"/>
              <w:jc w:val="center"/>
              <w:rPr>
                <w:rFonts w:eastAsiaTheme="minorEastAsia"/>
                <w:sz w:val="28"/>
              </w:rPr>
            </w:pPr>
            <w:r w:rsidRPr="00433AF6">
              <w:rPr>
                <w:sz w:val="28"/>
              </w:rPr>
              <w:t xml:space="preserve">The contents of the accumulator are changed from a binary value to two 4-bit binary coded decimal (BCD) digits. This is the only instruction that uses the auxiliary flag to perform the binary to BCD conversion, and the conversion </w:t>
            </w:r>
            <w:r w:rsidRPr="00433AF6">
              <w:rPr>
                <w:sz w:val="28"/>
              </w:rPr>
              <w:lastRenderedPageBreak/>
              <w:t>procedure is described below. S, Z, AC, P, CY flags are altered to reflect the results of the operation.</w:t>
            </w:r>
          </w:p>
          <w:p w:rsidR="00433AF6" w:rsidRPr="00433AF6" w:rsidRDefault="00433AF6" w:rsidP="00433AF6">
            <w:pPr>
              <w:pStyle w:val="Heading2"/>
              <w:jc w:val="center"/>
              <w:rPr>
                <w:sz w:val="28"/>
              </w:rPr>
            </w:pPr>
            <w:r w:rsidRPr="00433AF6">
              <w:rPr>
                <w:sz w:val="28"/>
              </w:rPr>
              <w:t>If the value of the low-order 4-bits in the accumulator is greater than 9 or if AC flag is set, the instruction adds 6 to the low-order four bits.</w:t>
            </w:r>
          </w:p>
          <w:p w:rsidR="00433AF6" w:rsidRPr="00433AF6" w:rsidRDefault="00433AF6" w:rsidP="00433AF6">
            <w:pPr>
              <w:pStyle w:val="Heading2"/>
              <w:jc w:val="center"/>
              <w:rPr>
                <w:sz w:val="28"/>
              </w:rPr>
            </w:pPr>
            <w:r w:rsidRPr="00433AF6">
              <w:rPr>
                <w:sz w:val="28"/>
              </w:rPr>
              <w:t>If the value of the high-order 4-bits in the accumulator is greater than 9 or if the Carry flag is set, the instruction adds 6 to the high-order four bits.</w:t>
            </w:r>
          </w:p>
          <w:p w:rsidR="00433AF6" w:rsidRPr="00433AF6" w:rsidRDefault="00433AF6" w:rsidP="00433AF6">
            <w:pPr>
              <w:pStyle w:val="Heading2"/>
              <w:jc w:val="center"/>
              <w:rPr>
                <w:rFonts w:eastAsiaTheme="minorEastAsia"/>
                <w:sz w:val="28"/>
              </w:rPr>
            </w:pPr>
            <w:r w:rsidRPr="00433AF6">
              <w:rPr>
                <w:rStyle w:val="Strong"/>
                <w:rFonts w:ascii="Georgia" w:hAnsi="Georgia"/>
                <w:color w:val="616161"/>
                <w:sz w:val="20"/>
                <w:szCs w:val="18"/>
              </w:rPr>
              <w:t>Example: DAA</w:t>
            </w:r>
          </w:p>
        </w:tc>
      </w:tr>
    </w:tbl>
    <w:p w:rsidR="00D42DCF" w:rsidRPr="00433AF6" w:rsidRDefault="00D42DCF" w:rsidP="00433AF6">
      <w:pPr>
        <w:pStyle w:val="Heading2"/>
        <w:jc w:val="center"/>
        <w:rPr>
          <w:sz w:val="28"/>
        </w:rPr>
      </w:pPr>
    </w:p>
    <w:sectPr w:rsidR="00D42DCF" w:rsidRPr="0043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AF6"/>
    <w:rsid w:val="00433AF6"/>
    <w:rsid w:val="00D4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F6"/>
    <w:pPr>
      <w:spacing w:after="0" w:line="240" w:lineRule="auto"/>
    </w:pPr>
    <w:rPr>
      <w:rFonts w:ascii="Times New Roman" w:eastAsiaTheme="minorEastAsia" w:hAnsi="Times New Roman" w:cs="Times New Roman"/>
      <w:sz w:val="24"/>
      <w:szCs w:val="24"/>
    </w:rPr>
  </w:style>
  <w:style w:type="paragraph" w:styleId="Heading2">
    <w:name w:val="heading 2"/>
    <w:basedOn w:val="Normal"/>
    <w:next w:val="Normal"/>
    <w:link w:val="Heading2Char"/>
    <w:uiPriority w:val="9"/>
    <w:unhideWhenUsed/>
    <w:qFormat/>
    <w:rsid w:val="00433AF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AF6"/>
    <w:pPr>
      <w:spacing w:before="100" w:beforeAutospacing="1" w:after="100" w:afterAutospacing="1"/>
    </w:pPr>
  </w:style>
  <w:style w:type="character" w:styleId="Strong">
    <w:name w:val="Strong"/>
    <w:basedOn w:val="DefaultParagraphFont"/>
    <w:uiPriority w:val="22"/>
    <w:qFormat/>
    <w:rsid w:val="00433AF6"/>
    <w:rPr>
      <w:b/>
      <w:bCs/>
    </w:rPr>
  </w:style>
  <w:style w:type="character" w:customStyle="1" w:styleId="Heading2Char">
    <w:name w:val="Heading 2 Char"/>
    <w:basedOn w:val="DefaultParagraphFont"/>
    <w:link w:val="Heading2"/>
    <w:uiPriority w:val="9"/>
    <w:rsid w:val="00433AF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33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F6"/>
    <w:pPr>
      <w:spacing w:after="0" w:line="240" w:lineRule="auto"/>
    </w:pPr>
    <w:rPr>
      <w:rFonts w:ascii="Times New Roman" w:eastAsiaTheme="minorEastAsia" w:hAnsi="Times New Roman" w:cs="Times New Roman"/>
      <w:sz w:val="24"/>
      <w:szCs w:val="24"/>
    </w:rPr>
  </w:style>
  <w:style w:type="paragraph" w:styleId="Heading2">
    <w:name w:val="heading 2"/>
    <w:basedOn w:val="Normal"/>
    <w:next w:val="Normal"/>
    <w:link w:val="Heading2Char"/>
    <w:uiPriority w:val="9"/>
    <w:unhideWhenUsed/>
    <w:qFormat/>
    <w:rsid w:val="00433AF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AF6"/>
    <w:pPr>
      <w:spacing w:before="100" w:beforeAutospacing="1" w:after="100" w:afterAutospacing="1"/>
    </w:pPr>
  </w:style>
  <w:style w:type="character" w:styleId="Strong">
    <w:name w:val="Strong"/>
    <w:basedOn w:val="DefaultParagraphFont"/>
    <w:uiPriority w:val="22"/>
    <w:qFormat/>
    <w:rsid w:val="00433AF6"/>
    <w:rPr>
      <w:b/>
      <w:bCs/>
    </w:rPr>
  </w:style>
  <w:style w:type="character" w:customStyle="1" w:styleId="Heading2Char">
    <w:name w:val="Heading 2 Char"/>
    <w:basedOn w:val="DefaultParagraphFont"/>
    <w:link w:val="Heading2"/>
    <w:uiPriority w:val="9"/>
    <w:rsid w:val="00433AF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33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Dijo</dc:creator>
  <cp:lastModifiedBy>Dijo</cp:lastModifiedBy>
  <cp:revision>1</cp:revision>
  <dcterms:created xsi:type="dcterms:W3CDTF">2012-02-11T15:06:00Z</dcterms:created>
  <dcterms:modified xsi:type="dcterms:W3CDTF">2012-02-11T15:07:00Z</dcterms:modified>
</cp:coreProperties>
</file>