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5A" w:rsidRDefault="00275A59" w:rsidP="00254C5A">
      <w:pPr>
        <w:pStyle w:val="Nzev"/>
      </w:pPr>
      <w:r>
        <w:t xml:space="preserve">Les Gilets Jaunes </w:t>
      </w:r>
      <w:r w:rsidR="0091733B">
        <w:t xml:space="preserve"> </w:t>
      </w:r>
      <w:r>
        <w:t xml:space="preserve">- Jak </w:t>
      </w:r>
      <w:r w:rsidR="00FE3531">
        <w:t>nafta</w:t>
      </w:r>
      <w:r>
        <w:t xml:space="preserve"> způsobil</w:t>
      </w:r>
      <w:r w:rsidR="00FE3531">
        <w:t>a</w:t>
      </w:r>
      <w:r>
        <w:t xml:space="preserve"> povstání venkova</w:t>
      </w:r>
    </w:p>
    <w:p w:rsidR="00E10512" w:rsidRDefault="00E10512" w:rsidP="00E10512">
      <w:pPr>
        <w:pStyle w:val="Nadpis1"/>
      </w:pPr>
      <w:r>
        <w:t>Úvod</w:t>
      </w:r>
    </w:p>
    <w:p w:rsidR="00FE3531" w:rsidRDefault="00A425B5" w:rsidP="00A425B5">
      <w:pPr>
        <w:jc w:val="both"/>
      </w:pPr>
      <w:r>
        <w:t xml:space="preserve">     </w:t>
      </w:r>
      <w:r w:rsidR="000D7378">
        <w:t xml:space="preserve">Koncem listopadu a téměř celý prosinec </w:t>
      </w:r>
      <w:r w:rsidR="002109A8">
        <w:t xml:space="preserve">Francií zmítaly největší </w:t>
      </w:r>
      <w:r w:rsidR="00A057D9">
        <w:t>protesty posledních desetiletí. Jejich</w:t>
      </w:r>
      <w:r w:rsidR="002109A8">
        <w:t xml:space="preserve"> společným poznávacím znamením byly žluté vest</w:t>
      </w:r>
      <w:r w:rsidR="004B391A">
        <w:t>y, které záhy daly jméno celospolečenskému odporu vůči establishmentu</w:t>
      </w:r>
      <w:r w:rsidR="005B5ADF">
        <w:t>.</w:t>
      </w:r>
      <w:r w:rsidR="00487A20">
        <w:rPr>
          <w:rStyle w:val="Znakapoznpodarou"/>
        </w:rPr>
        <w:footnoteReference w:id="1"/>
      </w:r>
      <w:r w:rsidR="004B391A">
        <w:t xml:space="preserve"> </w:t>
      </w:r>
      <w:r w:rsidR="00B11457">
        <w:t xml:space="preserve">Kromě rozsahu je na nich zajímavého ještě leccos jiného – samotní protestující (přestože se demonstruje/demonstrovalo ve městech, nejde o </w:t>
      </w:r>
      <w:r w:rsidR="00545D5D">
        <w:t>městské protesty tradičního střihu)</w:t>
      </w:r>
      <w:r w:rsidR="00487A20">
        <w:rPr>
          <w:rStyle w:val="Znakapoznpodarou"/>
        </w:rPr>
        <w:footnoteReference w:id="2"/>
      </w:r>
      <w:r w:rsidR="00545D5D">
        <w:t>, struktura a vedení, požadavky</w:t>
      </w:r>
      <w:r w:rsidR="006366E4">
        <w:rPr>
          <w:rStyle w:val="Znakapoznpodarou"/>
        </w:rPr>
        <w:footnoteReference w:id="3"/>
      </w:r>
      <w:r w:rsidR="00CB2B1E">
        <w:t xml:space="preserve">, </w:t>
      </w:r>
      <w:r w:rsidR="00545D5D">
        <w:t xml:space="preserve">i příčiny. </w:t>
      </w:r>
      <w:r w:rsidR="001D518D">
        <w:t xml:space="preserve">Právě příčiny leží, jak už je ve Francii zvykem, především v chronické nespokojenosti s ekonomickou politikou. Tato esej se chce zabývat ekonomickým pohledem na </w:t>
      </w:r>
      <w:r w:rsidR="00275A59">
        <w:t>hlavní spouštěč</w:t>
      </w:r>
      <w:r w:rsidR="001D518D">
        <w:t xml:space="preserve"> povstání</w:t>
      </w:r>
      <w:r w:rsidR="00275A59">
        <w:t xml:space="preserve"> – zvýšení daně z </w:t>
      </w:r>
      <w:r w:rsidR="00FE3531">
        <w:t>nafty</w:t>
      </w:r>
      <w:r w:rsidR="00C152D0">
        <w:t>.</w:t>
      </w:r>
    </w:p>
    <w:p w:rsidR="00CD5714" w:rsidRDefault="00CD5714" w:rsidP="00A425B5">
      <w:pPr>
        <w:jc w:val="both"/>
      </w:pPr>
      <w:r>
        <w:t xml:space="preserve">     </w:t>
      </w:r>
      <w:r w:rsidR="00A46BA8">
        <w:t xml:space="preserve">Jakékoliv hlubší poznatky o </w:t>
      </w:r>
      <w:r w:rsidR="00803BBD">
        <w:t>žlutých vestách</w:t>
      </w:r>
      <w:r w:rsidR="00A46BA8">
        <w:t xml:space="preserve"> se získávají jen velmi těžko, jelikož jde o hnutí velmi nesourodé</w:t>
      </w:r>
      <w:r w:rsidR="00D95771">
        <w:t>,</w:t>
      </w:r>
      <w:r w:rsidR="00A46BA8">
        <w:t xml:space="preserve"> a navíc lze pozorovat rozpor mezi tím, co o sobě říkají, tím, co dělají, tím</w:t>
      </w:r>
      <w:r w:rsidR="00D95771">
        <w:t>,</w:t>
      </w:r>
      <w:r w:rsidR="00A46BA8">
        <w:t xml:space="preserve"> co o nich píšou média a tím, jak situaci prezentují odborníci.</w:t>
      </w:r>
      <w:r w:rsidR="00F25C45">
        <w:t xml:space="preserve"> Najít spolehlivý zdroj nebo si udělat širší obrázek o situaci je proto takřka nemožné.</w:t>
      </w:r>
    </w:p>
    <w:p w:rsidR="00275A59" w:rsidRDefault="00FE3531" w:rsidP="00275A59">
      <w:pPr>
        <w:pStyle w:val="Nadpis1"/>
      </w:pPr>
      <w:r>
        <w:t>Daň z nafty</w:t>
      </w:r>
    </w:p>
    <w:p w:rsidR="00F25C45" w:rsidRDefault="00F25C45" w:rsidP="00A425B5">
      <w:pPr>
        <w:jc w:val="both"/>
      </w:pPr>
      <w:r>
        <w:t xml:space="preserve">     </w:t>
      </w:r>
      <w:r w:rsidR="001C5221">
        <w:t>Jako prvotní příčina</w:t>
      </w:r>
      <w:r w:rsidR="00E10512">
        <w:t xml:space="preserve"> dem</w:t>
      </w:r>
      <w:r w:rsidR="00057FD0">
        <w:t>onstrací je uváděna cena paliva</w:t>
      </w:r>
      <w:r w:rsidR="00E10512">
        <w:t xml:space="preserve"> vyšroubovaná „ekologickou“ daní a daňová zátěž celkově. Tyto důvody mají skutečný základ a jejich vlivu na masové demonstrace odpovídá i načasování.</w:t>
      </w:r>
    </w:p>
    <w:p w:rsidR="00807C86" w:rsidRDefault="00801262" w:rsidP="00801262">
      <w:pPr>
        <w:jc w:val="both"/>
      </w:pPr>
      <w:r>
        <w:t xml:space="preserve">     Na pohonné hmoty jsou ve Francii uvaleny dvě daně – DPH a „TICPE“/daň ze spotřeby </w:t>
      </w:r>
      <w:r w:rsidR="00807C86">
        <w:t>energetických produktů</w:t>
      </w:r>
      <w:r w:rsidR="009C541E">
        <w:t>.</w:t>
      </w:r>
      <w:r w:rsidR="009C541E">
        <w:rPr>
          <w:rStyle w:val="Znakapoznpodarou"/>
        </w:rPr>
        <w:footnoteReference w:id="4"/>
      </w:r>
      <w:r w:rsidR="00807C86">
        <w:t xml:space="preserve"> </w:t>
      </w:r>
      <w:r>
        <w:t>DPH je od roku 2014 stabilní</w:t>
      </w:r>
      <w:r w:rsidR="00D95771">
        <w:t xml:space="preserve">ch </w:t>
      </w:r>
      <w:r>
        <w:t xml:space="preserve">20%, </w:t>
      </w:r>
      <w:r w:rsidR="00807C86">
        <w:t xml:space="preserve">ale </w:t>
      </w:r>
      <w:r>
        <w:t>TICPE byla od počátku koncipována tak, aby se každým rokem zvyšovala</w:t>
      </w:r>
      <w:r w:rsidR="006366E4">
        <w:rPr>
          <w:rStyle w:val="Znakapoznpodarou"/>
        </w:rPr>
        <w:footnoteReference w:id="5"/>
      </w:r>
      <w:r>
        <w:t xml:space="preserve">. Zatímco </w:t>
      </w:r>
      <w:r w:rsidR="00D95771">
        <w:t xml:space="preserve">u benzínu roste konzistentně, u dosud </w:t>
      </w:r>
      <w:r w:rsidR="00803BBD">
        <w:t>dot</w:t>
      </w:r>
      <w:r w:rsidR="00FE3531">
        <w:t>ované</w:t>
      </w:r>
      <w:r w:rsidR="006366E4">
        <w:rPr>
          <w:rStyle w:val="Znakapoznpodarou"/>
        </w:rPr>
        <w:footnoteReference w:id="6"/>
      </w:r>
      <w:r w:rsidR="00FE3531">
        <w:t xml:space="preserve"> nafty</w:t>
      </w:r>
      <w:r w:rsidR="00D95771">
        <w:t xml:space="preserve"> </w:t>
      </w:r>
      <w:r>
        <w:t xml:space="preserve">vzrostla skokově v letech 2017 a 2018, údajně kvůli </w:t>
      </w:r>
      <w:r w:rsidR="00803BBD">
        <w:t>do</w:t>
      </w:r>
      <w:r>
        <w:t>rovnání s</w:t>
      </w:r>
      <w:r w:rsidR="00155450">
        <w:t> </w:t>
      </w:r>
      <w:r>
        <w:t>benzínem</w:t>
      </w:r>
      <w:r w:rsidR="00155450">
        <w:t xml:space="preserve"> (cca. 80</w:t>
      </w:r>
      <w:r w:rsidR="00FE3531">
        <w:t>% aut ve Francii jezdí na naftu</w:t>
      </w:r>
      <w:r w:rsidR="00155450">
        <w:t>)</w:t>
      </w:r>
      <w:r>
        <w:t>. Záro</w:t>
      </w:r>
      <w:r w:rsidR="00807C86">
        <w:t>veň vzrostly ceny PHM a náklady jejich distribuce, takže cena pro jednotlivce vzrostla mezi říjny ´17 a ´18 o 23%</w:t>
      </w:r>
      <w:r w:rsidR="009C541E">
        <w:t>.</w:t>
      </w:r>
      <w:r w:rsidR="002E1791">
        <w:rPr>
          <w:rStyle w:val="Znakapoznpodarou"/>
        </w:rPr>
        <w:footnoteReference w:id="7"/>
      </w:r>
      <w:r w:rsidR="00807C86">
        <w:t xml:space="preserve"> Na firmy dolehly změny méně, protože mají nárok na benevolentní slevy na dani</w:t>
      </w:r>
      <w:r w:rsidR="005B5ADF">
        <w:rPr>
          <w:rStyle w:val="Znakapoznpodarou"/>
        </w:rPr>
        <w:footnoteReference w:id="8"/>
      </w:r>
      <w:r w:rsidR="00807C86">
        <w:t>.</w:t>
      </w:r>
      <w:r w:rsidR="00D95771">
        <w:t xml:space="preserve"> Některé zdroje uvádějí, že se daně na cenách PHM podílejí až 60%</w:t>
      </w:r>
      <w:r w:rsidR="001A41A9">
        <w:t>.</w:t>
      </w:r>
      <w:r w:rsidR="001A41A9">
        <w:rPr>
          <w:rStyle w:val="Znakapoznpodarou"/>
        </w:rPr>
        <w:footnoteReference w:id="9"/>
      </w:r>
    </w:p>
    <w:p w:rsidR="00A255B7" w:rsidRDefault="00A255B7" w:rsidP="00801262">
      <w:pPr>
        <w:jc w:val="both"/>
      </w:pPr>
      <w:r>
        <w:t xml:space="preserve">     Ovšem ceny PHM mají sklon kolísat a jen málokdy to vede k masovým protestům. Co je jinak? Důvodů k demonstracím je více: a) je to francouzská tradice</w:t>
      </w:r>
      <w:r w:rsidR="00A70295">
        <w:rPr>
          <w:rStyle w:val="Znakapoznpodarou"/>
        </w:rPr>
        <w:footnoteReference w:id="10"/>
      </w:r>
      <w:r>
        <w:t>, b) jde spíše o důsledek politiky než trhu, c)</w:t>
      </w:r>
      <w:r w:rsidR="00A54104">
        <w:t xml:space="preserve"> protestuje se proti celkovému směru fr</w:t>
      </w:r>
      <w:r w:rsidR="00803BBD">
        <w:t>ancouzské</w:t>
      </w:r>
      <w:r w:rsidR="00A54104">
        <w:t xml:space="preserve"> politiky, protože tzv. „ekologické“ daně postihují </w:t>
      </w:r>
      <w:r w:rsidR="00A54104">
        <w:lastRenderedPageBreak/>
        <w:t>spíše venkov a chudší vrstvy</w:t>
      </w:r>
      <w:r w:rsidR="005B5ADF">
        <w:rPr>
          <w:rStyle w:val="Znakapoznpodarou"/>
        </w:rPr>
        <w:footnoteReference w:id="11"/>
      </w:r>
      <w:r w:rsidR="00FE3531">
        <w:t>; daň na naftu</w:t>
      </w:r>
      <w:r w:rsidR="00A54104">
        <w:t xml:space="preserve"> je jen jedna složka.</w:t>
      </w:r>
      <w:r w:rsidR="00275A59">
        <w:t xml:space="preserve"> Body a) a b) jsou také spíše dlouhodobého charakteru, a proto je nejrelevantnější bod c).</w:t>
      </w:r>
    </w:p>
    <w:p w:rsidR="007031EA" w:rsidRDefault="007031EA" w:rsidP="007031EA">
      <w:pPr>
        <w:pStyle w:val="Nadpis1"/>
      </w:pPr>
      <w:r>
        <w:t>Metla venkova</w:t>
      </w:r>
    </w:p>
    <w:p w:rsidR="007031EA" w:rsidRDefault="00275A59" w:rsidP="00801262">
      <w:pPr>
        <w:jc w:val="both"/>
      </w:pPr>
      <w:r>
        <w:t xml:space="preserve">     Jak souvisí složení protestujících (venkov, nižší a střední vrstvy) a daň z PHM?</w:t>
      </w:r>
      <w:r w:rsidR="00966C31">
        <w:t xml:space="preserve"> Zaprvé je to samotná potřeba fosilních paliv. Lidé žijící ve městě, obzvlášť ve velkých městech jako Paříž, Lyon nebo Marseille (Francie má 39 měst s více než 100 000 obyvateli</w:t>
      </w:r>
      <w:r w:rsidR="005B5ADF">
        <w:rPr>
          <w:rStyle w:val="Znakapoznpodarou"/>
        </w:rPr>
        <w:footnoteReference w:id="12"/>
      </w:r>
      <w:r w:rsidR="00CE7384">
        <w:t>, necelých 38% obyvatel žije ve velkých metropolitních zónách</w:t>
      </w:r>
      <w:r w:rsidR="005B5ADF">
        <w:rPr>
          <w:rStyle w:val="Znakapoznpodarou"/>
        </w:rPr>
        <w:footnoteReference w:id="13"/>
      </w:r>
      <w:r w:rsidR="00CE7384">
        <w:t>)</w:t>
      </w:r>
      <w:r w:rsidR="00A248B0">
        <w:t xml:space="preserve"> mají alternativy k individuálnímu cestování automobilem. Ve městě je obecně lepší vybavenost a není potřeba všude jezdit. Vzdálenosti například do nejbližší ordinace, nemocnice, na jiný úřad než úřad obecní či městský či městské části, do supermarketu i za jinými službami jsou podstatně menší a leckde stačí chůze nebo třeba kolo</w:t>
      </w:r>
      <w:r w:rsidR="007031EA">
        <w:t xml:space="preserve"> (obzvlášť severní aglomerace jsou svým rovinným charakterem</w:t>
      </w:r>
      <w:r w:rsidR="005B5ADF">
        <w:rPr>
          <w:rStyle w:val="Znakapoznpodarou"/>
        </w:rPr>
        <w:footnoteReference w:id="14"/>
      </w:r>
      <w:r w:rsidR="007031EA">
        <w:t xml:space="preserve"> jízdě na bicyklu </w:t>
      </w:r>
      <w:r w:rsidR="007031EA">
        <w:rPr>
          <w:i/>
        </w:rPr>
        <w:t>nakloněné</w:t>
      </w:r>
      <w:r w:rsidR="005B5ADF">
        <w:rPr>
          <w:rStyle w:val="Znakapoznpodarou"/>
          <w:i/>
        </w:rPr>
        <w:footnoteReference w:id="15"/>
      </w:r>
      <w:r w:rsidR="007031EA">
        <w:t>)</w:t>
      </w:r>
      <w:r w:rsidR="00A248B0">
        <w:t xml:space="preserve">. Kromě toho, veškerou každodenní osobní dopravu po velkých městech </w:t>
      </w:r>
      <w:r w:rsidR="009E5879">
        <w:t xml:space="preserve">může </w:t>
      </w:r>
      <w:r w:rsidR="00A248B0">
        <w:t>obstar</w:t>
      </w:r>
      <w:r w:rsidR="009E5879">
        <w:t>at</w:t>
      </w:r>
      <w:r w:rsidR="00A248B0">
        <w:t xml:space="preserve"> </w:t>
      </w:r>
      <w:r w:rsidR="00A248B0" w:rsidRPr="00A248B0">
        <w:rPr>
          <w:i/>
        </w:rPr>
        <w:t>městská</w:t>
      </w:r>
      <w:r w:rsidR="00A248B0">
        <w:t xml:space="preserve"> hromadná doprava, která je zároveň relativně dostupná všem vrstvám společnosti.</w:t>
      </w:r>
      <w:r w:rsidR="008A31E1">
        <w:t xml:space="preserve"> Ta samozřejmě nezvládne vše, co osobní automobil, ale na pokrytí většiny potřeb to stačí. Navíc bohatší vrstvy jsou koncentrovanější ve městech, takže i alternativy k</w:t>
      </w:r>
      <w:r w:rsidR="005D0023">
        <w:t>e „klasickým“ automobilům jsou četn</w:t>
      </w:r>
      <w:r w:rsidR="00803BBD">
        <w:t>ě</w:t>
      </w:r>
      <w:r w:rsidR="005D0023">
        <w:t>jší</w:t>
      </w:r>
      <w:r w:rsidR="008A31E1">
        <w:t xml:space="preserve"> ve městech</w:t>
      </w:r>
      <w:r w:rsidR="007031EA">
        <w:t xml:space="preserve"> (elektromobily, hybridy apod.).</w:t>
      </w:r>
    </w:p>
    <w:p w:rsidR="00275A59" w:rsidRDefault="007031EA" w:rsidP="00801262">
      <w:pPr>
        <w:jc w:val="both"/>
      </w:pPr>
      <w:r>
        <w:t xml:space="preserve">     Jenže na venkově jsou jakékoliv alternativy značně omezené. Mezi nezbytnými destinacemi jsou obecně větší vzdálenosti a větší množství překážek (za sedmero lesy, sedmero horami a sedmero řekami…), což významně redukuje nemotorový způsob přepravy. Mimoto</w:t>
      </w:r>
      <w:r w:rsidR="00B45C14">
        <w:t xml:space="preserve"> </w:t>
      </w:r>
      <w:r w:rsidR="00DA3F0A">
        <w:t xml:space="preserve">systém veřejné dopravy </w:t>
      </w:r>
      <w:r w:rsidR="003A6326">
        <w:t>na vesnici tolik nefunguje – pro malé množství lidí se časté spoje prostě nevyplatí a autobusy pak jezdí třeba dvakrát denně, což potřebám obyvatel zcela po právu nestačí.</w:t>
      </w:r>
      <w:r w:rsidR="00ED2031">
        <w:rPr>
          <w:rStyle w:val="Znakapoznpodarou"/>
        </w:rPr>
        <w:footnoteReference w:id="16"/>
      </w:r>
      <w:r w:rsidR="003A6326">
        <w:t xml:space="preserve"> Navíc vlaky jsou ve Francii poměrně drahé i vzhledem k příjmům.</w:t>
      </w:r>
      <w:r w:rsidR="00DA5C5C">
        <w:t xml:space="preserve"> Problém není ani tolik v dálkových cestách, jako spíš v</w:t>
      </w:r>
      <w:r w:rsidR="00500345">
        <w:t> krátkých cestách nutných několikrát do týdne.</w:t>
      </w:r>
      <w:r w:rsidR="003A6326">
        <w:t xml:space="preserve"> I proto jsou lidé na venkově podstatně závislejší na neekologickém způsobu dopravy v osobních automobilech. </w:t>
      </w:r>
      <w:r w:rsidR="00DA5C5C">
        <w:t>Chudší vrstvy navíc nemají na nejnovější auta, která na fosilní paliva vůbec nejezdí, nebo „žerou“ méně a vypouštějí méně zplodin. Regulac</w:t>
      </w:r>
      <w:r w:rsidR="009E5879">
        <w:t>e</w:t>
      </w:r>
      <w:r w:rsidR="00DA5C5C">
        <w:t xml:space="preserve"> vjezdu takovýchto vozidel do měst</w:t>
      </w:r>
      <w:r w:rsidR="00ED2031">
        <w:rPr>
          <w:rStyle w:val="Znakapoznpodarou"/>
        </w:rPr>
        <w:footnoteReference w:id="17"/>
      </w:r>
      <w:r w:rsidR="00DA5C5C">
        <w:t xml:space="preserve"> a plány na jejich zdanění či zákaz pak lidem dále komplikují život, byť by i byly myšleny dobře.</w:t>
      </w:r>
      <w:r w:rsidR="00500345">
        <w:t xml:space="preserve"> Z ceny fosilních paliv se tak stává nezbytný náklad, který je potřeba zahrnout mezi jiné životní náklady (</w:t>
      </w:r>
      <w:hyperlink r:id="rId8" w:history="1">
        <w:r w:rsidR="00500345" w:rsidRPr="00ED2031">
          <w:rPr>
            <w:rStyle w:val="Hypertextovodkaz"/>
            <w:i/>
          </w:rPr>
          <w:t>cost of living</w:t>
        </w:r>
      </w:hyperlink>
      <w:r w:rsidR="00500345" w:rsidRPr="00400A0C">
        <w:rPr>
          <w:i/>
        </w:rPr>
        <w:t>, mandatory spending</w:t>
      </w:r>
      <w:r w:rsidR="00500345">
        <w:t>) jak</w:t>
      </w:r>
      <w:r w:rsidR="00DB1FE3">
        <w:t>o jídlo, oblečení nebo energie.</w:t>
      </w:r>
    </w:p>
    <w:p w:rsidR="00DB1FE3" w:rsidRDefault="00DB1FE3" w:rsidP="00DB1FE3">
      <w:pPr>
        <w:pStyle w:val="Nadpis1"/>
      </w:pPr>
      <w:r>
        <w:t>Nezbytné výdaje a životní úroveň</w:t>
      </w:r>
    </w:p>
    <w:p w:rsidR="00BA55FB" w:rsidRDefault="00BA55FB" w:rsidP="00BA55FB">
      <w:pPr>
        <w:jc w:val="both"/>
      </w:pPr>
      <w:r>
        <w:t xml:space="preserve">     Právě zvyšující se nezbytné výdaje především na venkově přispěly k propuknutí pr</w:t>
      </w:r>
      <w:r w:rsidR="00EA02D1">
        <w:t xml:space="preserve">otestů. Nejde jen o ceny – </w:t>
      </w:r>
      <w:r>
        <w:t>ekonomika</w:t>
      </w:r>
      <w:r w:rsidR="00EA02D1">
        <w:t xml:space="preserve"> sílí</w:t>
      </w:r>
      <w:r w:rsidR="00ED2031">
        <w:rPr>
          <w:rStyle w:val="Znakapoznpodarou"/>
        </w:rPr>
        <w:footnoteReference w:id="18"/>
      </w:r>
      <w:r>
        <w:t>, stále jsme ještě v časech konjunktury – jejich růst je přirozený. Problém/nespokojenost v</w:t>
      </w:r>
      <w:r w:rsidR="00EA02D1">
        <w:t>ytváří rozpor mezi stoupají</w:t>
      </w:r>
      <w:r w:rsidR="000B5328">
        <w:t>cími výdaji a příjmy. Přestože ekonomika roste, celková životní úroveň</w:t>
      </w:r>
      <w:r w:rsidR="00EA02D1">
        <w:t xml:space="preserve"> se někde zvyšuje</w:t>
      </w:r>
      <w:r w:rsidR="000B5328">
        <w:t>, ale pomalu vzhledem k</w:t>
      </w:r>
      <w:r w:rsidR="00400A0C">
        <w:t> </w:t>
      </w:r>
      <w:r w:rsidR="000B5328">
        <w:t>HDP</w:t>
      </w:r>
      <w:r w:rsidR="00400A0C">
        <w:t xml:space="preserve">, někde stagnuje a někde spíše klesá – jinými slovy, ukazatele růstu jako HDP se </w:t>
      </w:r>
      <w:r w:rsidR="00A93524">
        <w:t xml:space="preserve">podle demonstrantů </w:t>
      </w:r>
      <w:r w:rsidR="00400A0C">
        <w:t>neprojevují dostatečně</w:t>
      </w:r>
      <w:r w:rsidR="00A93524">
        <w:t xml:space="preserve"> na stavu </w:t>
      </w:r>
      <w:r w:rsidR="00EA02D1">
        <w:t>peněženek Francouzů</w:t>
      </w:r>
      <w:r w:rsidR="00A93524">
        <w:t>. Například průměrná mzda se</w:t>
      </w:r>
      <w:r w:rsidR="00042949">
        <w:t xml:space="preserve"> sice</w:t>
      </w:r>
      <w:r w:rsidR="00A93524">
        <w:t xml:space="preserve"> od roku 2015 zvýšila o 6%</w:t>
      </w:r>
      <w:r w:rsidR="004B2846">
        <w:rPr>
          <w:rStyle w:val="Znakapoznpodarou"/>
        </w:rPr>
        <w:footnoteReference w:id="19"/>
      </w:r>
      <w:r w:rsidR="00042949">
        <w:t xml:space="preserve"> (ovšem týká se to </w:t>
      </w:r>
      <w:r w:rsidR="00042949">
        <w:lastRenderedPageBreak/>
        <w:t>spíše měst a výše placených pozic)</w:t>
      </w:r>
      <w:r w:rsidR="00A93524">
        <w:t xml:space="preserve">, </w:t>
      </w:r>
      <w:r w:rsidR="00042949">
        <w:t>ale inflace stoupla (0,04%/2015, 0,19%/2016, 1,03%/2017 a 2,12%/2018)</w:t>
      </w:r>
      <w:r w:rsidR="004B2846">
        <w:rPr>
          <w:rStyle w:val="Znakapoznpodarou"/>
        </w:rPr>
        <w:footnoteReference w:id="20"/>
      </w:r>
      <w:r w:rsidR="00042949">
        <w:t xml:space="preserve">, </w:t>
      </w:r>
      <w:r w:rsidR="00EB19A8">
        <w:t>životní ná</w:t>
      </w:r>
      <w:r w:rsidR="00FE3531">
        <w:t>klady spíše stoupají (viz nafta</w:t>
      </w:r>
      <w:r w:rsidR="00EB19A8">
        <w:t xml:space="preserve"> o více než 23%</w:t>
      </w:r>
      <w:r w:rsidR="004B2846">
        <w:rPr>
          <w:rStyle w:val="Znakapoznpodarou"/>
        </w:rPr>
        <w:footnoteReference w:id="21"/>
      </w:r>
      <w:r w:rsidR="00EB19A8">
        <w:t xml:space="preserve"> jen od loňska), </w:t>
      </w:r>
      <w:r w:rsidR="00042949">
        <w:t xml:space="preserve">nezaměstnanost </w:t>
      </w:r>
      <w:r w:rsidR="00105A6F">
        <w:t>prakticky</w:t>
      </w:r>
      <w:r w:rsidR="00DD4B41">
        <w:t xml:space="preserve"> neklesla</w:t>
      </w:r>
      <w:r w:rsidR="00105A6F">
        <w:rPr>
          <w:rStyle w:val="Znakapoznpodarou"/>
        </w:rPr>
        <w:footnoteReference w:id="22"/>
      </w:r>
      <w:r w:rsidR="00DD4B41">
        <w:t xml:space="preserve"> a množství lidí pod hranicí chudoby je dlouhodobě vysoké </w:t>
      </w:r>
      <w:r w:rsidR="009E5879">
        <w:t xml:space="preserve">- </w:t>
      </w:r>
      <w:r w:rsidR="00731755">
        <w:t>okolo 14</w:t>
      </w:r>
      <w:r w:rsidR="00DD4B41">
        <w:t>%</w:t>
      </w:r>
      <w:r w:rsidR="00B553FE">
        <w:t>.</w:t>
      </w:r>
      <w:r w:rsidR="00B553FE">
        <w:rPr>
          <w:rStyle w:val="Znakapoznpodarou"/>
        </w:rPr>
        <w:footnoteReference w:id="23"/>
      </w:r>
      <w:r w:rsidR="00DD4B41">
        <w:t xml:space="preserve"> Velmi zasaženou skupinou jsou důchodci, jejichž situace dnes často se záporným rozpočtem je velmi citlivá na jakékoliv výkyvy.</w:t>
      </w:r>
      <w:r w:rsidR="00B553FE">
        <w:rPr>
          <w:rStyle w:val="Znakapoznpodarou"/>
        </w:rPr>
        <w:footnoteReference w:id="24"/>
      </w:r>
      <w:r w:rsidR="00DD4B41">
        <w:t xml:space="preserve"> Soustavné zvyšování nákladů jako u pohonných hmot tak vedlo k tomu, že se do protestů především v menších městech zapojilo naprosto neobvyklé množství důchodců.</w:t>
      </w:r>
      <w:r w:rsidR="00731755">
        <w:t xml:space="preserve"> Materiální úroveň Francouzů je sice možná vyšší než u nás, ale neodpovídá státem deklarované prosperitě. Navíc se zvyšuje zdanění – ne </w:t>
      </w:r>
      <w:r w:rsidR="00EB19A8">
        <w:t>základní, srozumitelné a patřičně medializované daně jako daň z příjmu nebo DPH, ale například formou „eko“ daní.</w:t>
      </w:r>
    </w:p>
    <w:p w:rsidR="00EB19A8" w:rsidRDefault="00EB19A8" w:rsidP="00EB19A8">
      <w:pPr>
        <w:pStyle w:val="Nadpis1"/>
      </w:pPr>
      <w:r>
        <w:t>Shrnutí</w:t>
      </w:r>
    </w:p>
    <w:p w:rsidR="005B624D" w:rsidRDefault="005B624D" w:rsidP="00EB19A8">
      <w:pPr>
        <w:jc w:val="both"/>
      </w:pPr>
      <w:r>
        <w:t xml:space="preserve">     Proč se lidé vydali do ulic? Proč se „utrhli“ ze svých míst a jeli protestovat do Paříže?</w:t>
      </w:r>
      <w:r w:rsidR="00D7449A">
        <w:t xml:space="preserve"> Protože jim hnul žlučí (</w:t>
      </w:r>
      <w:r w:rsidR="00D7449A" w:rsidRPr="00D7449A">
        <w:rPr>
          <w:i/>
        </w:rPr>
        <w:t>žlutí</w:t>
      </w:r>
      <w:r w:rsidR="00D7449A">
        <w:t xml:space="preserve">) </w:t>
      </w:r>
      <w:r w:rsidR="00A0012E">
        <w:t>konkrétní krok pro venkov dlouhodobě nepříznivé politiky, který má široký a pro leckoho celkem zásadní dopad. Zároveň šlo o příležitost vyjádření nespokojenosti ne s konkrétním přerozdělováním, komu dát ví</w:t>
      </w:r>
      <w:r w:rsidR="007F35F6">
        <w:t>c</w:t>
      </w:r>
      <w:r w:rsidR="00A0012E">
        <w:t xml:space="preserve">, ale spíše s nešetrnými a minimálně z pohledu </w:t>
      </w:r>
      <w:r w:rsidR="00C27467">
        <w:t>protestujících krátkozrakými zásahy státu do života občanů.</w:t>
      </w:r>
    </w:p>
    <w:p w:rsidR="00EB19A8" w:rsidRDefault="00EB19A8" w:rsidP="00EB19A8">
      <w:pPr>
        <w:jc w:val="both"/>
      </w:pPr>
      <w:r>
        <w:t xml:space="preserve">     Zjednodušeně se dá říct, že konkrétní událostí (skokové zvýšení ceny </w:t>
      </w:r>
      <w:r w:rsidR="00FE3531">
        <w:t>nafty</w:t>
      </w:r>
      <w:r>
        <w:t>) se naplnil pohár trpělivosti především venkova a nižších a středních vrstev. Ve Francii již delší dobu „bublá</w:t>
      </w:r>
      <w:r w:rsidR="007F35F6">
        <w:t>“ množství více či méně latentních</w:t>
      </w:r>
      <w:r>
        <w:t xml:space="preserve"> problémů, přičemž nedávné protesty odstartovaly vlnu nevole vůči prakticky všemu. Na prvotní stávku kvůli </w:t>
      </w:r>
      <w:r w:rsidR="00FE3531">
        <w:t>naftě</w:t>
      </w:r>
      <w:r>
        <w:t>, donedávna štědře podporovanému jako ekologičtější vari</w:t>
      </w:r>
      <w:r w:rsidR="007F35F6">
        <w:t>anta benzí</w:t>
      </w:r>
      <w:r>
        <w:t>nu, se rychle n</w:t>
      </w:r>
      <w:r w:rsidR="00237E76">
        <w:t xml:space="preserve">abalily extremistické skupiny i obyčejní rabovači a násilníci. </w:t>
      </w:r>
      <w:r w:rsidR="007F35F6">
        <w:t>Vzhledem k této skutečnosti je velmi těžké, ne-li nemožné, jednoznačně charakterizovat další směřování protestů a je velmi obtížné předpovídat jejich další vývoj</w:t>
      </w:r>
      <w:r w:rsidR="005B624D">
        <w:t>. Spontánní a neorganizovaný charakter bez jednoznačných požadavků sice maximalizoval počáteční efekt, ale znemožnil a znemožňuje kontrolu nebo řešení situace.</w:t>
      </w:r>
    </w:p>
    <w:p w:rsidR="00607370" w:rsidRDefault="00607370" w:rsidP="00EB19A8">
      <w:pPr>
        <w:jc w:val="both"/>
      </w:pPr>
    </w:p>
    <w:p w:rsidR="00607370" w:rsidRDefault="00607370" w:rsidP="00EB19A8">
      <w:pPr>
        <w:jc w:val="both"/>
      </w:pPr>
      <w:r>
        <w:t xml:space="preserve">Nespecifické zdroje: </w:t>
      </w:r>
      <w:hyperlink r:id="rId9" w:history="1">
        <w:r w:rsidRPr="004C21FC">
          <w:rPr>
            <w:rStyle w:val="Hypertextovodkaz"/>
          </w:rPr>
          <w:t>Al Jazeera</w:t>
        </w:r>
      </w:hyperlink>
      <w:r>
        <w:t xml:space="preserve"> </w:t>
      </w:r>
      <w:r w:rsidR="004C21FC">
        <w:t>–</w:t>
      </w:r>
      <w:r>
        <w:t xml:space="preserve"> </w:t>
      </w:r>
      <w:r w:rsidR="004C21FC">
        <w:t xml:space="preserve">průběh protestů do 8.12.18, </w:t>
      </w:r>
      <w:hyperlink r:id="rId10" w:history="1">
        <w:r w:rsidR="004C21FC" w:rsidRPr="004C21FC">
          <w:rPr>
            <w:rStyle w:val="Hypertextovodkaz"/>
          </w:rPr>
          <w:t>První stránka</w:t>
        </w:r>
      </w:hyperlink>
      <w:r w:rsidR="004C21FC">
        <w:t xml:space="preserve"> dokumentu k francouzskému daňovému systému (zajímavý je celý dokumen</w:t>
      </w:r>
      <w:r w:rsidR="00AC7674">
        <w:t>t</w:t>
      </w:r>
      <w:r w:rsidR="004C21FC">
        <w:t xml:space="preserve">), </w:t>
      </w:r>
      <w:hyperlink r:id="rId11" w:history="1">
        <w:r w:rsidR="00A6625B" w:rsidRPr="00A6625B">
          <w:rPr>
            <w:rStyle w:val="Hypertextovodkaz"/>
          </w:rPr>
          <w:t>The Economist</w:t>
        </w:r>
      </w:hyperlink>
      <w:r w:rsidR="00A6625B">
        <w:t xml:space="preserve"> o nízkých mzdách a nepoměru mezi růstem ekonomiky celkově a růstem mezd (zkopírovaný obsah – článek je placený)</w:t>
      </w:r>
      <w:r w:rsidR="00456C5E">
        <w:t xml:space="preserve">, </w:t>
      </w:r>
      <w:hyperlink r:id="rId12" w:history="1">
        <w:r w:rsidR="00456C5E" w:rsidRPr="00456C5E">
          <w:rPr>
            <w:rStyle w:val="Hypertextovodkaz"/>
          </w:rPr>
          <w:t>The Convers</w:t>
        </w:r>
        <w:r w:rsidR="00456C5E">
          <w:rPr>
            <w:rStyle w:val="Hypertextovodkaz"/>
          </w:rPr>
          <w:t>a</w:t>
        </w:r>
        <w:r w:rsidR="00456C5E" w:rsidRPr="00456C5E">
          <w:rPr>
            <w:rStyle w:val="Hypertextovodkaz"/>
          </w:rPr>
          <w:t>tion</w:t>
        </w:r>
      </w:hyperlink>
      <w:r w:rsidR="00456C5E">
        <w:t xml:space="preserve"> – hodnotný článek o LGJ celkově,</w:t>
      </w:r>
      <w:r w:rsidR="00067672">
        <w:t xml:space="preserve"> </w:t>
      </w:r>
      <w:hyperlink r:id="rId13" w:history="1">
        <w:r w:rsidR="00067672" w:rsidRPr="00067672">
          <w:rPr>
            <w:rStyle w:val="Hypertextovodkaz"/>
          </w:rPr>
          <w:t>Neviditelný pes/Macron kličkuje</w:t>
        </w:r>
      </w:hyperlink>
      <w:r w:rsidR="00067672">
        <w:t>,</w:t>
      </w:r>
      <w:r w:rsidR="00456C5E">
        <w:t xml:space="preserve"> články v mainstreamových médiích obecně</w:t>
      </w:r>
      <w:r w:rsidR="002E06E5">
        <w:t>.</w:t>
      </w:r>
    </w:p>
    <w:p w:rsidR="00847586" w:rsidRPr="00583AA4" w:rsidRDefault="00847586" w:rsidP="00583AA4">
      <w:pPr>
        <w:jc w:val="center"/>
        <w:rPr>
          <w:u w:val="single"/>
        </w:rPr>
      </w:pPr>
      <w:r w:rsidRPr="00583AA4">
        <w:rPr>
          <w:u w:val="single"/>
        </w:rPr>
        <w:t xml:space="preserve">Hudební epilog (viz </w:t>
      </w:r>
      <w:hyperlink r:id="rId14" w:history="1">
        <w:r w:rsidRPr="00583AA4">
          <w:rPr>
            <w:rStyle w:val="Hypertextovodkaz"/>
          </w:rPr>
          <w:t>Marian Kechlibar</w:t>
        </w:r>
      </w:hyperlink>
      <w:r w:rsidRPr="00583AA4">
        <w:rPr>
          <w:u w:val="single"/>
        </w:rPr>
        <w:t>)</w:t>
      </w:r>
    </w:p>
    <w:p w:rsidR="00A425B5" w:rsidRDefault="0029232D" w:rsidP="00583AA4">
      <w:pPr>
        <w:jc w:val="center"/>
      </w:pPr>
      <w:hyperlink r:id="rId15" w:history="1">
        <w:r w:rsidR="00847586" w:rsidRPr="00847586">
          <w:rPr>
            <w:rStyle w:val="Hypertextovodkaz"/>
          </w:rPr>
          <w:t>https://youtu.be/VGFI6h37JBg</w:t>
        </w:r>
      </w:hyperlink>
    </w:p>
    <w:sectPr w:rsidR="00A425B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32D" w:rsidRDefault="0029232D" w:rsidP="00487A20">
      <w:pPr>
        <w:spacing w:after="0" w:line="240" w:lineRule="auto"/>
      </w:pPr>
      <w:r>
        <w:separator/>
      </w:r>
    </w:p>
  </w:endnote>
  <w:endnote w:type="continuationSeparator" w:id="0">
    <w:p w:rsidR="0029232D" w:rsidRDefault="0029232D" w:rsidP="0048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4388064"/>
      <w:docPartObj>
        <w:docPartGallery w:val="Page Numbers (Bottom of Page)"/>
        <w:docPartUnique/>
      </w:docPartObj>
    </w:sdtPr>
    <w:sdtEndPr/>
    <w:sdtContent>
      <w:p w:rsidR="00607370" w:rsidRDefault="006073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F0">
          <w:rPr>
            <w:noProof/>
          </w:rPr>
          <w:t>1</w:t>
        </w:r>
        <w:r>
          <w:fldChar w:fldCharType="end"/>
        </w:r>
      </w:p>
    </w:sdtContent>
  </w:sdt>
  <w:p w:rsidR="00607370" w:rsidRDefault="006073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32D" w:rsidRDefault="0029232D" w:rsidP="00487A20">
      <w:pPr>
        <w:spacing w:after="0" w:line="240" w:lineRule="auto"/>
      </w:pPr>
      <w:r>
        <w:separator/>
      </w:r>
    </w:p>
  </w:footnote>
  <w:footnote w:type="continuationSeparator" w:id="0">
    <w:p w:rsidR="0029232D" w:rsidRDefault="0029232D" w:rsidP="00487A20">
      <w:pPr>
        <w:spacing w:after="0" w:line="240" w:lineRule="auto"/>
      </w:pPr>
      <w:r>
        <w:continuationSeparator/>
      </w:r>
    </w:p>
  </w:footnote>
  <w:footnote w:id="1">
    <w:p w:rsidR="00487A20" w:rsidRPr="00337EF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anchor="Comparisons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2" w:history="1">
        <w:r w:rsidRPr="00487A20">
          <w:rPr>
            <w:rStyle w:val="Hypertextovodkaz"/>
          </w:rPr>
          <w:t>Liberation</w:t>
        </w:r>
      </w:hyperlink>
      <w:r w:rsidR="00337EF0">
        <w:rPr>
          <w:rStyle w:val="Hypertextovodkaz"/>
        </w:rPr>
        <w:t xml:space="preserve"> </w:t>
      </w:r>
      <w:r w:rsidR="00337EF0">
        <w:rPr>
          <w:rStyle w:val="Hypertextovodkaz"/>
          <w:color w:val="auto"/>
          <w:u w:val="none"/>
        </w:rPr>
        <w:t>(Všechny internetové odkazy navštíveny 29.12.18)</w:t>
      </w:r>
      <w:bookmarkStart w:id="0" w:name="_GoBack"/>
      <w:bookmarkEnd w:id="0"/>
    </w:p>
  </w:footnote>
  <w:footnote w:id="2">
    <w:p w:rsidR="00487A2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4" w:history="1">
        <w:r w:rsidRPr="00487A20">
          <w:rPr>
            <w:rStyle w:val="Hypertextovodkaz"/>
          </w:rPr>
          <w:t>Guy Milliere/Gatestone Institute, Neviditelný pes</w:t>
        </w:r>
      </w:hyperlink>
      <w:r>
        <w:t xml:space="preserve">, Jan Vítek/Neviditelný pes </w:t>
      </w:r>
      <w:hyperlink r:id="rId5" w:history="1">
        <w:r w:rsidRPr="00487A20">
          <w:rPr>
            <w:rStyle w:val="Hypertextovodkaz"/>
          </w:rPr>
          <w:t>1</w:t>
        </w:r>
      </w:hyperlink>
      <w:r>
        <w:t xml:space="preserve">, </w:t>
      </w:r>
      <w:hyperlink r:id="rId6" w:history="1">
        <w:r w:rsidRPr="00487A20">
          <w:rPr>
            <w:rStyle w:val="Hypertextovodkaz"/>
          </w:rPr>
          <w:t>2</w:t>
        </w:r>
      </w:hyperlink>
    </w:p>
  </w:footnote>
  <w:footnote w:id="3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7" w:history="1">
        <w:r w:rsidRPr="006366E4">
          <w:rPr>
            <w:rStyle w:val="Hypertextovodkaz"/>
          </w:rPr>
          <w:t>Anglický překlad požadavků</w:t>
        </w:r>
      </w:hyperlink>
      <w:r>
        <w:t xml:space="preserve">, </w:t>
      </w:r>
      <w:hyperlink r:id="rId8" w:history="1">
        <w:r w:rsidRPr="006366E4">
          <w:rPr>
            <w:rStyle w:val="Hypertextovodkaz"/>
          </w:rPr>
          <w:t>Dan Drápal/Neviditelný pes</w:t>
        </w:r>
      </w:hyperlink>
    </w:p>
  </w:footnote>
  <w:footnote w:id="4">
    <w:p w:rsidR="009C541E" w:rsidRDefault="009C541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9" w:anchor="Taxes_on_production_and_importation" w:history="1">
        <w:r w:rsidRPr="009C541E">
          <w:rPr>
            <w:rStyle w:val="Hypertextovodkaz"/>
          </w:rPr>
          <w:t>Wikipedia</w:t>
        </w:r>
      </w:hyperlink>
    </w:p>
  </w:footnote>
  <w:footnote w:id="5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0" w:anchor="Diesel" w:history="1">
        <w:r w:rsidRPr="006366E4">
          <w:rPr>
            <w:rStyle w:val="Hypertextovodkaz"/>
          </w:rPr>
          <w:t>Wikipedia</w:t>
        </w:r>
      </w:hyperlink>
    </w:p>
  </w:footnote>
  <w:footnote w:id="6">
    <w:p w:rsidR="006366E4" w:rsidRDefault="006366E4">
      <w:pPr>
        <w:pStyle w:val="Textpoznpodarou"/>
      </w:pPr>
      <w:r>
        <w:rPr>
          <w:rStyle w:val="Znakapoznpodarou"/>
        </w:rPr>
        <w:footnoteRef/>
      </w:r>
      <w:r w:rsidR="002E1791">
        <w:t xml:space="preserve"> Zdroj: viz 4</w:t>
      </w:r>
      <w:r>
        <w:t xml:space="preserve">, </w:t>
      </w:r>
      <w:hyperlink r:id="rId11" w:history="1">
        <w:r w:rsidRPr="006366E4">
          <w:rPr>
            <w:rStyle w:val="Hypertextovodkaz"/>
          </w:rPr>
          <w:t>Les Echos</w:t>
        </w:r>
      </w:hyperlink>
    </w:p>
  </w:footnote>
  <w:footnote w:id="7">
    <w:p w:rsidR="002E1791" w:rsidRDefault="002E1791">
      <w:pPr>
        <w:pStyle w:val="Textpoznpodarou"/>
      </w:pPr>
      <w:r>
        <w:rPr>
          <w:rStyle w:val="Znakapoznpodarou"/>
        </w:rPr>
        <w:footnoteRef/>
      </w:r>
      <w:r>
        <w:t xml:space="preserve"> Zdroj: viz 2,</w:t>
      </w:r>
      <w:r w:rsidR="004B2846">
        <w:t xml:space="preserve"> </w:t>
      </w:r>
      <w:r>
        <w:t>4</w:t>
      </w:r>
      <w:r w:rsidR="009C541E">
        <w:t xml:space="preserve">; PHM obecně: </w:t>
      </w:r>
      <w:hyperlink r:id="rId12" w:history="1">
        <w:r w:rsidR="009C541E" w:rsidRPr="009C541E">
          <w:rPr>
            <w:rStyle w:val="Hypertextovodkaz"/>
          </w:rPr>
          <w:t>The Local</w:t>
        </w:r>
      </w:hyperlink>
      <w:r w:rsidR="009C541E">
        <w:t xml:space="preserve"> (orig.), </w:t>
      </w:r>
      <w:hyperlink r:id="rId13" w:history="1">
        <w:r w:rsidR="009C541E" w:rsidRPr="009C541E">
          <w:rPr>
            <w:rStyle w:val="Hypertextovodkaz"/>
          </w:rPr>
          <w:t>zkopírovaný text článku</w:t>
        </w:r>
      </w:hyperlink>
      <w:r w:rsidR="009C541E">
        <w:t xml:space="preserve"> (</w:t>
      </w:r>
      <w:r w:rsidR="00883ECF">
        <w:t>originál je placený</w:t>
      </w:r>
      <w:r w:rsidR="009C541E">
        <w:t>)</w:t>
      </w:r>
    </w:p>
  </w:footnote>
  <w:footnote w:id="8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4" w:history="1">
        <w:r w:rsidRPr="005B5ADF">
          <w:rPr>
            <w:rStyle w:val="Hypertextovodkaz"/>
          </w:rPr>
          <w:t>Eurotax</w:t>
        </w:r>
      </w:hyperlink>
      <w:r>
        <w:t xml:space="preserve"> – bohužel nerozebírá detaily, ale nenašel jsem snadno dostupné a srozumitelné zdroje v AJ</w:t>
      </w:r>
    </w:p>
  </w:footnote>
  <w:footnote w:id="9">
    <w:p w:rsidR="001A41A9" w:rsidRDefault="001A41A9">
      <w:pPr>
        <w:pStyle w:val="Textpoznpodarou"/>
      </w:pPr>
      <w:r>
        <w:rPr>
          <w:rStyle w:val="Znakapoznpodarou"/>
        </w:rPr>
        <w:footnoteRef/>
      </w:r>
      <w:r>
        <w:t xml:space="preserve"> Zdroj: viz 7 – The Local</w:t>
      </w:r>
    </w:p>
  </w:footnote>
  <w:footnote w:id="10">
    <w:p w:rsidR="00A70295" w:rsidRDefault="00A70295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5" w:history="1">
        <w:r w:rsidRPr="00A70295">
          <w:rPr>
            <w:rStyle w:val="Hypertextovodkaz"/>
          </w:rPr>
          <w:t>The Independent+Statista</w:t>
        </w:r>
      </w:hyperlink>
      <w:r>
        <w:t xml:space="preserve"> – statistika je trochu rozhozená u Kypru kvůli dlouhodobé stávce v roce 2013, dnes by byl rozdíl mezi Kyprem a Francií méně markantní</w:t>
      </w:r>
      <w:r w:rsidR="00883ECF">
        <w:t xml:space="preserve">, </w:t>
      </w:r>
      <w:hyperlink r:id="rId16" w:history="1">
        <w:r w:rsidR="00883ECF" w:rsidRPr="00883ECF">
          <w:rPr>
            <w:rStyle w:val="Hypertextovodkaz"/>
          </w:rPr>
          <w:t>The Local</w:t>
        </w:r>
      </w:hyperlink>
      <w:r w:rsidR="00883ECF">
        <w:t xml:space="preserve"> – odvolává se na staré a nerelevantní statistiky, ale článek je relativně dobrý</w:t>
      </w:r>
    </w:p>
  </w:footnote>
  <w:footnote w:id="11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viz 2 – Guy Milliere, Jan Vítek</w:t>
      </w:r>
    </w:p>
  </w:footnote>
  <w:footnote w:id="12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7" w:history="1">
        <w:r w:rsidRPr="005B5ADF">
          <w:rPr>
            <w:rStyle w:val="Hypertextovodkaz"/>
          </w:rPr>
          <w:t>World Population Review</w:t>
        </w:r>
      </w:hyperlink>
    </w:p>
  </w:footnote>
  <w:footnote w:id="13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8" w:anchor="Functional_urban_areas" w:history="1">
        <w:r w:rsidRPr="005B5ADF">
          <w:rPr>
            <w:rStyle w:val="Hypertextovodkaz"/>
          </w:rPr>
          <w:t>Wikipedia</w:t>
        </w:r>
      </w:hyperlink>
      <w:r>
        <w:t xml:space="preserve"> – sečetl jsem obyvatele FUZ a vydělil celkovým počtem obyvatel</w:t>
      </w:r>
    </w:p>
  </w:footnote>
  <w:footnote w:id="14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9" w:history="1">
        <w:r w:rsidRPr="005B5ADF">
          <w:rPr>
            <w:rStyle w:val="Hypertextovodkaz"/>
          </w:rPr>
          <w:t>FreeWorldMaps</w:t>
        </w:r>
      </w:hyperlink>
      <w:r>
        <w:t xml:space="preserve">, moje osobní zkušenost </w:t>
      </w:r>
      <w:r w:rsidR="0019718B">
        <w:t>s městy Troyes, Arras a Dunkerque</w:t>
      </w:r>
    </w:p>
  </w:footnote>
  <w:footnote w:id="15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0" w:history="1">
        <w:r w:rsidRPr="005B5ADF">
          <w:rPr>
            <w:rStyle w:val="Hypertextovodkaz"/>
          </w:rPr>
          <w:t>EcoBNB</w:t>
        </w:r>
      </w:hyperlink>
    </w:p>
  </w:footnote>
  <w:footnote w:id="16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1" w:history="1">
        <w:r w:rsidRPr="00ED2031">
          <w:rPr>
            <w:rStyle w:val="Hypertextovodkaz"/>
          </w:rPr>
          <w:t>Quora</w:t>
        </w:r>
      </w:hyperlink>
      <w:r>
        <w:t xml:space="preserve"> – obecně o veřejné dopravě ve Francii, osobně to považuji za hodnotnou referenci minimálně v rozsahu</w:t>
      </w:r>
    </w:p>
  </w:footnote>
  <w:footnote w:id="17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2" w:history="1">
        <w:r w:rsidRPr="00ED2031">
          <w:rPr>
            <w:rStyle w:val="Hypertextovodkaz"/>
          </w:rPr>
          <w:t>Urban Access Regulations</w:t>
        </w:r>
      </w:hyperlink>
    </w:p>
  </w:footnote>
  <w:footnote w:id="18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3" w:history="1">
        <w:r w:rsidRPr="00ED2031">
          <w:rPr>
            <w:rStyle w:val="Hypertextovodkaz"/>
          </w:rPr>
          <w:t>World Bank Group</w:t>
        </w:r>
      </w:hyperlink>
      <w:r>
        <w:t xml:space="preserve">, </w:t>
      </w:r>
      <w:hyperlink r:id="rId24" w:history="1">
        <w:r w:rsidRPr="00ED2031">
          <w:rPr>
            <w:rStyle w:val="Hypertextovodkaz"/>
          </w:rPr>
          <w:t>2</w:t>
        </w:r>
      </w:hyperlink>
    </w:p>
  </w:footnote>
  <w:footnote w:id="19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5" w:history="1">
        <w:r w:rsidRPr="004B2846">
          <w:rPr>
            <w:rStyle w:val="Hypertextovodkaz"/>
          </w:rPr>
          <w:t>SalaryExplorer</w:t>
        </w:r>
      </w:hyperlink>
    </w:p>
  </w:footnote>
  <w:footnote w:id="20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6" w:history="1">
        <w:r w:rsidRPr="004B2846">
          <w:rPr>
            <w:rStyle w:val="Hypertextovodkaz"/>
          </w:rPr>
          <w:t>World Bank Group</w:t>
        </w:r>
      </w:hyperlink>
      <w:r>
        <w:t xml:space="preserve">, </w:t>
      </w:r>
      <w:hyperlink r:id="rId27" w:history="1">
        <w:r w:rsidRPr="004B2846">
          <w:rPr>
            <w:rStyle w:val="Hypertextovodkaz"/>
          </w:rPr>
          <w:t>inflation.eu</w:t>
        </w:r>
      </w:hyperlink>
    </w:p>
  </w:footnote>
  <w:footnote w:id="21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viz 2, 4, 7</w:t>
      </w:r>
    </w:p>
  </w:footnote>
  <w:footnote w:id="22">
    <w:p w:rsidR="00105A6F" w:rsidRDefault="00105A6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8" w:history="1">
        <w:r w:rsidRPr="00105A6F">
          <w:rPr>
            <w:rStyle w:val="Hypertextovodkaz"/>
          </w:rPr>
          <w:t>CIA World Factbook</w:t>
        </w:r>
      </w:hyperlink>
      <w:r>
        <w:t>, zahrnuje i několik dalších statistik k jiným bodům</w:t>
      </w:r>
    </w:p>
  </w:footnote>
  <w:footnote w:id="23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viz 20, </w:t>
      </w:r>
      <w:hyperlink r:id="rId29" w:history="1">
        <w:r w:rsidRPr="00B553FE">
          <w:rPr>
            <w:rStyle w:val="Hypertextovodkaz"/>
          </w:rPr>
          <w:t>Statista</w:t>
        </w:r>
      </w:hyperlink>
      <w:r>
        <w:t xml:space="preserve"> – novější data nejsou volně k dispozici</w:t>
      </w:r>
    </w:p>
  </w:footnote>
  <w:footnote w:id="24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0" w:history="1">
        <w:r w:rsidRPr="00B553FE">
          <w:rPr>
            <w:rStyle w:val="Hypertextovodkaz"/>
          </w:rPr>
          <w:t>The Local</w:t>
        </w:r>
      </w:hyperlink>
      <w:r>
        <w:t>, viz 2 - Jan Vítek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70" w:rsidRDefault="00607370">
    <w:pPr>
      <w:pStyle w:val="Zhlav"/>
    </w:pPr>
    <w:r>
      <w:t>Vít Matějíček, R7.A</w:t>
    </w:r>
  </w:p>
  <w:p w:rsidR="00607370" w:rsidRDefault="0060737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D1AF3"/>
    <w:multiLevelType w:val="hybridMultilevel"/>
    <w:tmpl w:val="29F4B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B4"/>
    <w:rsid w:val="00042949"/>
    <w:rsid w:val="00057FD0"/>
    <w:rsid w:val="00067672"/>
    <w:rsid w:val="00080909"/>
    <w:rsid w:val="000A327E"/>
    <w:rsid w:val="000B5328"/>
    <w:rsid w:val="000D6461"/>
    <w:rsid w:val="000D7378"/>
    <w:rsid w:val="00105A6F"/>
    <w:rsid w:val="00155450"/>
    <w:rsid w:val="0019718B"/>
    <w:rsid w:val="001A41A9"/>
    <w:rsid w:val="001C5221"/>
    <w:rsid w:val="001D518D"/>
    <w:rsid w:val="002109A8"/>
    <w:rsid w:val="00237E76"/>
    <w:rsid w:val="00254C5A"/>
    <w:rsid w:val="00275A59"/>
    <w:rsid w:val="0029232D"/>
    <w:rsid w:val="002E06E5"/>
    <w:rsid w:val="002E1791"/>
    <w:rsid w:val="00304906"/>
    <w:rsid w:val="00337EF0"/>
    <w:rsid w:val="00371B55"/>
    <w:rsid w:val="00377E5F"/>
    <w:rsid w:val="00397EE6"/>
    <w:rsid w:val="003A6326"/>
    <w:rsid w:val="00400A0C"/>
    <w:rsid w:val="00456C5E"/>
    <w:rsid w:val="0048115D"/>
    <w:rsid w:val="00487A20"/>
    <w:rsid w:val="004B2846"/>
    <w:rsid w:val="004B391A"/>
    <w:rsid w:val="004B4136"/>
    <w:rsid w:val="004C21FC"/>
    <w:rsid w:val="00500345"/>
    <w:rsid w:val="00545D5D"/>
    <w:rsid w:val="00583AA4"/>
    <w:rsid w:val="005B5ADF"/>
    <w:rsid w:val="005B624D"/>
    <w:rsid w:val="005D0023"/>
    <w:rsid w:val="00607370"/>
    <w:rsid w:val="00631EB6"/>
    <w:rsid w:val="006366E4"/>
    <w:rsid w:val="00666812"/>
    <w:rsid w:val="0068166B"/>
    <w:rsid w:val="006B4F8F"/>
    <w:rsid w:val="007031EA"/>
    <w:rsid w:val="00731755"/>
    <w:rsid w:val="00767CB4"/>
    <w:rsid w:val="007F35F6"/>
    <w:rsid w:val="00801262"/>
    <w:rsid w:val="00803BBD"/>
    <w:rsid w:val="00807C86"/>
    <w:rsid w:val="00817E86"/>
    <w:rsid w:val="00847586"/>
    <w:rsid w:val="00883ECF"/>
    <w:rsid w:val="008A31E1"/>
    <w:rsid w:val="0091733B"/>
    <w:rsid w:val="0095701C"/>
    <w:rsid w:val="00966C31"/>
    <w:rsid w:val="009C541E"/>
    <w:rsid w:val="009E5879"/>
    <w:rsid w:val="00A0012E"/>
    <w:rsid w:val="00A057D9"/>
    <w:rsid w:val="00A248B0"/>
    <w:rsid w:val="00A255B7"/>
    <w:rsid w:val="00A425B5"/>
    <w:rsid w:val="00A46BA8"/>
    <w:rsid w:val="00A54104"/>
    <w:rsid w:val="00A6625B"/>
    <w:rsid w:val="00A70295"/>
    <w:rsid w:val="00A93524"/>
    <w:rsid w:val="00AC7674"/>
    <w:rsid w:val="00B11457"/>
    <w:rsid w:val="00B45C14"/>
    <w:rsid w:val="00B553FE"/>
    <w:rsid w:val="00BA55FB"/>
    <w:rsid w:val="00C152D0"/>
    <w:rsid w:val="00C27467"/>
    <w:rsid w:val="00C9056A"/>
    <w:rsid w:val="00CB2B1E"/>
    <w:rsid w:val="00CD5714"/>
    <w:rsid w:val="00CE7384"/>
    <w:rsid w:val="00D7449A"/>
    <w:rsid w:val="00D95771"/>
    <w:rsid w:val="00DA3F0A"/>
    <w:rsid w:val="00DA5C5C"/>
    <w:rsid w:val="00DB1FE3"/>
    <w:rsid w:val="00DD4B41"/>
    <w:rsid w:val="00DE7FA3"/>
    <w:rsid w:val="00E10512"/>
    <w:rsid w:val="00EA02D1"/>
    <w:rsid w:val="00EB19A8"/>
    <w:rsid w:val="00EB448B"/>
    <w:rsid w:val="00ED2031"/>
    <w:rsid w:val="00F25C45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2CA55-E91F-4B8D-AA9B-7A7C2F6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0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7CB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54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847586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47586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7A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7A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87A20"/>
    <w:rPr>
      <w:vertAlign w:val="superscript"/>
    </w:rPr>
  </w:style>
  <w:style w:type="paragraph" w:styleId="Podtitul">
    <w:name w:val="Subtitle"/>
    <w:basedOn w:val="Normln"/>
    <w:next w:val="Normln"/>
    <w:link w:val="PodtitulChar"/>
    <w:uiPriority w:val="11"/>
    <w:qFormat/>
    <w:rsid w:val="009C5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9C541E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7370"/>
  </w:style>
  <w:style w:type="paragraph" w:styleId="Zpat">
    <w:name w:val="footer"/>
    <w:basedOn w:val="Normln"/>
    <w:link w:val="Zpat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t_of_living" TargetMode="External"/><Relationship Id="rId13" Type="http://schemas.openxmlformats.org/officeDocument/2006/relationships/hyperlink" Target="http://neviditelnypes.lidovky.cz/francie-macron-klickuje-0sm-/p_zahranici.aspx?c=A190102_212949_p_zahranici_wa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onversation.com/shockwaves-from-french-yellow-vest-protests-felt-across-europe-10857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nomist.com/briefing/2015/05/02/when-what-comes-down-doesnt-go-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GFI6h37JBg" TargetMode="External"/><Relationship Id="rId10" Type="http://schemas.openxmlformats.org/officeDocument/2006/relationships/hyperlink" Target="https://www.french-property.com/guides/france/finance-taxation/tax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ljazeera.com/news/2018/12/france-yellow-vest-protests-timeline-unrest-181208093213135.html" TargetMode="External"/><Relationship Id="rId14" Type="http://schemas.openxmlformats.org/officeDocument/2006/relationships/hyperlink" Target="https://kechlibar.net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eviditelnypes.lidovky.cz/francie-pozadavky-zlutych-vest-d3y-/p_zahranici.aspx?c=A190101_211837_p_zahranici_wag" TargetMode="External"/><Relationship Id="rId13" Type="http://schemas.openxmlformats.org/officeDocument/2006/relationships/hyperlink" Target="https://docs.google.com/document/d/17Z4DnnMxfJWrCtv85gtkLzEB-Yq3CejN_IWHDjlrOyE/edit?usp=sharing" TargetMode="External"/><Relationship Id="rId18" Type="http://schemas.openxmlformats.org/officeDocument/2006/relationships/hyperlink" Target="https://en.wikipedia.org/wiki/France" TargetMode="External"/><Relationship Id="rId26" Type="http://schemas.openxmlformats.org/officeDocument/2006/relationships/hyperlink" Target="https://data.worldbank.org/indicator/FP.CPI.TOTL.ZG?end=2017&amp;locations=FR&amp;start=1960&amp;view=chart" TargetMode="External"/><Relationship Id="rId3" Type="http://schemas.openxmlformats.org/officeDocument/2006/relationships/hyperlink" Target="https://en.wikipedia.org/wiki/Yellow_vests_movement" TargetMode="External"/><Relationship Id="rId21" Type="http://schemas.openxmlformats.org/officeDocument/2006/relationships/hyperlink" Target="https://www.quora.com/How-is-public-transportation-in-France" TargetMode="External"/><Relationship Id="rId7" Type="http://schemas.openxmlformats.org/officeDocument/2006/relationships/hyperlink" Target="https://i.redd.it/kltb04w8gk321.jpg" TargetMode="External"/><Relationship Id="rId12" Type="http://schemas.openxmlformats.org/officeDocument/2006/relationships/hyperlink" Target="https://www.thelocal.fr/20181030/french-drivers-plan-road-blocks-to-protest-fuel-prices-but-are-they-right-to" TargetMode="External"/><Relationship Id="rId17" Type="http://schemas.openxmlformats.org/officeDocument/2006/relationships/hyperlink" Target="http://worldpopulationreview.com/countries/france-population/cities/" TargetMode="External"/><Relationship Id="rId25" Type="http://schemas.openxmlformats.org/officeDocument/2006/relationships/hyperlink" Target="http://www.salaryexplorer.com/salary-survey.php?loc=74&amp;loctype=1" TargetMode="External"/><Relationship Id="rId2" Type="http://schemas.openxmlformats.org/officeDocument/2006/relationships/hyperlink" Target="https://www.liberation.fr/france/2018/12/02/paris-emeutes-inedites-depuis-68_1695615" TargetMode="External"/><Relationship Id="rId16" Type="http://schemas.openxmlformats.org/officeDocument/2006/relationships/hyperlink" Target="https://www.thelocal.fr/20160331/why-are-french-always-on-strike" TargetMode="External"/><Relationship Id="rId20" Type="http://schemas.openxmlformats.org/officeDocument/2006/relationships/hyperlink" Target="https://ecobnb.com/blog/2014/05/bike-work-get-paid-ecology-economy-go-together-well/" TargetMode="External"/><Relationship Id="rId29" Type="http://schemas.openxmlformats.org/officeDocument/2006/relationships/hyperlink" Target="https://www.statista.com/statistics/460446/poverty-rate-france/" TargetMode="External"/><Relationship Id="rId1" Type="http://schemas.openxmlformats.org/officeDocument/2006/relationships/hyperlink" Target="https://en.wikipedia.org/wiki/Yellow_vests_movement" TargetMode="External"/><Relationship Id="rId6" Type="http://schemas.openxmlformats.org/officeDocument/2006/relationships/hyperlink" Target="http://neviditelnypes.lidovky.cz/francie-jak-dlouho-muze-trvat-prozatim-d9f-/p_zahranici.aspx?c=A181209_233307_p_zahranici_wag" TargetMode="External"/><Relationship Id="rId11" Type="http://schemas.openxmlformats.org/officeDocument/2006/relationships/hyperlink" Target="https://www.lesechos.fr/10/04/2014/LesEchos/21666-088-ECH_diesel---les-raisons-d-une---exception-culturelle---francaise.htm" TargetMode="External"/><Relationship Id="rId24" Type="http://schemas.openxmlformats.org/officeDocument/2006/relationships/hyperlink" Target="https://data.worldbank.org/indicator/NY.GDP.MKTP.PP.CD?locations=FR" TargetMode="External"/><Relationship Id="rId5" Type="http://schemas.openxmlformats.org/officeDocument/2006/relationships/hyperlink" Target="http://neviditelnypes.lidovky.cz/francie-jde-o-penize-hlupaku-d1z-/p_zahranici.aspx?c=A181213_205531_p_zahranici_wag" TargetMode="External"/><Relationship Id="rId15" Type="http://schemas.openxmlformats.org/officeDocument/2006/relationships/hyperlink" Target="https://www.independent.co.uk/news/world/europe/the-european-countries-that-strike-the-most-french-strikes-industrial-action-map-a7063926.html" TargetMode="External"/><Relationship Id="rId23" Type="http://schemas.openxmlformats.org/officeDocument/2006/relationships/hyperlink" Target="https://data.worldbank.org/indicator/NY.GDP.MKTP.CD?locations=FR" TargetMode="External"/><Relationship Id="rId28" Type="http://schemas.openxmlformats.org/officeDocument/2006/relationships/hyperlink" Target="https://www.cia.gov/library/publications/resources/the-world-factbook/geos/fr.html" TargetMode="External"/><Relationship Id="rId10" Type="http://schemas.openxmlformats.org/officeDocument/2006/relationships/hyperlink" Target="https://en.wikipedia.org/wiki/Yellow_vests_movement" TargetMode="External"/><Relationship Id="rId19" Type="http://schemas.openxmlformats.org/officeDocument/2006/relationships/hyperlink" Target="http://www.freeworldmaps.net/europe/france/map.html" TargetMode="External"/><Relationship Id="rId4" Type="http://schemas.openxmlformats.org/officeDocument/2006/relationships/hyperlink" Target="http://neviditelnypes.lidovky.cz/francie-zeme-se-riti-do-katastrofy-macrona-to-nezajima-ppz-/p_zahranici.aspx?c=A181209_165733_p_zahranici_wag" TargetMode="External"/><Relationship Id="rId9" Type="http://schemas.openxmlformats.org/officeDocument/2006/relationships/hyperlink" Target="https://en.wikipedia.org/wiki/Taxation_in_France" TargetMode="External"/><Relationship Id="rId14" Type="http://schemas.openxmlformats.org/officeDocument/2006/relationships/hyperlink" Target="https://www.eurotax.fr/en/our-expertise/energy-taxes/" TargetMode="External"/><Relationship Id="rId22" Type="http://schemas.openxmlformats.org/officeDocument/2006/relationships/hyperlink" Target="http://urbanaccessregulations.eu/countries-mainmenu-147/france/paris" TargetMode="External"/><Relationship Id="rId27" Type="http://schemas.openxmlformats.org/officeDocument/2006/relationships/hyperlink" Target="https://www.inflation.eu/inflation-rates/france/historic-inflation/hicp-inflation-france-2018.aspx" TargetMode="External"/><Relationship Id="rId30" Type="http://schemas.openxmlformats.org/officeDocument/2006/relationships/hyperlink" Target="https://www.thelocal.fr/20181108/report-the-shocking-truth-about-poverty-in-france-in-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1ED98-6EEB-47BB-BEC2-FBDF9A47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1249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Matějíček</dc:creator>
  <cp:keywords/>
  <dc:description/>
  <cp:lastModifiedBy>Vít Matějíček</cp:lastModifiedBy>
  <cp:revision>50</cp:revision>
  <dcterms:created xsi:type="dcterms:W3CDTF">2018-12-28T18:11:00Z</dcterms:created>
  <dcterms:modified xsi:type="dcterms:W3CDTF">2019-04-10T21:33:00Z</dcterms:modified>
</cp:coreProperties>
</file>