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 w:line="264" w:lineRule="auto"/>
      </w:pPr>
      <w:r>
        <w:rPr>
          <w:rFonts w:ascii="Calibri" w:hAnsi="Calibri"/>
          <w:b/>
          <w:i w:val="0"/>
          <w:color w:val="5A636A"/>
          <w:sz w:val="24"/>
        </w:rPr>
        <w:t>ATHENA FRAMEWORK APPLICATION</w:t>
      </w:r>
    </w:p>
    <w:p>
      <w:pPr>
        <w:spacing w:before="0" w:after="80" w:line="264" w:lineRule="auto"/>
      </w:pPr>
      <w:r>
        <w:rPr>
          <w:rFonts w:ascii="Calibri" w:hAnsi="Calibri"/>
          <w:b/>
          <w:i w:val="0"/>
          <w:color w:val="000000"/>
          <w:sz w:val="46"/>
        </w:rPr>
        <w:t>Scenario GNSS vehicle: applicazione passo-passo</w:t>
      </w:r>
    </w:p>
    <w:p>
      <w:pPr>
        <w:spacing w:before="0" w:after="280" w:line="264" w:lineRule="auto"/>
      </w:pPr>
      <w:r>
        <w:rPr>
          <w:rFonts w:ascii="Calibri" w:hAnsi="Calibri"/>
          <w:b w:val="0"/>
          <w:i w:val="0"/>
          <w:color w:val="5A636A"/>
          <w:sz w:val="26"/>
        </w:rPr>
        <w:t>Dalla minaccia al vettore ATHENA, fino alla raccomandazione delle contromisure con pesatura CVSS-like.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42028"/>
                <w:sz w:val="19"/>
              </w:rPr>
              <w:t>Campo</w:t>
            </w:r>
          </w:p>
        </w:tc>
        <w:tc>
          <w:tcPr>
            <w:tcW w:type="dxa" w:w="746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42028"/>
                <w:sz w:val="19"/>
              </w:rPr>
              <w:t>Valore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42028"/>
                <w:sz w:val="18"/>
              </w:rPr>
              <w:t>Scenario</w:t>
            </w:r>
          </w:p>
        </w:tc>
        <w:tc>
          <w:tcPr>
            <w:tcW w:type="dxa" w:w="74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42028"/>
                <w:sz w:val="18"/>
              </w:rPr>
              <w:t>Connected vehicle GNSS spoofing with disinformation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42028"/>
                <w:sz w:val="18"/>
              </w:rPr>
              <w:t>Dominio primario</w:t>
            </w:r>
          </w:p>
        </w:tc>
        <w:tc>
          <w:tcPr>
            <w:tcW w:type="dxa" w:w="74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42028"/>
                <w:sz w:val="18"/>
              </w:rPr>
              <w:t>Space/GNSS con propagazione su Land, Cyber e Cognitive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42028"/>
                <w:sz w:val="18"/>
              </w:rPr>
              <w:t>Obiettivo</w:t>
            </w:r>
          </w:p>
        </w:tc>
        <w:tc>
          <w:tcPr>
            <w:tcW w:type="dxa" w:w="74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42028"/>
                <w:sz w:val="18"/>
              </w:rPr>
              <w:t>Valutare severita', impatto multi-dominio e contromisure ATHENA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42028"/>
                <w:sz w:val="18"/>
              </w:rPr>
              <w:t>Regola di scoring</w:t>
            </w:r>
          </w:p>
        </w:tc>
        <w:tc>
          <w:tcPr>
            <w:tcW w:type="dxa" w:w="74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42028"/>
                <w:sz w:val="18"/>
              </w:rPr>
              <w:t>Base score 0-10 ispirato a CVSS v3.1 + coverage ATHENA</w:t>
            </w:r>
          </w:p>
        </w:tc>
      </w:tr>
    </w:tbl>
    <w:p>
      <w:pPr>
        <w:spacing w:after="60"/>
      </w:pPr>
    </w:p>
    <w:p>
      <w:pPr>
        <w:spacing w:before="320" w:after="120"/>
      </w:pPr>
      <w:r>
        <w:rPr>
          <w:rFonts w:ascii="Calibri" w:hAnsi="Calibri"/>
          <w:b/>
          <w:i w:val="0"/>
          <w:color w:val="2E74B5"/>
          <w:sz w:val="32"/>
        </w:rPr>
        <w:t>Sintesi del risultato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42028"/>
          <w:sz w:val="22"/>
        </w:rPr>
        <w:t>Nel caso GNSS vehicle la severita' base risulta 10.0 su 10. Il ranking ATHENA seleziona come prima risposta CM-004 - GNSS anomaly response and fallback navigation, perche' massimizza la copertura sui domini Space, Land, Air/Sea fallback e sui controlli DE_AE, PR_PT, RS_MI e RS_CO. CM-002 e' quasi equivalente come supporto di detection e correlazione CTI, ma non sostituisce la risposta specifica GNSS.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62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42028"/>
                <w:sz w:val="19"/>
              </w:rPr>
              <w:t>Rank</w:t>
            </w:r>
          </w:p>
        </w:tc>
        <w:tc>
          <w:tcPr>
            <w:tcW w:type="dxa" w:w="310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42028"/>
                <w:sz w:val="19"/>
              </w:rPr>
              <w:t>Contromisura</w:t>
            </w:r>
          </w:p>
        </w:tc>
        <w:tc>
          <w:tcPr>
            <w:tcW w:type="dxa" w:w="90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42028"/>
                <w:sz w:val="19"/>
              </w:rPr>
              <w:t>ATHENA fit</w:t>
            </w:r>
          </w:p>
        </w:tc>
        <w:tc>
          <w:tcPr>
            <w:tcW w:type="dxa" w:w="80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42028"/>
                <w:sz w:val="19"/>
              </w:rPr>
              <w:t>Impact</w:t>
            </w:r>
          </w:p>
        </w:tc>
        <w:tc>
          <w:tcPr>
            <w:tcW w:type="dxa" w:w="85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42028"/>
                <w:sz w:val="19"/>
              </w:rPr>
              <w:t>Controls</w:t>
            </w:r>
          </w:p>
        </w:tc>
        <w:tc>
          <w:tcPr>
            <w:tcW w:type="dxa" w:w="85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42028"/>
                <w:sz w:val="19"/>
              </w:rPr>
              <w:t>Maturity</w:t>
            </w:r>
          </w:p>
        </w:tc>
        <w:tc>
          <w:tcPr>
            <w:tcW w:type="dxa" w:w="224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42028"/>
                <w:sz w:val="19"/>
              </w:rPr>
              <w:t>Decisione</w:t>
            </w:r>
          </w:p>
        </w:tc>
      </w:tr>
      <w:tr>
        <w:tc>
          <w:tcPr>
            <w:tcW w:type="dxa" w:w="62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42028"/>
                <w:sz w:val="18"/>
              </w:rPr>
              <w:t>1</w:t>
            </w:r>
          </w:p>
        </w:tc>
        <w:tc>
          <w:tcPr>
            <w:tcW w:type="dxa" w:w="31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42028"/>
                <w:sz w:val="18"/>
              </w:rPr>
              <w:t>CM-004 GNSS anomaly response and fallback navigation</w:t>
            </w:r>
          </w:p>
        </w:tc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42028"/>
                <w:sz w:val="18"/>
              </w:rPr>
              <w:t>6.349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42028"/>
                <w:sz w:val="18"/>
              </w:rPr>
              <w:t>0.698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42028"/>
                <w:sz w:val="18"/>
              </w:rPr>
              <w:t>0.594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42028"/>
                <w:sz w:val="18"/>
              </w:rPr>
              <w:t>0.565</w:t>
            </w:r>
          </w:p>
        </w:tc>
        <w:tc>
          <w:tcPr>
            <w:tcW w:type="dxa" w:w="224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42028"/>
                <w:sz w:val="18"/>
              </w:rPr>
              <w:t>Raccomandata</w:t>
            </w:r>
          </w:p>
        </w:tc>
      </w:tr>
      <w:tr>
        <w:tc>
          <w:tcPr>
            <w:tcW w:type="dxa" w:w="62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42028"/>
                <w:sz w:val="18"/>
              </w:rPr>
              <w:t>2</w:t>
            </w:r>
          </w:p>
        </w:tc>
        <w:tc>
          <w:tcPr>
            <w:tcW w:type="dxa" w:w="31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42028"/>
                <w:sz w:val="18"/>
              </w:rPr>
              <w:t>CM-002 CTI multi-source correlation and confidence scoring</w:t>
            </w:r>
          </w:p>
        </w:tc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42028"/>
                <w:sz w:val="18"/>
              </w:rPr>
              <w:t>6.250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42028"/>
                <w:sz w:val="18"/>
              </w:rPr>
              <w:t>0.674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42028"/>
                <w:sz w:val="18"/>
              </w:rPr>
              <w:t>0.563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42028"/>
                <w:sz w:val="18"/>
              </w:rPr>
              <w:t>0.623</w:t>
            </w:r>
          </w:p>
        </w:tc>
        <w:tc>
          <w:tcPr>
            <w:tcW w:type="dxa" w:w="224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42028"/>
                <w:sz w:val="18"/>
              </w:rPr>
              <w:t>Supporto detection</w:t>
            </w:r>
          </w:p>
        </w:tc>
      </w:tr>
      <w:tr>
        <w:tc>
          <w:tcPr>
            <w:tcW w:type="dxa" w:w="62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42028"/>
                <w:sz w:val="18"/>
              </w:rPr>
              <w:t>3</w:t>
            </w:r>
          </w:p>
        </w:tc>
        <w:tc>
          <w:tcPr>
            <w:tcW w:type="dxa" w:w="31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42028"/>
                <w:sz w:val="18"/>
              </w:rPr>
              <w:t>CM-008 Resilient recovery and service prioritization</w:t>
            </w:r>
          </w:p>
        </w:tc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42028"/>
                <w:sz w:val="18"/>
              </w:rPr>
              <w:t>5.732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42028"/>
                <w:sz w:val="18"/>
              </w:rPr>
              <w:t>0.814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42028"/>
                <w:sz w:val="18"/>
              </w:rPr>
              <w:t>0.250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42028"/>
                <w:sz w:val="18"/>
              </w:rPr>
              <w:t>0.597</w:t>
            </w:r>
          </w:p>
        </w:tc>
        <w:tc>
          <w:tcPr>
            <w:tcW w:type="dxa" w:w="224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42028"/>
                <w:sz w:val="18"/>
              </w:rPr>
              <w:t>Recovery</w:t>
            </w:r>
          </w:p>
        </w:tc>
      </w:tr>
      <w:tr>
        <w:tc>
          <w:tcPr>
            <w:tcW w:type="dxa" w:w="62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42028"/>
                <w:sz w:val="18"/>
              </w:rPr>
              <w:t>4</w:t>
            </w:r>
          </w:p>
        </w:tc>
        <w:tc>
          <w:tcPr>
            <w:tcW w:type="dxa" w:w="31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42028"/>
                <w:sz w:val="18"/>
              </w:rPr>
              <w:t>CM-005 Disinformation containment and trusted communication</w:t>
            </w:r>
          </w:p>
        </w:tc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42028"/>
                <w:sz w:val="18"/>
              </w:rPr>
              <w:t>5.596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42028"/>
                <w:sz w:val="18"/>
              </w:rPr>
              <w:t>0.605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42028"/>
                <w:sz w:val="18"/>
              </w:rPr>
              <w:t>0.438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42028"/>
                <w:sz w:val="18"/>
              </w:rPr>
              <w:t>0.672</w:t>
            </w:r>
          </w:p>
        </w:tc>
        <w:tc>
          <w:tcPr>
            <w:tcW w:type="dxa" w:w="224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42028"/>
                <w:sz w:val="18"/>
              </w:rPr>
              <w:t>Cognitive</w:t>
            </w:r>
          </w:p>
        </w:tc>
      </w:tr>
      <w:tr>
        <w:tc>
          <w:tcPr>
            <w:tcW w:type="dxa" w:w="62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42028"/>
                <w:sz w:val="18"/>
              </w:rPr>
              <w:t>5</w:t>
            </w:r>
          </w:p>
        </w:tc>
        <w:tc>
          <w:tcPr>
            <w:tcW w:type="dxa" w:w="31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42028"/>
                <w:sz w:val="18"/>
              </w:rPr>
              <w:t>CM-001 Cross-domain incident cell activation</w:t>
            </w:r>
          </w:p>
        </w:tc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42028"/>
                <w:sz w:val="18"/>
              </w:rPr>
              <w:t>5.395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42028"/>
                <w:sz w:val="18"/>
              </w:rPr>
              <w:t>0.698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42028"/>
                <w:sz w:val="18"/>
              </w:rPr>
              <w:t>0.250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42028"/>
                <w:sz w:val="18"/>
              </w:rPr>
              <w:t>0.690</w:t>
            </w:r>
          </w:p>
        </w:tc>
        <w:tc>
          <w:tcPr>
            <w:tcW w:type="dxa" w:w="224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42028"/>
                <w:sz w:val="18"/>
              </w:rPr>
              <w:t>Governance</w:t>
            </w:r>
          </w:p>
        </w:tc>
      </w:tr>
    </w:tbl>
    <w:p>
      <w:pPr>
        <w:spacing w:after="60"/>
      </w:pPr>
    </w:p>
    <w:p>
      <w:pPr>
        <w:spacing w:before="320" w:after="120"/>
      </w:pPr>
      <w:r>
        <w:rPr>
          <w:rFonts w:ascii="Calibri" w:hAnsi="Calibri"/>
          <w:b/>
          <w:i w:val="0"/>
          <w:color w:val="2E74B5"/>
          <w:sz w:val="32"/>
        </w:rPr>
        <w:t>Metodo di pesatura in stile CVSS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42028"/>
          <w:sz w:val="22"/>
        </w:rPr>
        <w:t>Il CVSS usa metriche base per comunicare caratteristiche e severita' di una vulnerabilita' con un punteggio 0-10. ATHENA riprende questa logica: prima calcola una severita' base della minaccia/vulnerabilita', poi la combina con la coverage della contromisura sugli assi P-D-L-E.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60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42028"/>
                <w:sz w:val="19"/>
              </w:rPr>
              <w:t>Metrica</w:t>
            </w:r>
          </w:p>
        </w:tc>
        <w:tc>
          <w:tcPr>
            <w:tcW w:type="dxa" w:w="120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42028"/>
                <w:sz w:val="19"/>
              </w:rPr>
              <w:t>Valore GNSS</w:t>
            </w:r>
          </w:p>
        </w:tc>
        <w:tc>
          <w:tcPr>
            <w:tcW w:type="dxa" w:w="105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42028"/>
                <w:sz w:val="19"/>
              </w:rPr>
              <w:t>Peso usato</w:t>
            </w:r>
          </w:p>
        </w:tc>
        <w:tc>
          <w:tcPr>
            <w:tcW w:type="dxa" w:w="551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42028"/>
                <w:sz w:val="19"/>
              </w:rPr>
              <w:t>Razionale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42028"/>
                <w:sz w:val="18"/>
              </w:rPr>
              <w:t>Attack Vector</w:t>
            </w:r>
          </w:p>
        </w:tc>
        <w:tc>
          <w:tcPr>
            <w:tcW w:type="dxa" w:w="12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42028"/>
                <w:sz w:val="18"/>
              </w:rPr>
              <w:t>Network</w:t>
            </w:r>
          </w:p>
        </w:tc>
        <w:tc>
          <w:tcPr>
            <w:tcW w:type="dxa" w:w="105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42028"/>
                <w:sz w:val="18"/>
              </w:rPr>
              <w:t>0.85</w:t>
            </w:r>
          </w:p>
        </w:tc>
        <w:tc>
          <w:tcPr>
            <w:tcW w:type="dxa" w:w="551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42028"/>
                <w:sz w:val="18"/>
              </w:rPr>
              <w:t>La dipendenza GNSS/backend puo' essere colpita senza accesso fisico diretto al singolo veicolo.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42028"/>
                <w:sz w:val="18"/>
              </w:rPr>
              <w:t>Attack Complexity</w:t>
            </w:r>
          </w:p>
        </w:tc>
        <w:tc>
          <w:tcPr>
            <w:tcW w:type="dxa" w:w="12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42028"/>
                <w:sz w:val="18"/>
              </w:rPr>
              <w:t>Low</w:t>
            </w:r>
          </w:p>
        </w:tc>
        <w:tc>
          <w:tcPr>
            <w:tcW w:type="dxa" w:w="105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42028"/>
                <w:sz w:val="18"/>
              </w:rPr>
              <w:t>0.77</w:t>
            </w:r>
          </w:p>
        </w:tc>
        <w:tc>
          <w:tcPr>
            <w:tcW w:type="dxa" w:w="551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42028"/>
                <w:sz w:val="18"/>
              </w:rPr>
              <w:t>Una volta presenti vulnerabilita' e dipendenza GNSS, l'effetto puo' essere ripetibile e clusterizzato.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42028"/>
                <w:sz w:val="18"/>
              </w:rPr>
              <w:t>Privileges Required</w:t>
            </w:r>
          </w:p>
        </w:tc>
        <w:tc>
          <w:tcPr>
            <w:tcW w:type="dxa" w:w="12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42028"/>
                <w:sz w:val="18"/>
              </w:rPr>
              <w:t>None</w:t>
            </w:r>
          </w:p>
        </w:tc>
        <w:tc>
          <w:tcPr>
            <w:tcW w:type="dxa" w:w="105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42028"/>
                <w:sz w:val="18"/>
              </w:rPr>
              <w:t>0.85</w:t>
            </w:r>
          </w:p>
        </w:tc>
        <w:tc>
          <w:tcPr>
            <w:tcW w:type="dxa" w:w="551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42028"/>
                <w:sz w:val="18"/>
              </w:rPr>
              <w:t>Il segnale o la manipolazione non richiedono privilegi sul target finale.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42028"/>
                <w:sz w:val="18"/>
              </w:rPr>
              <w:t>User Interaction</w:t>
            </w:r>
          </w:p>
        </w:tc>
        <w:tc>
          <w:tcPr>
            <w:tcW w:type="dxa" w:w="12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42028"/>
                <w:sz w:val="18"/>
              </w:rPr>
              <w:t>None</w:t>
            </w:r>
          </w:p>
        </w:tc>
        <w:tc>
          <w:tcPr>
            <w:tcW w:type="dxa" w:w="105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42028"/>
                <w:sz w:val="18"/>
              </w:rPr>
              <w:t>0.85</w:t>
            </w:r>
          </w:p>
        </w:tc>
        <w:tc>
          <w:tcPr>
            <w:tcW w:type="dxa" w:w="551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42028"/>
                <w:sz w:val="18"/>
              </w:rPr>
              <w:t>Il veicolo/servizio subisce dati di navigazione senza azione dell'utente.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42028"/>
                <w:sz w:val="18"/>
              </w:rPr>
              <w:t>Scope</w:t>
            </w:r>
          </w:p>
        </w:tc>
        <w:tc>
          <w:tcPr>
            <w:tcW w:type="dxa" w:w="12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42028"/>
                <w:sz w:val="18"/>
              </w:rPr>
              <w:t>Changed</w:t>
            </w:r>
          </w:p>
        </w:tc>
        <w:tc>
          <w:tcPr>
            <w:tcW w:type="dxa" w:w="105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42028"/>
                <w:sz w:val="18"/>
              </w:rPr>
              <w:t>1.08</w:t>
            </w:r>
          </w:p>
        </w:tc>
        <w:tc>
          <w:tcPr>
            <w:tcW w:type="dxa" w:w="551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42028"/>
                <w:sz w:val="18"/>
              </w:rPr>
              <w:t>L'impatto passa dal componente vulnerabile a mobilita', emergenza e percezione pubblica.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42028"/>
                <w:sz w:val="18"/>
              </w:rPr>
              <w:t>C/I/A</w:t>
            </w:r>
          </w:p>
        </w:tc>
        <w:tc>
          <w:tcPr>
            <w:tcW w:type="dxa" w:w="12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42028"/>
                <w:sz w:val="18"/>
              </w:rPr>
              <w:t>High/High/High</w:t>
            </w:r>
          </w:p>
        </w:tc>
        <w:tc>
          <w:tcPr>
            <w:tcW w:type="dxa" w:w="105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42028"/>
                <w:sz w:val="18"/>
              </w:rPr>
              <w:t>0.56 ciascuno</w:t>
            </w:r>
          </w:p>
        </w:tc>
        <w:tc>
          <w:tcPr>
            <w:tcW w:type="dxa" w:w="551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42028"/>
                <w:sz w:val="18"/>
              </w:rPr>
              <w:t>Integrita' coordinate, disponibilita' servizio e confidenzialita' telemetry possono essere rilevanti.</w:t>
            </w:r>
          </w:p>
        </w:tc>
      </w:tr>
    </w:tbl>
    <w:p>
      <w:pPr>
        <w:spacing w:after="60"/>
      </w:pPr>
    </w:p>
    <w:p>
      <w:pPr>
        <w:spacing w:before="0" w:after="120" w:line="264" w:lineRule="auto"/>
      </w:pPr>
      <w:r>
        <w:rPr>
          <w:rFonts w:ascii="Calibri" w:hAnsi="Calibri"/>
          <w:b w:val="0"/>
          <w:i/>
          <w:color w:val="142028"/>
          <w:sz w:val="22"/>
        </w:rPr>
        <w:t>Risultato: base score 10.0, classificato Critical. Il valore non e' un costo: rappresenta severita' tecnica e impatto operativo.</w:t>
      </w:r>
    </w:p>
    <w:p>
      <w:pPr>
        <w:spacing w:before="320" w:after="120"/>
      </w:pPr>
      <w:r>
        <w:rPr>
          <w:rFonts w:ascii="Calibri" w:hAnsi="Calibri"/>
          <w:b/>
          <w:i w:val="0"/>
          <w:color w:val="2E74B5"/>
          <w:sz w:val="32"/>
        </w:rPr>
        <w:t>Applicazione passo-passo del framework</w:t>
      </w:r>
    </w:p>
    <w:p>
      <w:pPr>
        <w:spacing w:before="200" w:after="120"/>
      </w:pPr>
      <w:r>
        <w:rPr>
          <w:rFonts w:ascii="Calibri" w:hAnsi="Calibri"/>
          <w:b/>
          <w:i w:val="0"/>
          <w:color w:val="1F4D78"/>
          <w:sz w:val="26"/>
        </w:rPr>
        <w:t>1. Intake della minaccia</w:t>
      </w:r>
    </w:p>
    <w:p>
      <w:pPr>
        <w:spacing w:before="0" w:after="60" w:line="264" w:lineRule="auto"/>
      </w:pPr>
      <w:r>
        <w:rPr>
          <w:rFonts w:ascii="Calibri" w:hAnsi="Calibri"/>
          <w:b w:val="0"/>
          <w:i w:val="0"/>
          <w:color w:val="142028"/>
          <w:sz w:val="22"/>
        </w:rPr>
        <w:t>Si inserisce GNSS spoofing/jamming come vulnerabilita' primaria e si registra l'asset: connected vehicle fleet and navigation services.</w:t>
      </w:r>
    </w:p>
    <w:p>
      <w:pPr>
        <w:spacing w:before="0" w:after="160" w:line="264" w:lineRule="auto"/>
      </w:pPr>
      <w:r>
        <w:rPr>
          <w:rFonts w:ascii="Calibri" w:hAnsi="Calibri"/>
          <w:b/>
          <w:i w:val="0"/>
          <w:color w:val="1F4D78"/>
          <w:sz w:val="22"/>
        </w:rPr>
        <w:t>Output: tipologia gnss_spoofing, asset critico, domini iniziali Space, Land e Cyber.</w:t>
      </w:r>
    </w:p>
    <w:p>
      <w:pPr>
        <w:spacing w:before="200" w:after="120"/>
      </w:pPr>
      <w:r>
        <w:rPr>
          <w:rFonts w:ascii="Calibri" w:hAnsi="Calibri"/>
          <w:b/>
          <w:i w:val="0"/>
          <w:color w:val="1F4D78"/>
          <w:sz w:val="26"/>
        </w:rPr>
        <w:t>2. Valutazione CVSS-like</w:t>
      </w:r>
    </w:p>
    <w:p>
      <w:pPr>
        <w:spacing w:before="0" w:after="60" w:line="264" w:lineRule="auto"/>
      </w:pPr>
      <w:r>
        <w:rPr>
          <w:rFonts w:ascii="Calibri" w:hAnsi="Calibri"/>
          <w:b w:val="0"/>
          <w:i w:val="0"/>
          <w:color w:val="142028"/>
          <w:sz w:val="22"/>
        </w:rPr>
        <w:t>Si assegnano AV:N, AC:L, PR:N, UI:N, S:C, C:H, I:H, A:H. La formula produce una severita' base 10.0.</w:t>
      </w:r>
    </w:p>
    <w:p>
      <w:pPr>
        <w:spacing w:before="0" w:after="160" w:line="264" w:lineRule="auto"/>
      </w:pPr>
      <w:r>
        <w:rPr>
          <w:rFonts w:ascii="Calibri" w:hAnsi="Calibri"/>
          <w:b/>
          <w:i w:val="0"/>
          <w:color w:val="1F4D78"/>
          <w:sz w:val="22"/>
        </w:rPr>
        <w:t>Output: severita' Critical usata come moltiplicatore del ranking ATHENA.</w:t>
      </w:r>
    </w:p>
    <w:p>
      <w:pPr>
        <w:spacing w:before="200" w:after="120"/>
      </w:pPr>
      <w:r>
        <w:rPr>
          <w:rFonts w:ascii="Calibri" w:hAnsi="Calibri"/>
          <w:b/>
          <w:i w:val="0"/>
          <w:color w:val="1F4D78"/>
          <w:sz w:val="26"/>
        </w:rPr>
        <w:t>3. Contestualizzazione operativa</w:t>
      </w:r>
    </w:p>
    <w:p>
      <w:pPr>
        <w:spacing w:before="0" w:after="60" w:line="264" w:lineRule="auto"/>
      </w:pPr>
      <w:r>
        <w:rPr>
          <w:rFonts w:ascii="Calibri" w:hAnsi="Calibri"/>
          <w:b w:val="0"/>
          <w:i w:val="0"/>
          <w:color w:val="142028"/>
          <w:sz w:val="22"/>
        </w:rPr>
        <w:t>Esposizione 0.70 e confidenza 0.65 modulano l'intensita' osservata, senza trasformarsi in costo o budget.</w:t>
      </w:r>
    </w:p>
    <w:p>
      <w:pPr>
        <w:spacing w:before="0" w:after="160" w:line="264" w:lineRule="auto"/>
      </w:pPr>
      <w:r>
        <w:rPr>
          <w:rFonts w:ascii="Calibri" w:hAnsi="Calibri"/>
          <w:b/>
          <w:i w:val="0"/>
          <w:color w:val="1F4D78"/>
          <w:sz w:val="22"/>
        </w:rPr>
        <w:t>Output: intensita' 0.825 per aggiornare controlli, domini e impatti.</w:t>
      </w:r>
    </w:p>
    <w:p>
      <w:pPr>
        <w:spacing w:before="200" w:after="120"/>
      </w:pPr>
      <w:r>
        <w:rPr>
          <w:rFonts w:ascii="Calibri" w:hAnsi="Calibri"/>
          <w:b/>
          <w:i w:val="0"/>
          <w:color w:val="1F4D78"/>
          <w:sz w:val="26"/>
        </w:rPr>
        <w:t>4. Mapping domini militari</w:t>
      </w:r>
    </w:p>
    <w:p>
      <w:pPr>
        <w:spacing w:before="0" w:after="60" w:line="264" w:lineRule="auto"/>
      </w:pPr>
      <w:r>
        <w:rPr>
          <w:rFonts w:ascii="Calibri" w:hAnsi="Calibri"/>
          <w:b w:val="0"/>
          <w:i w:val="0"/>
          <w:color w:val="142028"/>
          <w:sz w:val="22"/>
        </w:rPr>
        <w:t>Il profilo GNSS proietta l'impatto su Space, Land, Cyber e, se selezionati, Sea/Air per fallback e navigazione multi-piattaforma.</w:t>
      </w:r>
    </w:p>
    <w:p>
      <w:pPr>
        <w:spacing w:before="0" w:after="160" w:line="264" w:lineRule="auto"/>
      </w:pPr>
      <w:r>
        <w:rPr>
          <w:rFonts w:ascii="Calibri" w:hAnsi="Calibri"/>
          <w:b/>
          <w:i w:val="0"/>
          <w:color w:val="1F4D78"/>
          <w:sz w:val="22"/>
        </w:rPr>
        <w:t>Output stimato: Space 0.759, Land 0.594, Cyber 0.396; Sea/Air restano minori se non abilitati.</w:t>
      </w:r>
    </w:p>
    <w:p>
      <w:pPr>
        <w:spacing w:before="200" w:after="120"/>
      </w:pPr>
      <w:r>
        <w:rPr>
          <w:rFonts w:ascii="Calibri" w:hAnsi="Calibri"/>
          <w:b/>
          <w:i w:val="0"/>
          <w:color w:val="1F4D78"/>
          <w:sz w:val="26"/>
        </w:rPr>
        <w:t>5. Costruzione vettore ATHENA</w:t>
      </w:r>
    </w:p>
    <w:p>
      <w:pPr>
        <w:spacing w:before="0" w:after="60" w:line="264" w:lineRule="auto"/>
      </w:pPr>
      <w:r>
        <w:rPr>
          <w:rFonts w:ascii="Calibri" w:hAnsi="Calibri"/>
          <w:b w:val="0"/>
          <w:i w:val="0"/>
          <w:color w:val="142028"/>
          <w:sz w:val="22"/>
        </w:rPr>
        <w:t>Il framework aggiorna x=(co_v, ca_exp, l_v, i_pos): controlli compromessi, capacita' offensive, livelli maturita' e impatti cognitive/physical/virtual.</w:t>
      </w:r>
    </w:p>
    <w:p>
      <w:pPr>
        <w:spacing w:before="0" w:after="160" w:line="264" w:lineRule="auto"/>
      </w:pPr>
      <w:r>
        <w:rPr>
          <w:rFonts w:ascii="Calibri" w:hAnsi="Calibri"/>
          <w:b/>
          <w:i w:val="0"/>
          <w:color w:val="1F4D78"/>
          <w:sz w:val="22"/>
        </w:rPr>
        <w:t>Output: scenario arricchito con DE_AE, PR_PT, RS_MI, RS_CO e impatti physical/virtual/cognitive.</w:t>
      </w:r>
    </w:p>
    <w:p>
      <w:pPr>
        <w:spacing w:before="200" w:after="120"/>
      </w:pPr>
      <w:r>
        <w:rPr>
          <w:rFonts w:ascii="Calibri" w:hAnsi="Calibri"/>
          <w:b/>
          <w:i w:val="0"/>
          <w:color w:val="1F4D78"/>
          <w:sz w:val="26"/>
        </w:rPr>
        <w:t>6. Selezione candidati</w:t>
      </w:r>
    </w:p>
    <w:p>
      <w:pPr>
        <w:spacing w:before="0" w:after="60" w:line="264" w:lineRule="auto"/>
      </w:pPr>
      <w:r>
        <w:rPr>
          <w:rFonts w:ascii="Calibri" w:hAnsi="Calibri"/>
          <w:b w:val="0"/>
          <w:i w:val="0"/>
          <w:color w:val="142028"/>
          <w:sz w:val="22"/>
        </w:rPr>
        <w:t>ATHENA limita il confronto alle contromisure coerenti con GNSS e risposta multi-dominio: CM-001, CM-002, CM-004, CM-005, CM-008.</w:t>
      </w:r>
    </w:p>
    <w:p>
      <w:pPr>
        <w:spacing w:before="0" w:after="160" w:line="264" w:lineRule="auto"/>
      </w:pPr>
      <w:r>
        <w:rPr>
          <w:rFonts w:ascii="Calibri" w:hAnsi="Calibri"/>
          <w:b/>
          <w:i w:val="0"/>
          <w:color w:val="1F4D78"/>
          <w:sz w:val="22"/>
        </w:rPr>
        <w:t>Output: shortlist difensiva senza vincoli di costo.</w:t>
      </w:r>
    </w:p>
    <w:p>
      <w:pPr>
        <w:spacing w:before="200" w:after="120"/>
      </w:pPr>
      <w:r>
        <w:rPr>
          <w:rFonts w:ascii="Calibri" w:hAnsi="Calibri"/>
          <w:b/>
          <w:i w:val="0"/>
          <w:color w:val="1F4D78"/>
          <w:sz w:val="26"/>
        </w:rPr>
        <w:t>7. Calcolo ATHENA fit</w:t>
      </w:r>
    </w:p>
    <w:p>
      <w:pPr>
        <w:spacing w:before="0" w:after="60" w:line="264" w:lineRule="auto"/>
      </w:pPr>
      <w:r>
        <w:rPr>
          <w:rFonts w:ascii="Calibri" w:hAnsi="Calibri"/>
          <w:b w:val="0"/>
          <w:i w:val="0"/>
          <w:color w:val="142028"/>
          <w:sz w:val="22"/>
        </w:rPr>
        <w:t>Per ogni contromisura si calcola coverage impatto, coverage controlli e coverage maturita'. I pesi sono 0.45, 0.35, 0.20 come analoghi di Impact, Exploitability/control e Environmental/maturity.</w:t>
      </w:r>
    </w:p>
    <w:p>
      <w:pPr>
        <w:spacing w:before="0" w:after="160" w:line="264" w:lineRule="auto"/>
      </w:pPr>
      <w:r>
        <w:rPr>
          <w:rFonts w:ascii="Calibri" w:hAnsi="Calibri"/>
          <w:b/>
          <w:i w:val="0"/>
          <w:color w:val="1F4D78"/>
          <w:sz w:val="22"/>
        </w:rPr>
        <w:t>Output: CM-004 ottiene 6.349, CM-002 ottiene 6.250.</w:t>
      </w:r>
    </w:p>
    <w:p>
      <w:pPr>
        <w:spacing w:before="200" w:after="120"/>
      </w:pPr>
      <w:r>
        <w:rPr>
          <w:rFonts w:ascii="Calibri" w:hAnsi="Calibri"/>
          <w:b/>
          <w:i w:val="0"/>
          <w:color w:val="1F4D78"/>
          <w:sz w:val="26"/>
        </w:rPr>
        <w:t>8. Decisione human-in-the-loop</w:t>
      </w:r>
    </w:p>
    <w:p>
      <w:pPr>
        <w:spacing w:before="0" w:after="60" w:line="264" w:lineRule="auto"/>
      </w:pPr>
      <w:r>
        <w:rPr>
          <w:rFonts w:ascii="Calibri" w:hAnsi="Calibri"/>
          <w:b w:val="0"/>
          <w:i w:val="0"/>
          <w:color w:val="142028"/>
          <w:sz w:val="22"/>
        </w:rPr>
        <w:t>CM-004 richiede approvazione umana perche' coinvolge fallback navigation, procedure operative e potenziale impatto su disponibilita'.</w:t>
      </w:r>
    </w:p>
    <w:p>
      <w:pPr>
        <w:spacing w:before="0" w:after="160" w:line="264" w:lineRule="auto"/>
      </w:pPr>
      <w:r>
        <w:rPr>
          <w:rFonts w:ascii="Calibri" w:hAnsi="Calibri"/>
          <w:b/>
          <w:i w:val="0"/>
          <w:color w:val="1F4D78"/>
          <w:sz w:val="22"/>
        </w:rPr>
        <w:t>Output: raccomandazione primaria CM-004, con CM-002 come detection/correlation e CM-005 se emerge narrativa ostile.</w:t>
      </w:r>
    </w:p>
    <w:p>
      <w:pPr>
        <w:spacing w:before="320" w:after="120"/>
      </w:pPr>
      <w:r>
        <w:rPr>
          <w:rFonts w:ascii="Calibri" w:hAnsi="Calibri"/>
          <w:b/>
          <w:i w:val="0"/>
          <w:color w:val="2E74B5"/>
          <w:sz w:val="32"/>
        </w:rPr>
        <w:t>Interpretazione operativa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42028"/>
          <w:sz w:val="22"/>
        </w:rPr>
        <w:t>La scelta non e' basata su costo, ma su aderenza al rischio. CM-004 copre il cuore dello scenario: anomalie GNSS, validazione multi-sensore, fallback procedurali e coordinamento con asset terrestri, aerei o marittimi. CM-002 aumenta la qualita' della detection e della confidenza, mentre CM-005 diventa prioritaria se la campagna cognitiva cresce oltre la telemetria tecnica.</w:t>
      </w:r>
    </w:p>
    <w:p>
      <w:pPr>
        <w:spacing w:before="320" w:after="120"/>
      </w:pPr>
      <w:r>
        <w:rPr>
          <w:rFonts w:ascii="Calibri" w:hAnsi="Calibri"/>
          <w:b/>
          <w:i w:val="0"/>
          <w:color w:val="2E74B5"/>
          <w:sz w:val="32"/>
        </w:rPr>
        <w:t>Fonti e assunzioni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42028"/>
          <w:sz w:val="22"/>
        </w:rPr>
        <w:t>CVSS: FIRST, Common Vulnerability Scoring System v3.1 Specification Document, consultato per struttura Base/Temporal/Environmental, metrica 0-10 e logica Exploitability/Impact.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42028"/>
          <w:sz w:val="22"/>
        </w:rPr>
        <w:t>ATHENA: knowledge base locale costruita per sperimentazione difensiva MDO; i punteggi sono normalizzati e devono essere validati da esperti di dominio prima dell'uso operativo reale.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636A"/>
        <w:sz w:val="18"/>
      </w:rPr>
      <w:t>Defensive experimentation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A636A"/>
        <w:sz w:val="18"/>
      </w:rPr>
      <w:t>ATHENA Framework - GNSS vehicle scenario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