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60"/>
      </w:pPr>
    </w:p>
    <w:p>
      <w:pPr>
        <w:jc w:val="center"/>
      </w:pPr>
      <w:r>
        <w:rPr>
          <w:rFonts w:ascii="Aptos" w:hAnsi="Aptos"/>
          <w:b/>
          <w:color w:val="24577A"/>
          <w:sz w:val="18"/>
        </w:rPr>
        <w:t>MARITIME CYBER AWARENESS · SISTEMA LOCALE</w:t>
      </w:r>
    </w:p>
    <w:p>
      <w:pPr>
        <w:pStyle w:val="Title"/>
        <w:jc w:val="center"/>
        <w:pBdr>
          <w:top w:val="nil"/>
          <w:left w:val="nil"/>
          <w:bottom w:val="nil"/>
          <w:right w:val="nil"/>
          <w:between w:val="nil"/>
          <w:bar w:val="nil"/>
        </w:pBdr>
      </w:pPr>
      <w:r>
        <w:t>NAVIS Cyber Readiness</w:t>
      </w:r>
    </w:p>
    <w:p>
      <w:pPr>
        <w:spacing w:after="480"/>
        <w:jc w:val="center"/>
      </w:pPr>
      <w:r>
        <w:rPr>
          <w:rFonts w:ascii="Aptos Display" w:hAnsi="Aptos Display"/>
          <w:color w:val="37414B"/>
          <w:sz w:val="34"/>
        </w:rPr>
        <w:t>Report dettagliato degli scenari formativi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11"/>
        <w:gridCol w:w="5011"/>
      </w:tblGrid>
      <w:tr>
        <w:tc>
          <w:tcPr>
            <w:tcW w:type="dxa" w:w="2880"/>
            <w:shd w:fill="EAF1F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b/>
                <w:color w:val="24577A"/>
                <w:sz w:val="16"/>
              </w:rPr>
              <w:t>VERSIONE</w:t>
            </w:r>
          </w:p>
        </w:tc>
        <w:tc>
          <w:tcPr>
            <w:tcW w:type="dxa" w:w="604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880"/>
            <w:shd w:fill="EAF1F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b/>
                <w:color w:val="24577A"/>
                <w:sz w:val="16"/>
              </w:rPr>
              <w:t>DATA</w:t>
            </w:r>
          </w:p>
        </w:tc>
        <w:tc>
          <w:tcPr>
            <w:tcW w:type="dxa" w:w="604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9"/>
              </w:rPr>
              <w:t>13 settembre 2026</w:t>
            </w:r>
          </w:p>
        </w:tc>
      </w:tr>
      <w:tr>
        <w:tc>
          <w:tcPr>
            <w:tcW w:type="dxa" w:w="2880"/>
            <w:shd w:fill="EAF1F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b/>
                <w:color w:val="24577A"/>
                <w:sz w:val="16"/>
              </w:rPr>
              <w:t>CLASSIFICAZIONE DEL DOCUMENTO</w:t>
            </w:r>
          </w:p>
        </w:tc>
        <w:tc>
          <w:tcPr>
            <w:tcW w:type="dxa" w:w="604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9"/>
              </w:rPr>
              <w:t>materiale didattico dimostrativo</w:t>
            </w:r>
          </w:p>
        </w:tc>
      </w:tr>
      <w:tr>
        <w:tc>
          <w:tcPr>
            <w:tcW w:type="dxa" w:w="2880"/>
            <w:shd w:fill="EAF1F6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b/>
                <w:color w:val="24577A"/>
                <w:sz w:val="16"/>
              </w:rPr>
              <w:t>AMBITO</w:t>
            </w:r>
          </w:p>
        </w:tc>
        <w:tc>
          <w:tcPr>
            <w:tcW w:type="dxa" w:w="6048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19"/>
              </w:rPr>
              <w:t>sensibilizzazione e addestramento difensivo in un contesto marittimo militare simulato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6324F"/>
          <w:left w:val="single" w:sz="4" w:space="0" w:color="16324F"/>
          <w:bottom w:val="single" w:sz="4" w:space="0" w:color="16324F"/>
          <w:right w:val="single" w:sz="4" w:space="0" w:color="16324F"/>
          <w:insideH w:val="single" w:sz="4" w:space="0" w:color="16324F"/>
          <w:insideV w:val="single" w:sz="4" w:space="0" w:color="16324F"/>
        </w:tblBorders>
      </w:tblPr>
      <w:tblGrid>
        <w:gridCol w:w="10022"/>
      </w:tblGrid>
      <w:tr>
        <w:tc>
          <w:tcPr>
            <w:tcW w:type="dxa" w:w="10022"/>
            <w:shd w:fill="16324F"/>
            <w:tcMar>
              <w:top w:w="150" w:type="dxa"/>
              <w:start w:w="175" w:type="dxa"/>
              <w:bottom w:w="150" w:type="dxa"/>
              <w:end w:w="175" w:type="dxa"/>
            </w:tcMar>
          </w:tcPr>
          <w:p>
            <w:pPr>
              <w:jc w:val="left"/>
            </w:pPr>
            <w:r>
              <w:rPr>
                <w:color w:val="FFFFFF"/>
                <w:sz w:val="18"/>
              </w:rPr>
              <w:t>Questo documento descrive scenari interamente simulati. Nomi, indirizzi, domini, numeri, reparti e situazioni sono fittizi o neutralizzati. Il report non sostituisce ordini, procedure operative, direttive di sicurezza o disposizioni dell'organizzazione di appartenenza.</w:t>
            </w:r>
          </w:p>
        </w:tc>
      </w:tr>
    </w:tbl>
    <w:p>
      <w:r>
        <w:br w:type="page"/>
      </w:r>
    </w:p>
    <w:p>
      <w:pPr>
        <w:pStyle w:val="Heading1"/>
        <w:keepNext/>
        <w:keepLines/>
      </w:pPr>
      <w:r>
        <w:rPr>
          <w:color w:val="000000"/>
        </w:rPr>
        <w:t>1. Scopo e destinatari</w:t>
      </w:r>
    </w:p>
    <w:p>
      <w:pPr>
        <w:widowControl/>
      </w:pPr>
      <w:r>
        <w:rPr>
          <w:color w:val="000000"/>
        </w:rPr>
        <w:t>NAVIS Cyber Readiness è un sistema locale di formazione sulla componente umana della sicurezza informatica. Gli scenari traducono i principali vettori di social engineering in situazioni plausibili per personale impiegato in servizi di guardia, supporto tecnico, logistica, controllo accessi e attività amministrative.</w:t>
      </w:r>
    </w:p>
    <w:p>
      <w:pPr>
        <w:widowControl/>
      </w:pPr>
      <w:r>
        <w:rPr>
          <w:color w:val="000000"/>
        </w:rPr>
        <w:t>Il report ha quattro obiettivi:</w:t>
      </w:r>
    </w:p>
    <w:p>
      <w:pPr>
        <w:spacing w:after="50"/>
        <w:ind w:left="389" w:hanging="389"/>
      </w:pPr>
      <w:r>
        <w:rPr>
          <w:rFonts w:ascii="Aptos" w:hAnsi="Aptos"/>
          <w:sz w:val="20"/>
        </w:rPr>
        <w:t>1.</w:t>
        <w:tab/>
      </w:r>
      <w:r>
        <w:rPr>
          <w:color w:val="000000"/>
        </w:rPr>
        <w:t>documentare in modo verificabile gli otto scenari implementati;</w:t>
      </w:r>
    </w:p>
    <w:p>
      <w:pPr>
        <w:spacing w:after="50"/>
        <w:ind w:left="389" w:hanging="389"/>
      </w:pPr>
      <w:r>
        <w:rPr>
          <w:rFonts w:ascii="Aptos" w:hAnsi="Aptos"/>
          <w:sz w:val="20"/>
        </w:rPr>
        <w:t>2.</w:t>
        <w:tab/>
      </w:r>
      <w:r>
        <w:rPr>
          <w:color w:val="000000"/>
        </w:rPr>
        <w:t>fornire al formatore obiettivi, segnali attesi e punti di debriefing;</w:t>
      </w:r>
    </w:p>
    <w:p>
      <w:pPr>
        <w:spacing w:after="50"/>
        <w:ind w:left="389" w:hanging="389"/>
      </w:pPr>
      <w:r>
        <w:rPr>
          <w:rFonts w:ascii="Aptos" w:hAnsi="Aptos"/>
          <w:sz w:val="20"/>
        </w:rPr>
        <w:t>3.</w:t>
        <w:tab/>
      </w:r>
      <w:r>
        <w:rPr>
          <w:color w:val="000000"/>
        </w:rPr>
        <w:t>descrivere criteri di valutazione e contromisure senza trasformare l'esercitazione in una guida offensiva;</w:t>
      </w:r>
    </w:p>
    <w:p>
      <w:pPr>
        <w:spacing w:after="50"/>
        <w:ind w:left="389" w:hanging="389"/>
      </w:pPr>
      <w:r>
        <w:rPr>
          <w:rFonts w:ascii="Aptos" w:hAnsi="Aptos"/>
          <w:sz w:val="20"/>
        </w:rPr>
        <w:t>4.</w:t>
        <w:tab/>
      </w:r>
      <w:r>
        <w:rPr>
          <w:color w:val="000000"/>
        </w:rPr>
        <w:t>mantenere la tracciabilità fra tesi, applicazione e risultati dell'addestramento.</w:t>
      </w:r>
    </w:p>
    <w:p>
      <w:pPr>
        <w:widowControl/>
      </w:pPr>
      <w:r>
        <w:rPr>
          <w:color w:val="000000"/>
        </w:rPr>
        <w:t>I destinatari sono formatori, responsabili della sicurezza, referenti cyber, responsabili di reparto e personale autorizzato a partecipare ad attività di awareness.</w:t>
      </w:r>
    </w:p>
    <w:p>
      <w:pPr>
        <w:pStyle w:val="Heading1"/>
        <w:keepNext/>
        <w:keepLines/>
      </w:pPr>
      <w:r>
        <w:rPr>
          <w:color w:val="000000"/>
        </w:rPr>
        <w:t>2. Principi di impiego responsabile</w:t>
      </w:r>
    </w:p>
    <w:p>
      <w:pPr>
        <w:pStyle w:val="ListBullet"/>
      </w:pPr>
      <w:r>
        <w:rPr>
          <w:color w:val="000000"/>
        </w:rPr>
        <w:t>Eseguire gli scenari in un ambiente autorizzato, con finalità formative e senza inviare messaggi o file a soggetti reali.</w:t>
      </w:r>
    </w:p>
    <w:p>
      <w:pPr>
        <w:pStyle w:val="ListBullet"/>
      </w:pPr>
      <w:r>
        <w:rPr>
          <w:color w:val="000000"/>
        </w:rPr>
        <w:t xml:space="preserve">Usare esclusivamente dati fittizi o neutralizzati. Nell'applicazione i domini sono resi non navigabili mediante la forma </w:t>
      </w:r>
      <w:r>
        <w:rPr>
          <w:rFonts w:ascii="Aptos Mono" w:hAnsi="Aptos Mono"/>
          <w:color w:val="1E4E63"/>
          <w:sz w:val="19"/>
        </w:rPr>
        <w:t>[.]</w:t>
      </w:r>
      <w:r>
        <w:rPr>
          <w:color w:val="000000"/>
        </w:rPr>
        <w:t xml:space="preserve"> oppure </w:t>
      </w:r>
      <w:r>
        <w:rPr>
          <w:rFonts w:ascii="Aptos Mono" w:hAnsi="Aptos Mono"/>
          <w:color w:val="1E4E63"/>
          <w:sz w:val="19"/>
        </w:rPr>
        <w:t>hxxps</w:t>
      </w:r>
      <w:r>
        <w:rPr>
          <w:color w:val="000000"/>
        </w:rPr>
        <w:t>.</w:t>
      </w:r>
    </w:p>
    <w:p>
      <w:pPr>
        <w:pStyle w:val="ListBullet"/>
      </w:pPr>
      <w:r>
        <w:rPr>
          <w:color w:val="000000"/>
        </w:rPr>
        <w:t>Non simulare campagne reali, non raccogliere credenziali e non registrare informazioni operative classificate.</w:t>
      </w:r>
    </w:p>
    <w:p>
      <w:pPr>
        <w:pStyle w:val="ListBullet"/>
      </w:pPr>
      <w:r>
        <w:rPr>
          <w:color w:val="000000"/>
        </w:rPr>
        <w:t>Adeguare la risposta attesa alle procedure ufficiali dell'ente. Le formule “verifica fuori banda”, “interrompi” e “segnala” sono principi generali, non recapiti o ordini operativi.</w:t>
      </w:r>
    </w:p>
    <w:p>
      <w:pPr>
        <w:pStyle w:val="ListBullet"/>
      </w:pPr>
      <w:r>
        <w:rPr>
          <w:color w:val="000000"/>
        </w:rPr>
        <w:t>Conservare i risultati solo per il tempo necessario alla formazione e applicare criteri di minimizzazione dei dati.</w:t>
      </w:r>
    </w:p>
    <w:p>
      <w:pPr>
        <w:pStyle w:val="Heading1"/>
        <w:keepNext/>
        <w:keepLines/>
      </w:pPr>
      <w:r>
        <w:rPr>
          <w:color w:val="000000"/>
        </w:rPr>
        <w:t>3. Modello didattico</w:t>
      </w:r>
    </w:p>
    <w:p>
      <w:pPr>
        <w:widowControl/>
      </w:pPr>
      <w:r>
        <w:rPr>
          <w:color w:val="000000"/>
        </w:rPr>
        <w:t>Ogni esercitazione segue lo stesso ciclo:</w:t>
      </w:r>
    </w:p>
    <w:p>
      <w:pPr>
        <w:spacing w:after="50"/>
        <w:ind w:left="389" w:hanging="389"/>
      </w:pPr>
      <w:r>
        <w:rPr>
          <w:rFonts w:ascii="Aptos" w:hAnsi="Aptos"/>
          <w:sz w:val="20"/>
        </w:rPr>
        <w:t>1.</w:t>
        <w:tab/>
      </w:r>
      <w:r>
        <w:rPr>
          <w:b/>
          <w:color w:val="000000"/>
        </w:rPr>
        <w:t>Esposizione controllata:</w:t>
      </w:r>
      <w:r>
        <w:rPr>
          <w:color w:val="000000"/>
        </w:rPr>
        <w:t xml:space="preserve"> l'utente osserva un artefatto simulato, per esempio un'e-mail, un SMS, una telefonata o una situazione al varco.</w:t>
      </w:r>
    </w:p>
    <w:p>
      <w:pPr>
        <w:spacing w:after="50"/>
        <w:ind w:left="389" w:hanging="389"/>
      </w:pPr>
      <w:r>
        <w:rPr>
          <w:rFonts w:ascii="Aptos" w:hAnsi="Aptos"/>
          <w:sz w:val="20"/>
        </w:rPr>
        <w:t>2.</w:t>
        <w:tab/>
      </w:r>
      <w:r>
        <w:rPr>
          <w:b/>
          <w:color w:val="000000"/>
        </w:rPr>
        <w:t>Analisi:</w:t>
      </w:r>
      <w:r>
        <w:rPr>
          <w:color w:val="000000"/>
        </w:rPr>
        <w:t xml:space="preserve"> seleziona gli elementi che considera sospetti, distinguendoli dai dettagli semplicemente plausibili.</w:t>
      </w:r>
    </w:p>
    <w:p>
      <w:pPr>
        <w:spacing w:after="50"/>
        <w:ind w:left="389" w:hanging="389"/>
      </w:pPr>
      <w:r>
        <w:rPr>
          <w:rFonts w:ascii="Aptos" w:hAnsi="Aptos"/>
          <w:sz w:val="20"/>
        </w:rPr>
        <w:t>3.</w:t>
        <w:tab/>
      </w:r>
      <w:r>
        <w:rPr>
          <w:b/>
          <w:color w:val="000000"/>
        </w:rPr>
        <w:t>Decisione:</w:t>
      </w:r>
      <w:r>
        <w:rPr>
          <w:color w:val="000000"/>
        </w:rPr>
        <w:t xml:space="preserve"> sceglie una delle quattro azioni disponibili: sospendere e verificare; interrompere; isolare e segnalare; procedere.</w:t>
      </w:r>
    </w:p>
    <w:p>
      <w:pPr>
        <w:spacing w:after="50"/>
        <w:ind w:left="389" w:hanging="389"/>
      </w:pPr>
      <w:r>
        <w:rPr>
          <w:rFonts w:ascii="Aptos" w:hAnsi="Aptos"/>
          <w:sz w:val="20"/>
        </w:rPr>
        <w:t>4.</w:t>
        <w:tab/>
      </w:r>
      <w:r>
        <w:rPr>
          <w:b/>
          <w:color w:val="000000"/>
        </w:rPr>
        <w:t>Valutazione:</w:t>
      </w:r>
      <w:r>
        <w:rPr>
          <w:color w:val="000000"/>
        </w:rPr>
        <w:t xml:space="preserve"> il sistema calcola il punteggio sugli indicatori riconosciuti e sulla decisione finale.</w:t>
      </w:r>
    </w:p>
    <w:p>
      <w:pPr>
        <w:spacing w:after="50"/>
        <w:ind w:left="389" w:hanging="389"/>
      </w:pPr>
      <w:r>
        <w:rPr>
          <w:rFonts w:ascii="Aptos" w:hAnsi="Aptos"/>
          <w:sz w:val="20"/>
        </w:rPr>
        <w:t>5.</w:t>
        <w:tab/>
      </w:r>
      <w:r>
        <w:rPr>
          <w:b/>
          <w:color w:val="000000"/>
        </w:rPr>
        <w:t>Debriefing:</w:t>
      </w:r>
      <w:r>
        <w:rPr>
          <w:color w:val="000000"/>
        </w:rPr>
        <w:t xml:space="preserve"> vengono presentati tecnica, leve psicologiche, risposta attesa e difese organizzative o tecniche.</w:t>
      </w:r>
    </w:p>
    <w:p>
      <w:pPr>
        <w:spacing w:after="50"/>
        <w:ind w:left="389" w:hanging="389"/>
      </w:pPr>
      <w:r>
        <w:rPr>
          <w:rFonts w:ascii="Aptos" w:hAnsi="Aptos"/>
          <w:sz w:val="20"/>
        </w:rPr>
        <w:t>6.</w:t>
        <w:tab/>
      </w:r>
      <w:r>
        <w:rPr>
          <w:b/>
          <w:color w:val="000000"/>
        </w:rPr>
        <w:t>Tracciamento locale:</w:t>
      </w:r>
      <w:r>
        <w:rPr>
          <w:color w:val="000000"/>
        </w:rPr>
        <w:t xml:space="preserve"> l'ultimo tentativo di ciascuno scenario contribuisce all'indice di preparazione.</w:t>
      </w:r>
    </w:p>
    <w:p>
      <w:pPr>
        <w:widowControl/>
      </w:pPr>
      <w:r>
        <w:rPr>
          <w:color w:val="000000"/>
        </w:rPr>
        <w:t>Le competenze osservate sono: riconoscimento delle leve di persuasione, controllo di identità e canale, capacità di interrompere una sequenza rischiosa, uso della verifica fuori banda, segnalazione tempestiva e comprensione delle difese a strati.</w:t>
      </w:r>
    </w:p>
    <w:p>
      <w:r>
        <w:br w:type="page"/>
      </w:r>
    </w:p>
    <w:p>
      <w:pPr>
        <w:pStyle w:val="Heading1"/>
        <w:keepNext/>
        <w:keepLines/>
      </w:pPr>
      <w:r>
        <w:rPr>
          <w:color w:val="000000"/>
        </w:rPr>
        <w:t>4. Quadro riepilogativo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70"/>
        <w:gridCol w:w="1670"/>
        <w:gridCol w:w="1670"/>
        <w:gridCol w:w="1670"/>
        <w:gridCol w:w="1670"/>
        <w:gridCol w:w="1670"/>
      </w:tblGrid>
      <w:tr>
        <w:trPr>
          <w:tblHeader w:val="true"/>
        </w:trPr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6324F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N.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6324F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6324F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Vettore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6324F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Tecnica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6324F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Rischio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6324F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Risposta attesa</w:t>
            </w:r>
          </w:p>
        </w:tc>
      </w:tr>
      <w:tr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4"/>
              </w:rPr>
              <w:t>1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4"/>
              </w:rPr>
              <w:t>Variazione urgente del piano di ormeggio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4"/>
              </w:rPr>
              <w:t>E-mail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4"/>
              </w:rPr>
              <w:t>Spear phishing e pretexting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4"/>
              </w:rPr>
              <w:t>Alto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4"/>
              </w:rPr>
              <w:t>Sospendi e verifica su un canale noto</w:t>
            </w:r>
          </w:p>
        </w:tc>
      </w:tr>
      <w:tr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4"/>
              </w:rPr>
              <w:t>2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4"/>
              </w:rPr>
              <w:t>Blocco temporaneo del pass per l'arsenale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4"/>
              </w:rPr>
              <w:t>SMS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4"/>
              </w:rPr>
              <w:t>Smishing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4"/>
              </w:rPr>
              <w:t>Medio-alto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4"/>
              </w:rPr>
              <w:t>Sospendi e verifica su un canale noto</w:t>
            </w:r>
          </w:p>
        </w:tc>
      </w:tr>
      <w:tr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4"/>
              </w:rPr>
              <w:t>3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4"/>
              </w:rPr>
              <w:t>Supporto SATCOM durante una finestra critica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4"/>
              </w:rPr>
              <w:t>Voce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4"/>
              </w:rPr>
              <w:t>Vishing e spoofing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4"/>
              </w:rPr>
              <w:t>Alto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4"/>
              </w:rPr>
              <w:t>Interrompi subito l'interazione</w:t>
            </w:r>
          </w:p>
        </w:tc>
      </w:tr>
      <w:tr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4"/>
              </w:rPr>
              <w:t>4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4"/>
              </w:rPr>
              <w:t>Contatto di un collega in missione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4"/>
              </w:rPr>
              <w:t>Social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4"/>
              </w:rPr>
              <w:t>Profilo falso e OSINT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4"/>
              </w:rPr>
              <w:t>Medio-alto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4"/>
              </w:rPr>
              <w:t>Isola l'elemento e segnala</w:t>
            </w:r>
          </w:p>
        </w:tc>
      </w:tr>
      <w:tr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4"/>
              </w:rPr>
              <w:t>5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4"/>
              </w:rPr>
              <w:t>Portale logistico quasi identico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4"/>
              </w:rPr>
              <w:t>Web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4"/>
              </w:rPr>
              <w:t>Clonazione e typosquatting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4"/>
              </w:rPr>
              <w:t>Alto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4"/>
              </w:rPr>
              <w:t>Interrompi subito l'interazione</w:t>
            </w:r>
          </w:p>
        </w:tc>
      </w:tr>
      <w:tr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4"/>
              </w:rPr>
              <w:t>6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4"/>
              </w:rPr>
              <w:t>Tecnico al varco della banchina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4"/>
              </w:rPr>
              <w:t>Fisico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4"/>
              </w:rPr>
              <w:t>Tailgating e pretexting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4"/>
              </w:rPr>
              <w:t>Alto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4"/>
              </w:rPr>
              <w:t>Sospendi e verifica su un canale noto</w:t>
            </w:r>
          </w:p>
        </w:tc>
      </w:tr>
      <w:tr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4"/>
              </w:rPr>
              <w:t>7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4"/>
              </w:rPr>
              <w:t>Supporto USB con etichetta operativa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4"/>
              </w:rPr>
              <w:t>Supporto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4"/>
              </w:rPr>
              <w:t>Baiting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4"/>
              </w:rPr>
              <w:t>Medio-alto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4"/>
              </w:rPr>
              <w:t>Isola l'elemento e segnala</w:t>
            </w:r>
          </w:p>
        </w:tc>
      </w:tr>
      <w:tr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4"/>
              </w:rPr>
              <w:t>8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4"/>
              </w:rPr>
              <w:t>Assistenza gratuita al dispositivo crittografico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4"/>
              </w:rPr>
              <w:t>Assistenza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4"/>
              </w:rPr>
              <w:t>Quid pro quo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4"/>
              </w:rPr>
              <w:t>Alto</w:t>
            </w:r>
          </w:p>
        </w:tc>
        <w:tc>
          <w:tcPr>
            <w:tcW w:type="dxa" w:w="1670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4"/>
              </w:rPr>
              <w:t>Interrompi subito l'interazione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</w:pPr>
      <w:r>
        <w:rPr>
          <w:color w:val="000000"/>
        </w:rPr>
        <w:t>5. Schede degli scenari</w:t>
      </w:r>
    </w:p>
    <w:p>
      <w:pPr>
        <w:pStyle w:val="Heading2"/>
        <w:keepNext/>
        <w:keepLines/>
      </w:pPr>
      <w:r>
        <w:rPr>
          <w:color w:val="000000"/>
        </w:rPr>
        <w:t>Scenario 1 — Variazione urgente del piano di ormeggio</w:t>
      </w:r>
    </w:p>
    <w:p>
      <w:pPr>
        <w:widowControl/>
      </w:pPr>
      <w:r>
        <w:rPr>
          <w:b/>
          <w:color w:val="000000"/>
        </w:rPr>
        <w:t>Identificativo:</w:t>
      </w:r>
      <w:r>
        <w:rPr>
          <w:color w:val="000000"/>
        </w:rPr>
        <w:t xml:space="preserve"> </w:t>
      </w:r>
      <w:r>
        <w:rPr>
          <w:rFonts w:ascii="Aptos Mono" w:hAnsi="Aptos Mono"/>
          <w:color w:val="1E4E63"/>
          <w:sz w:val="19"/>
        </w:rPr>
        <w:t>email-ordine-operativo</w:t>
      </w:r>
      <w:r>
        <w:br/>
      </w:r>
      <w:r>
        <w:rPr>
          <w:b/>
          <w:color w:val="000000"/>
        </w:rPr>
        <w:t>Canale e tecnica:</w:t>
      </w:r>
      <w:r>
        <w:rPr>
          <w:color w:val="000000"/>
        </w:rPr>
        <w:t xml:space="preserve"> e-mail; spear phishing e pretexting</w:t>
      </w:r>
      <w:r>
        <w:br/>
      </w:r>
      <w:r>
        <w:rPr>
          <w:b/>
          <w:color w:val="000000"/>
        </w:rPr>
        <w:t>Livello di rischio simulato:</w:t>
      </w:r>
      <w:r>
        <w:rPr>
          <w:color w:val="000000"/>
        </w:rPr>
        <w:t xml:space="preserve"> alto</w:t>
      </w:r>
      <w:r>
        <w:br/>
      </w:r>
      <w:r>
        <w:rPr>
          <w:b/>
          <w:color w:val="000000"/>
        </w:rPr>
        <w:t>Principi di persuasione:</w:t>
      </w:r>
      <w:r>
        <w:rPr>
          <w:color w:val="000000"/>
        </w:rPr>
        <w:t xml:space="preserve"> autorità, urgenza, coerenza del contesto</w:t>
      </w:r>
    </w:p>
    <w:p>
      <w:pPr>
        <w:pStyle w:val="Heading3"/>
        <w:keepNext/>
        <w:keepLines/>
      </w:pPr>
      <w:r>
        <w:rPr>
          <w:color w:val="000000"/>
        </w:rPr>
        <w:t>Contesto e obiettivo formativo</w:t>
      </w:r>
    </w:p>
    <w:p>
      <w:pPr>
        <w:widowControl/>
      </w:pPr>
      <w:r>
        <w:rPr>
          <w:color w:val="000000"/>
        </w:rPr>
        <w:t>Durante un servizio di guardia arriva una comunicazione attribuita alla Sala Operativa. Il messaggio annuncia una variazione del piano di ormeggio, impone una conferma entro dieci minuti e invita ad aprire un archivio compresso e autenticarsi da un collegamento ricevuto. Lo scenario verifica se l'utente sa resistere alla pressione temporale e validare un ordine operativo usando un canale già noto.</w:t>
      </w:r>
    </w:p>
    <w:p>
      <w:pPr>
        <w:pStyle w:val="Heading3"/>
        <w:keepNext/>
        <w:keepLines/>
      </w:pPr>
      <w:r>
        <w:rPr>
          <w:color w:val="000000"/>
        </w:rPr>
        <w:t>Artefatto simulato</w:t>
      </w:r>
    </w:p>
    <w:p>
      <w:pPr>
        <w:pStyle w:val="ListBullet"/>
      </w:pPr>
      <w:r>
        <w:rPr>
          <w:color w:val="000000"/>
        </w:rPr>
        <w:t xml:space="preserve">Mittente visualizzato: </w:t>
      </w:r>
      <w:r>
        <w:rPr>
          <w:rFonts w:ascii="Aptos Mono" w:hAnsi="Aptos Mono"/>
          <w:color w:val="1E4E63"/>
          <w:sz w:val="19"/>
        </w:rPr>
        <w:t>Sala Operativa &lt;pianificazione@marina-operativa[.]org&gt;</w:t>
      </w:r>
      <w:r>
        <w:rPr>
          <w:color w:val="000000"/>
        </w:rPr>
        <w:t>.</w:t>
      </w:r>
    </w:p>
    <w:p>
      <w:pPr>
        <w:pStyle w:val="ListBullet"/>
      </w:pPr>
      <w:r>
        <w:rPr>
          <w:color w:val="000000"/>
        </w:rPr>
        <w:t>Oggetto: “IMMEDIATO — variazione piano ormeggio 18:40”.</w:t>
      </w:r>
    </w:p>
    <w:p>
      <w:pPr>
        <w:pStyle w:val="ListBullet"/>
      </w:pPr>
      <w:r>
        <w:rPr>
          <w:color w:val="000000"/>
        </w:rPr>
        <w:t xml:space="preserve">Allegato indicato: </w:t>
      </w:r>
      <w:r>
        <w:rPr>
          <w:rFonts w:ascii="Aptos Mono" w:hAnsi="Aptos Mono"/>
          <w:color w:val="1E4E63"/>
          <w:sz w:val="19"/>
        </w:rPr>
        <w:t>Piano_Ormeggio_R7.zip</w:t>
      </w:r>
      <w:r>
        <w:rPr>
          <w:color w:val="000000"/>
        </w:rPr>
        <w:t>.</w:t>
      </w:r>
    </w:p>
    <w:p>
      <w:pPr>
        <w:pStyle w:val="ListBullet"/>
      </w:pPr>
      <w:r>
        <w:rPr>
          <w:color w:val="000000"/>
        </w:rPr>
        <w:t xml:space="preserve">Collegamento neutralizzato: </w:t>
      </w:r>
      <w:r>
        <w:rPr>
          <w:rFonts w:ascii="Aptos Mono" w:hAnsi="Aptos Mono"/>
          <w:color w:val="1E4E63"/>
          <w:sz w:val="19"/>
        </w:rPr>
        <w:t>https://sso.marina-operativa[.]org/conferma</w:t>
      </w:r>
      <w:r>
        <w:rPr>
          <w:color w:val="000000"/>
        </w:rPr>
        <w:t>.</w:t>
      </w:r>
    </w:p>
    <w:p>
      <w:pPr>
        <w:pStyle w:val="ListBullet"/>
      </w:pPr>
      <w:r>
        <w:rPr>
          <w:color w:val="000000"/>
        </w:rPr>
        <w:t>Leva principale: la mancata conferma sarebbe registrata come indisponibilità del reparto.</w:t>
      </w:r>
    </w:p>
    <w:p>
      <w:pPr>
        <w:pStyle w:val="Heading3"/>
        <w:keepNext/>
        <w:keepLines/>
      </w:pPr>
      <w:r>
        <w:rPr>
          <w:color w:val="000000"/>
        </w:rPr>
        <w:t>Indicatori da riconoscere</w:t>
      </w:r>
    </w:p>
    <w:p>
      <w:pPr>
        <w:pStyle w:val="ListBullet"/>
      </w:pPr>
      <w:r>
        <w:rPr>
          <w:color w:val="000000"/>
        </w:rPr>
        <w:t>Il dominio imita un indirizzo istituzionale ma non coincide con quello ufficiale.</w:t>
      </w:r>
    </w:p>
    <w:p>
      <w:pPr>
        <w:pStyle w:val="ListBullet"/>
      </w:pPr>
      <w:r>
        <w:rPr>
          <w:color w:val="000000"/>
        </w:rPr>
        <w:t>La scadenza di dieci minuti limita deliberatamente il tempo di verifica.</w:t>
      </w:r>
    </w:p>
    <w:p>
      <w:pPr>
        <w:pStyle w:val="ListBullet"/>
      </w:pPr>
      <w:r>
        <w:rPr>
          <w:color w:val="000000"/>
        </w:rPr>
        <w:t>L'allegato compresso è inatteso.</w:t>
      </w:r>
    </w:p>
    <w:p>
      <w:pPr>
        <w:pStyle w:val="ListBullet"/>
      </w:pPr>
      <w:r>
        <w:rPr>
          <w:color w:val="000000"/>
        </w:rPr>
        <w:t>È richiesta una nuova autenticazione da un link contenuto nel messaggio.</w:t>
      </w:r>
    </w:p>
    <w:p>
      <w:pPr>
        <w:widowControl/>
      </w:pPr>
      <w:r>
        <w:rPr>
          <w:color w:val="000000"/>
        </w:rPr>
        <w:t>La firma con grado e cognome e la pertinenza dell'argomento rendono il messaggio più credibile, ma non provano autenticità.</w:t>
      </w:r>
    </w:p>
    <w:p>
      <w:pPr>
        <w:pStyle w:val="Heading3"/>
        <w:keepNext/>
        <w:keepLines/>
      </w:pPr>
      <w:r>
        <w:rPr>
          <w:color w:val="000000"/>
        </w:rPr>
        <w:t>Risposta attesa</w:t>
      </w:r>
    </w:p>
    <w:p>
      <w:pPr>
        <w:widowControl/>
      </w:pPr>
      <w:r>
        <w:rPr>
          <w:color w:val="000000"/>
        </w:rPr>
        <w:t>Non aprire l'allegato e non usare il collegamento. Sospendere l'azione, preservare il messaggio e verificare l'ordine tramite un recapito o un sistema operativo già conosciuto. In caso di anomalia, applicare la procedura di segnalazione prevista.</w:t>
      </w:r>
    </w:p>
    <w:p>
      <w:pPr>
        <w:pStyle w:val="Heading3"/>
        <w:keepNext/>
        <w:keepLines/>
      </w:pPr>
      <w:r>
        <w:rPr>
          <w:color w:val="000000"/>
        </w:rPr>
        <w:t>Debriefing e difese</w:t>
      </w:r>
    </w:p>
    <w:p>
      <w:pPr>
        <w:widowControl/>
      </w:pPr>
      <w:r>
        <w:rPr>
          <w:color w:val="000000"/>
        </w:rPr>
        <w:t>Il formatore evidenzia che un attacco mirato usa dettagli plausibili proprio per abbassare la soglia di attenzione. Le difese correlate sono autenticazione e filtraggio e-mail, analisi degli allegati, verifica fuori banda, segnalazione al referente cyber e MFA resistente al phishing.</w:t>
      </w:r>
    </w:p>
    <w:p>
      <w:pPr>
        <w:widowControl/>
      </w:pPr>
      <w:r>
        <w:rPr>
          <w:b/>
          <w:color w:val="000000"/>
        </w:rPr>
        <w:t>Evidenza attesa nell'app:</w:t>
      </w:r>
      <w:r>
        <w:rPr>
          <w:color w:val="000000"/>
        </w:rPr>
        <w:t xml:space="preserve"> selezione dei quattro indicatori sospetti, decisione “Sospendi e verifica su un canale noto”, lettura del debriefing.</w:t>
      </w:r>
    </w:p>
    <w:p>
      <w:r>
        <w:br w:type="page"/>
      </w:r>
    </w:p>
    <w:p>
      <w:pPr>
        <w:pStyle w:val="Heading2"/>
        <w:keepNext/>
        <w:keepLines/>
      </w:pPr>
      <w:r>
        <w:rPr>
          <w:color w:val="000000"/>
        </w:rPr>
        <w:t>Scenario 2 — Blocco temporaneo del pass per l'arsenale</w:t>
      </w:r>
    </w:p>
    <w:p>
      <w:pPr>
        <w:widowControl/>
      </w:pPr>
      <w:r>
        <w:rPr>
          <w:b/>
          <w:color w:val="000000"/>
        </w:rPr>
        <w:t>Identificativo:</w:t>
      </w:r>
      <w:r>
        <w:rPr>
          <w:color w:val="000000"/>
        </w:rPr>
        <w:t xml:space="preserve"> </w:t>
      </w:r>
      <w:r>
        <w:rPr>
          <w:rFonts w:ascii="Aptos Mono" w:hAnsi="Aptos Mono"/>
          <w:color w:val="1E4E63"/>
          <w:sz w:val="19"/>
        </w:rPr>
        <w:t>sms-varco-arsenale</w:t>
      </w:r>
      <w:r>
        <w:br/>
      </w:r>
      <w:r>
        <w:rPr>
          <w:b/>
          <w:color w:val="000000"/>
        </w:rPr>
        <w:t>Canale e tecnica:</w:t>
      </w:r>
      <w:r>
        <w:rPr>
          <w:color w:val="000000"/>
        </w:rPr>
        <w:t xml:space="preserve"> SMS; smishing</w:t>
      </w:r>
      <w:r>
        <w:br/>
      </w:r>
      <w:r>
        <w:rPr>
          <w:b/>
          <w:color w:val="000000"/>
        </w:rPr>
        <w:t>Livello di rischio simulato:</w:t>
      </w:r>
      <w:r>
        <w:rPr>
          <w:color w:val="000000"/>
        </w:rPr>
        <w:t xml:space="preserve"> medio-alto</w:t>
      </w:r>
      <w:r>
        <w:br/>
      </w:r>
      <w:r>
        <w:rPr>
          <w:b/>
          <w:color w:val="000000"/>
        </w:rPr>
        <w:t>Principi di persuasione:</w:t>
      </w:r>
      <w:r>
        <w:rPr>
          <w:color w:val="000000"/>
        </w:rPr>
        <w:t xml:space="preserve"> urgenza, autorità, scarsità del tempo</w:t>
      </w:r>
    </w:p>
    <w:p>
      <w:pPr>
        <w:pStyle w:val="Heading3"/>
        <w:keepNext/>
        <w:keepLines/>
      </w:pPr>
      <w:r>
        <w:rPr>
          <w:color w:val="000000"/>
        </w:rPr>
        <w:t>Contesto e obiettivo formativo</w:t>
      </w:r>
    </w:p>
    <w:p>
      <w:pPr>
        <w:widowControl/>
      </w:pPr>
      <w:r>
        <w:rPr>
          <w:color w:val="000000"/>
        </w:rPr>
        <w:t>Poco prima dell'inizio del turno, un SMS apparentemente inviato dal servizio varchi segnala la sospensione del pass e propone un link per riattivarlo. Lo scenario misura la capacità di non confondere il nome visualizzato del mittente con una prova di autenticità e di scegliere una verifica alternativa.</w:t>
      </w:r>
    </w:p>
    <w:p>
      <w:pPr>
        <w:pStyle w:val="Heading3"/>
        <w:keepNext/>
        <w:keepLines/>
      </w:pPr>
      <w:r>
        <w:rPr>
          <w:color w:val="000000"/>
        </w:rPr>
        <w:t>Artefatto simulato</w:t>
      </w:r>
    </w:p>
    <w:p>
      <w:pPr>
        <w:pStyle w:val="ListBullet"/>
      </w:pPr>
      <w:r>
        <w:rPr>
          <w:color w:val="000000"/>
        </w:rPr>
        <w:t xml:space="preserve">Mittente visualizzato: </w:t>
      </w:r>
      <w:r>
        <w:rPr>
          <w:rFonts w:ascii="Aptos Mono" w:hAnsi="Aptos Mono"/>
          <w:color w:val="1E4E63"/>
          <w:sz w:val="19"/>
        </w:rPr>
        <w:t>SERVIZIO VARCHI</w:t>
      </w:r>
      <w:r>
        <w:rPr>
          <w:color w:val="000000"/>
        </w:rPr>
        <w:t>.</w:t>
      </w:r>
    </w:p>
    <w:p>
      <w:pPr>
        <w:pStyle w:val="ListBullet"/>
      </w:pPr>
      <w:r>
        <w:rPr>
          <w:color w:val="000000"/>
        </w:rPr>
        <w:t xml:space="preserve">Testo sintetico con pratica </w:t>
      </w:r>
      <w:r>
        <w:rPr>
          <w:rFonts w:ascii="Aptos Mono" w:hAnsi="Aptos Mono"/>
          <w:color w:val="1E4E63"/>
          <w:sz w:val="19"/>
        </w:rPr>
        <w:t>48A7</w:t>
      </w:r>
      <w:r>
        <w:rPr>
          <w:color w:val="000000"/>
        </w:rPr>
        <w:t>.</w:t>
      </w:r>
    </w:p>
    <w:p>
      <w:pPr>
        <w:pStyle w:val="ListBullet"/>
      </w:pPr>
      <w:r>
        <w:rPr>
          <w:color w:val="000000"/>
        </w:rPr>
        <w:t xml:space="preserve">Collegamento neutralizzato: </w:t>
      </w:r>
      <w:r>
        <w:rPr>
          <w:rFonts w:ascii="Aptos Mono" w:hAnsi="Aptos Mono"/>
          <w:color w:val="1E4E63"/>
          <w:sz w:val="19"/>
        </w:rPr>
        <w:t>hxxps://m-arsenale[.]support/accesso</w:t>
      </w:r>
      <w:r>
        <w:rPr>
          <w:color w:val="000000"/>
        </w:rPr>
        <w:t>.</w:t>
      </w:r>
    </w:p>
    <w:p>
      <w:pPr>
        <w:pStyle w:val="ListBullet"/>
      </w:pPr>
      <w:r>
        <w:rPr>
          <w:color w:val="000000"/>
        </w:rPr>
        <w:t>Leva principale: riattivare il pass prima del turno.</w:t>
      </w:r>
    </w:p>
    <w:p>
      <w:pPr>
        <w:pStyle w:val="Heading3"/>
        <w:keepNext/>
        <w:keepLines/>
      </w:pPr>
      <w:r>
        <w:rPr>
          <w:color w:val="000000"/>
        </w:rPr>
        <w:t>Indicatori da riconoscere</w:t>
      </w:r>
    </w:p>
    <w:p>
      <w:pPr>
        <w:pStyle w:val="ListBullet"/>
      </w:pPr>
      <w:r>
        <w:rPr>
          <w:color w:val="000000"/>
        </w:rPr>
        <w:t>Il dominio non appartiene ai servizi ufficiali.</w:t>
      </w:r>
    </w:p>
    <w:p>
      <w:pPr>
        <w:pStyle w:val="ListBullet"/>
      </w:pPr>
      <w:r>
        <w:rPr>
          <w:color w:val="000000"/>
        </w:rPr>
        <w:t>L'imminenza del turno crea pressione sulla decisione.</w:t>
      </w:r>
    </w:p>
    <w:p>
      <w:pPr>
        <w:pStyle w:val="ListBullet"/>
      </w:pPr>
      <w:r>
        <w:rPr>
          <w:color w:val="000000"/>
        </w:rPr>
        <w:t>Il messaggio non offre contatti o una procedura nota per verificare la richiesta.</w:t>
      </w:r>
    </w:p>
    <w:p>
      <w:pPr>
        <w:widowControl/>
      </w:pPr>
      <w:r>
        <w:rPr>
          <w:color w:val="000000"/>
        </w:rPr>
        <w:t>Il nome descrittivo del mittente e il codice pratica aumentano la plausibilità, ma possono essere replicati.</w:t>
      </w:r>
    </w:p>
    <w:p>
      <w:pPr>
        <w:pStyle w:val="Heading3"/>
        <w:keepNext/>
        <w:keepLines/>
      </w:pPr>
      <w:r>
        <w:rPr>
          <w:color w:val="000000"/>
        </w:rPr>
        <w:t>Risposta attesa</w:t>
      </w:r>
    </w:p>
    <w:p>
      <w:pPr>
        <w:widowControl/>
      </w:pPr>
      <w:r>
        <w:rPr>
          <w:color w:val="000000"/>
        </w:rPr>
        <w:t>Non aprire il collegamento. Verificare lo stato del pass contattando il presidio o usando il recapito già registrato, quindi inoltrare le evidenze secondo la procedura di reporting dell'ente.</w:t>
      </w:r>
    </w:p>
    <w:p>
      <w:pPr>
        <w:pStyle w:val="Heading3"/>
        <w:keepNext/>
        <w:keepLines/>
      </w:pPr>
      <w:r>
        <w:rPr>
          <w:color w:val="000000"/>
        </w:rPr>
        <w:t>Debriefing e difese</w:t>
      </w:r>
    </w:p>
    <w:p>
      <w:pPr>
        <w:widowControl/>
      </w:pPr>
      <w:r>
        <w:rPr>
          <w:color w:val="000000"/>
        </w:rPr>
        <w:t>Il punto centrale è la manipolabilità del sender ID e la minore leggibilità dei domini su dispositivi mobili. Le difese includono formazione mobile, un canale ufficiale per le comunicazioni sui varchi, filtraggio URL sui dispositivi gestiti e segnalazione rapida.</w:t>
      </w:r>
    </w:p>
    <w:p>
      <w:pPr>
        <w:widowControl/>
      </w:pPr>
      <w:r>
        <w:rPr>
          <w:b/>
          <w:color w:val="000000"/>
        </w:rPr>
        <w:t>Evidenza attesa nell'app:</w:t>
      </w:r>
      <w:r>
        <w:rPr>
          <w:color w:val="000000"/>
        </w:rPr>
        <w:t xml:space="preserve"> selezione dei tre indicatori sospetti e decisione “Sospendi e verifica su un canale noto”.</w:t>
      </w:r>
    </w:p>
    <w:p>
      <w:r>
        <w:br w:type="page"/>
      </w:r>
    </w:p>
    <w:p>
      <w:pPr>
        <w:pStyle w:val="Heading2"/>
        <w:keepNext/>
        <w:keepLines/>
      </w:pPr>
      <w:r>
        <w:rPr>
          <w:color w:val="000000"/>
        </w:rPr>
        <w:t>Scenario 3 — Supporto SATCOM durante una finestra critica</w:t>
      </w:r>
    </w:p>
    <w:p>
      <w:pPr>
        <w:widowControl/>
      </w:pPr>
      <w:r>
        <w:rPr>
          <w:b/>
          <w:color w:val="000000"/>
        </w:rPr>
        <w:t>Identificativo:</w:t>
      </w:r>
      <w:r>
        <w:rPr>
          <w:color w:val="000000"/>
        </w:rPr>
        <w:t xml:space="preserve"> </w:t>
      </w:r>
      <w:r>
        <w:rPr>
          <w:rFonts w:ascii="Aptos Mono" w:hAnsi="Aptos Mono"/>
          <w:color w:val="1E4E63"/>
          <w:sz w:val="19"/>
        </w:rPr>
        <w:t>voice-supporto-satcom</w:t>
      </w:r>
      <w:r>
        <w:br/>
      </w:r>
      <w:r>
        <w:rPr>
          <w:b/>
          <w:color w:val="000000"/>
        </w:rPr>
        <w:t>Canale e tecnica:</w:t>
      </w:r>
      <w:r>
        <w:rPr>
          <w:color w:val="000000"/>
        </w:rPr>
        <w:t xml:space="preserve"> voce; vishing e spoofing</w:t>
      </w:r>
      <w:r>
        <w:br/>
      </w:r>
      <w:r>
        <w:rPr>
          <w:b/>
          <w:color w:val="000000"/>
        </w:rPr>
        <w:t>Livello di rischio simulato:</w:t>
      </w:r>
      <w:r>
        <w:rPr>
          <w:color w:val="000000"/>
        </w:rPr>
        <w:t xml:space="preserve"> alto</w:t>
      </w:r>
      <w:r>
        <w:br/>
      </w:r>
      <w:r>
        <w:rPr>
          <w:b/>
          <w:color w:val="000000"/>
        </w:rPr>
        <w:t>Principi di persuasione:</w:t>
      </w:r>
      <w:r>
        <w:rPr>
          <w:color w:val="000000"/>
        </w:rPr>
        <w:t xml:space="preserve"> autorità tecnica, urgenza, quid pro quo</w:t>
      </w:r>
    </w:p>
    <w:p>
      <w:pPr>
        <w:pStyle w:val="Heading3"/>
        <w:keepNext/>
        <w:keepLines/>
      </w:pPr>
      <w:r>
        <w:rPr>
          <w:color w:val="000000"/>
        </w:rPr>
        <w:t>Contesto e obiettivo formativo</w:t>
      </w:r>
    </w:p>
    <w:p>
      <w:pPr>
        <w:widowControl/>
      </w:pPr>
      <w:r>
        <w:rPr>
          <w:color w:val="000000"/>
        </w:rPr>
        <w:t>Un sedicente tecnico chiama durante una finestra considerata critica e prospetta un'interruzione prolungata del servizio. Per “chiudere l'anomalia” chiede il codice MFA appena ricevuto sul telefono di servizio. L'obiettivo è rendere automatica la regola secondo cui un codice di autenticazione non viene mai comunicato a terzi.</w:t>
      </w:r>
    </w:p>
    <w:p>
      <w:pPr>
        <w:pStyle w:val="Heading3"/>
        <w:keepNext/>
        <w:keepLines/>
      </w:pPr>
      <w:r>
        <w:rPr>
          <w:color w:val="000000"/>
        </w:rPr>
        <w:t>Artefatto simulato</w:t>
      </w:r>
    </w:p>
    <w:p>
      <w:pPr>
        <w:pStyle w:val="ListBullet"/>
      </w:pPr>
      <w:r>
        <w:rPr>
          <w:color w:val="000000"/>
        </w:rPr>
        <w:t>Numero visualizzato con descrizione “Supporto reti”.</w:t>
      </w:r>
    </w:p>
    <w:p>
      <w:pPr>
        <w:pStyle w:val="ListBullet"/>
      </w:pPr>
      <w:r>
        <w:rPr>
          <w:color w:val="000000"/>
        </w:rPr>
        <w:t>Lessico tecnico relativo alla sincronizzazione dell'utenza SATCOM.</w:t>
      </w:r>
    </w:p>
    <w:p>
      <w:pPr>
        <w:pStyle w:val="ListBullet"/>
      </w:pPr>
      <w:r>
        <w:rPr>
          <w:color w:val="000000"/>
        </w:rPr>
        <w:t>Richiesta immediata di un codice a sei cifre.</w:t>
      </w:r>
    </w:p>
    <w:p>
      <w:pPr>
        <w:pStyle w:val="ListBullet"/>
      </w:pPr>
      <w:r>
        <w:rPr>
          <w:color w:val="000000"/>
        </w:rPr>
        <w:t>Leva principale: evitare ore di indisponibilità.</w:t>
      </w:r>
    </w:p>
    <w:p>
      <w:pPr>
        <w:pStyle w:val="Heading3"/>
        <w:keepNext/>
        <w:keepLines/>
      </w:pPr>
      <w:r>
        <w:rPr>
          <w:color w:val="000000"/>
        </w:rPr>
        <w:t>Indicatori da riconoscere</w:t>
      </w:r>
    </w:p>
    <w:p>
      <w:pPr>
        <w:pStyle w:val="ListBullet"/>
      </w:pPr>
      <w:r>
        <w:rPr>
          <w:color w:val="000000"/>
        </w:rPr>
        <w:t>Richiesta verbale di un codice MFA.</w:t>
      </w:r>
    </w:p>
    <w:p>
      <w:pPr>
        <w:pStyle w:val="ListBullet"/>
      </w:pPr>
      <w:r>
        <w:rPr>
          <w:color w:val="000000"/>
        </w:rPr>
        <w:t>Conseguenza grave prospettata per accelerare la decisione.</w:t>
      </w:r>
    </w:p>
    <w:p>
      <w:pPr>
        <w:pStyle w:val="ListBullet"/>
      </w:pPr>
      <w:r>
        <w:rPr>
          <w:color w:val="000000"/>
        </w:rPr>
        <w:t>Contatto di assistenza non originato da un ticket aperto dal reparto.</w:t>
      </w:r>
    </w:p>
    <w:p>
      <w:pPr>
        <w:pStyle w:val="ListBullet"/>
      </w:pPr>
      <w:r>
        <w:rPr>
          <w:color w:val="000000"/>
        </w:rPr>
        <w:t>Il numero visualizzato non costituisce prova dell'identità del chiamante.</w:t>
      </w:r>
    </w:p>
    <w:p>
      <w:pPr>
        <w:widowControl/>
      </w:pPr>
      <w:r>
        <w:rPr>
          <w:color w:val="000000"/>
        </w:rPr>
        <w:t>La terminologia tecnica è un elemento di credibilità, non una garanzia.</w:t>
      </w:r>
    </w:p>
    <w:p>
      <w:pPr>
        <w:pStyle w:val="Heading3"/>
        <w:keepNext/>
        <w:keepLines/>
      </w:pPr>
      <w:r>
        <w:rPr>
          <w:color w:val="000000"/>
        </w:rPr>
        <w:t>Risposta attesa</w:t>
      </w:r>
    </w:p>
    <w:p>
      <w:pPr>
        <w:widowControl/>
      </w:pPr>
      <w:r>
        <w:rPr>
          <w:color w:val="000000"/>
        </w:rPr>
        <w:t>Non comunicare il codice. Terminare la chiamata, annotare ora, numero e contenuto essenziale, quindi ricontattare l'assistenza attraverso il numero ufficiale presente in rubrica o nel sistema di ticketing.</w:t>
      </w:r>
    </w:p>
    <w:p>
      <w:pPr>
        <w:pStyle w:val="Heading3"/>
        <w:keepNext/>
        <w:keepLines/>
      </w:pPr>
      <w:r>
        <w:rPr>
          <w:color w:val="000000"/>
        </w:rPr>
        <w:t>Debriefing e difese</w:t>
      </w:r>
    </w:p>
    <w:p>
      <w:pPr>
        <w:widowControl/>
      </w:pPr>
      <w:r>
        <w:rPr>
          <w:color w:val="000000"/>
        </w:rPr>
        <w:t>Lo scenario mostra come urgenza e competenza apparente possano trasformare un meccanismo di sicurezza in uno strumento di pressione. Difese: MFA resistente al phishing, procedure help desk che vietano la richiesta di OTP, verifica fuori banda e formazione sullo spoofing.</w:t>
      </w:r>
    </w:p>
    <w:p>
      <w:pPr>
        <w:widowControl/>
      </w:pPr>
      <w:r>
        <w:rPr>
          <w:b/>
          <w:color w:val="000000"/>
        </w:rPr>
        <w:t>Evidenza attesa nell'app:</w:t>
      </w:r>
      <w:r>
        <w:rPr>
          <w:color w:val="000000"/>
        </w:rPr>
        <w:t xml:space="preserve"> selezione dei quattro indicatori sospetti e decisione “Interrompi subito l'interazione”.</w:t>
      </w:r>
    </w:p>
    <w:p>
      <w:r>
        <w:br w:type="page"/>
      </w:r>
    </w:p>
    <w:p>
      <w:pPr>
        <w:pStyle w:val="Heading2"/>
        <w:keepNext/>
        <w:keepLines/>
      </w:pPr>
      <w:r>
        <w:rPr>
          <w:color w:val="000000"/>
        </w:rPr>
        <w:t>Scenario 4 — Contatto di un collega in missione</w:t>
      </w:r>
    </w:p>
    <w:p>
      <w:pPr>
        <w:widowControl/>
      </w:pPr>
      <w:r>
        <w:rPr>
          <w:b/>
          <w:color w:val="000000"/>
        </w:rPr>
        <w:t>Identificativo:</w:t>
      </w:r>
      <w:r>
        <w:rPr>
          <w:color w:val="000000"/>
        </w:rPr>
        <w:t xml:space="preserve"> </w:t>
      </w:r>
      <w:r>
        <w:rPr>
          <w:rFonts w:ascii="Aptos Mono" w:hAnsi="Aptos Mono"/>
          <w:color w:val="1E4E63"/>
          <w:sz w:val="19"/>
        </w:rPr>
        <w:t>social-collega-missione</w:t>
      </w:r>
      <w:r>
        <w:br/>
      </w:r>
      <w:r>
        <w:rPr>
          <w:b/>
          <w:color w:val="000000"/>
        </w:rPr>
        <w:t>Canale e tecnica:</w:t>
      </w:r>
      <w:r>
        <w:rPr>
          <w:color w:val="000000"/>
        </w:rPr>
        <w:t xml:space="preserve"> social; profilo falso e raccolta di informazioni pubbliche</w:t>
      </w:r>
      <w:r>
        <w:br/>
      </w:r>
      <w:r>
        <w:rPr>
          <w:b/>
          <w:color w:val="000000"/>
        </w:rPr>
        <w:t>Livello di rischio simulato:</w:t>
      </w:r>
      <w:r>
        <w:rPr>
          <w:color w:val="000000"/>
        </w:rPr>
        <w:t xml:space="preserve"> medio-alto</w:t>
      </w:r>
      <w:r>
        <w:br/>
      </w:r>
      <w:r>
        <w:rPr>
          <w:b/>
          <w:color w:val="000000"/>
        </w:rPr>
        <w:t>Principi di persuasione:</w:t>
      </w:r>
      <w:r>
        <w:rPr>
          <w:color w:val="000000"/>
        </w:rPr>
        <w:t xml:space="preserve"> familiarità, riprova sociale, reciprocità</w:t>
      </w:r>
    </w:p>
    <w:p>
      <w:pPr>
        <w:pStyle w:val="Heading3"/>
        <w:keepNext/>
        <w:keepLines/>
      </w:pPr>
      <w:r>
        <w:rPr>
          <w:color w:val="000000"/>
        </w:rPr>
        <w:t>Contesto e obiettivo formativo</w:t>
      </w:r>
    </w:p>
    <w:p>
      <w:pPr>
        <w:widowControl/>
      </w:pPr>
      <w:r>
        <w:rPr>
          <w:color w:val="000000"/>
        </w:rPr>
        <w:t>Un profilo recente afferma di appartenere a un collega incontrato durante un'esercitazione e cita dettagli pubblici sul reparto. Propone poi un documento esterno riguardante una presunta matrice frequenze. Lo scenario sviluppa consapevolezza sui dati ricavabili da fonti aperte e sulla necessità di separare familiarità e identità verificata.</w:t>
      </w:r>
    </w:p>
    <w:p>
      <w:pPr>
        <w:pStyle w:val="Heading3"/>
        <w:keepNext/>
        <w:keepLines/>
      </w:pPr>
      <w:r>
        <w:rPr>
          <w:color w:val="000000"/>
        </w:rPr>
        <w:t>Artefatto simulato</w:t>
      </w:r>
    </w:p>
    <w:p>
      <w:pPr>
        <w:pStyle w:val="ListBullet"/>
      </w:pPr>
      <w:r>
        <w:rPr>
          <w:color w:val="000000"/>
        </w:rPr>
        <w:t>Profilo dichiarato: “Marco Rinaldi · Ufficiale di collegamento”.</w:t>
      </w:r>
    </w:p>
    <w:p>
      <w:pPr>
        <w:pStyle w:val="ListBullet"/>
      </w:pPr>
      <w:r>
        <w:rPr>
          <w:color w:val="000000"/>
        </w:rPr>
        <w:t>Riferimento a un'esercitazione e a fotografie del reparto.</w:t>
      </w:r>
    </w:p>
    <w:p>
      <w:pPr>
        <w:pStyle w:val="ListBullet"/>
      </w:pPr>
      <w:r>
        <w:rPr>
          <w:color w:val="000000"/>
        </w:rPr>
        <w:t xml:space="preserve">Link neutralizzato a </w:t>
      </w:r>
      <w:r>
        <w:rPr>
          <w:rFonts w:ascii="Aptos Mono" w:hAnsi="Aptos Mono"/>
          <w:color w:val="1E4E63"/>
          <w:sz w:val="19"/>
        </w:rPr>
        <w:t>files-operativi[.]cloud/matrice</w:t>
      </w:r>
      <w:r>
        <w:rPr>
          <w:color w:val="000000"/>
        </w:rPr>
        <w:t>.</w:t>
      </w:r>
    </w:p>
    <w:p>
      <w:pPr>
        <w:pStyle w:val="ListBullet"/>
      </w:pPr>
      <w:r>
        <w:rPr>
          <w:color w:val="000000"/>
        </w:rPr>
        <w:t>Profilo creato da dodici giorni con trentasette contatti.</w:t>
      </w:r>
    </w:p>
    <w:p>
      <w:pPr>
        <w:pStyle w:val="Heading3"/>
        <w:keepNext/>
        <w:keepLines/>
      </w:pPr>
      <w:r>
        <w:rPr>
          <w:color w:val="000000"/>
        </w:rPr>
        <w:t>Indicatori da riconoscere</w:t>
      </w:r>
    </w:p>
    <w:p>
      <w:pPr>
        <w:pStyle w:val="ListBullet"/>
      </w:pPr>
      <w:r>
        <w:rPr>
          <w:color w:val="000000"/>
        </w:rPr>
        <w:t>Profilo recente e rete sociale ridotta.</w:t>
      </w:r>
    </w:p>
    <w:p>
      <w:pPr>
        <w:pStyle w:val="ListBullet"/>
      </w:pPr>
      <w:r>
        <w:rPr>
          <w:color w:val="000000"/>
        </w:rPr>
        <w:t>Dettagli sul reparto potenzialmente ricavati da contenuti pubblici.</w:t>
      </w:r>
    </w:p>
    <w:p>
      <w:pPr>
        <w:pStyle w:val="ListBullet"/>
      </w:pPr>
      <w:r>
        <w:rPr>
          <w:color w:val="000000"/>
        </w:rPr>
        <w:t>Documento operativo ospitato su un servizio esterno.</w:t>
      </w:r>
    </w:p>
    <w:p>
      <w:pPr>
        <w:pStyle w:val="ListBullet"/>
      </w:pPr>
      <w:r>
        <w:rPr>
          <w:color w:val="000000"/>
        </w:rPr>
        <w:t>Identità non verificata mediante un canale istituzionale.</w:t>
      </w:r>
    </w:p>
    <w:p>
      <w:pPr>
        <w:widowControl/>
      </w:pPr>
      <w:r>
        <w:rPr>
          <w:color w:val="000000"/>
        </w:rPr>
        <w:t>La presenza di contatti in comune è riprova sociale, non autenticazione.</w:t>
      </w:r>
    </w:p>
    <w:p>
      <w:pPr>
        <w:pStyle w:val="Heading3"/>
        <w:keepNext/>
        <w:keepLines/>
      </w:pPr>
      <w:r>
        <w:rPr>
          <w:color w:val="000000"/>
        </w:rPr>
        <w:t>Risposta attesa</w:t>
      </w:r>
    </w:p>
    <w:p>
      <w:pPr>
        <w:widowControl/>
      </w:pPr>
      <w:r>
        <w:rPr>
          <w:color w:val="000000"/>
        </w:rPr>
        <w:t>Non aprire il file, non condividere ulteriori informazioni e conservare gli elementi necessari alla segnalazione. Verificare eventualmente l'identità tramite un canale istituzionale separato e segnalare il profilo secondo le regole interne.</w:t>
      </w:r>
    </w:p>
    <w:p>
      <w:pPr>
        <w:pStyle w:val="Heading3"/>
        <w:keepNext/>
        <w:keepLines/>
      </w:pPr>
      <w:r>
        <w:rPr>
          <w:color w:val="000000"/>
        </w:rPr>
        <w:t>Debriefing e difese</w:t>
      </w:r>
    </w:p>
    <w:p>
      <w:pPr>
        <w:widowControl/>
      </w:pPr>
      <w:r>
        <w:rPr>
          <w:color w:val="000000"/>
        </w:rPr>
        <w:t>Il formatore collega lo scenario alla disciplina OSINT: piccoli frammenti pubblici possono essere combinati per costruire un pretesto credibile. Difese: criteri di pubblicazione sui social, verifica dell'identità, separazione fra canali personali e istituzionali e procedura per profili sospetti.</w:t>
      </w:r>
    </w:p>
    <w:p>
      <w:pPr>
        <w:widowControl/>
      </w:pPr>
      <w:r>
        <w:rPr>
          <w:b/>
          <w:color w:val="000000"/>
        </w:rPr>
        <w:t>Evidenza attesa nell'app:</w:t>
      </w:r>
      <w:r>
        <w:rPr>
          <w:color w:val="000000"/>
        </w:rPr>
        <w:t xml:space="preserve"> selezione dei quattro indicatori sospetti e decisione “Isola l'elemento e segnala”.</w:t>
      </w:r>
    </w:p>
    <w:p>
      <w:r>
        <w:br w:type="page"/>
      </w:r>
    </w:p>
    <w:p>
      <w:pPr>
        <w:pStyle w:val="Heading2"/>
        <w:keepNext/>
        <w:keepLines/>
      </w:pPr>
      <w:r>
        <w:rPr>
          <w:color w:val="000000"/>
        </w:rPr>
        <w:t>Scenario 5 — Portale logistico quasi identico</w:t>
      </w:r>
    </w:p>
    <w:p>
      <w:pPr>
        <w:widowControl/>
      </w:pPr>
      <w:r>
        <w:rPr>
          <w:b/>
          <w:color w:val="000000"/>
        </w:rPr>
        <w:t>Identificativo:</w:t>
      </w:r>
      <w:r>
        <w:rPr>
          <w:color w:val="000000"/>
        </w:rPr>
        <w:t xml:space="preserve"> </w:t>
      </w:r>
      <w:r>
        <w:rPr>
          <w:rFonts w:ascii="Aptos Mono" w:hAnsi="Aptos Mono"/>
          <w:color w:val="1E4E63"/>
          <w:sz w:val="19"/>
        </w:rPr>
        <w:t>web-portale-logistico</w:t>
      </w:r>
      <w:r>
        <w:br/>
      </w:r>
      <w:r>
        <w:rPr>
          <w:b/>
          <w:color w:val="000000"/>
        </w:rPr>
        <w:t>Canale e tecnica:</w:t>
      </w:r>
      <w:r>
        <w:rPr>
          <w:color w:val="000000"/>
        </w:rPr>
        <w:t xml:space="preserve"> web; clonazione dell'interfaccia e typosquatting</w:t>
      </w:r>
      <w:r>
        <w:br/>
      </w:r>
      <w:r>
        <w:rPr>
          <w:b/>
          <w:color w:val="000000"/>
        </w:rPr>
        <w:t>Livello di rischio simulato:</w:t>
      </w:r>
      <w:r>
        <w:rPr>
          <w:color w:val="000000"/>
        </w:rPr>
        <w:t xml:space="preserve"> alto</w:t>
      </w:r>
      <w:r>
        <w:br/>
      </w:r>
      <w:r>
        <w:rPr>
          <w:b/>
          <w:color w:val="000000"/>
        </w:rPr>
        <w:t>Principi di persuasione:</w:t>
      </w:r>
      <w:r>
        <w:rPr>
          <w:color w:val="000000"/>
        </w:rPr>
        <w:t xml:space="preserve"> fiducia visiva, autorità, abitudine</w:t>
      </w:r>
    </w:p>
    <w:p>
      <w:pPr>
        <w:pStyle w:val="Heading3"/>
        <w:keepNext/>
        <w:keepLines/>
      </w:pPr>
      <w:r>
        <w:rPr>
          <w:color w:val="000000"/>
        </w:rPr>
        <w:t>Contesto e obiettivo formativo</w:t>
      </w:r>
    </w:p>
    <w:p>
      <w:pPr>
        <w:widowControl/>
      </w:pPr>
      <w:r>
        <w:rPr>
          <w:color w:val="000000"/>
        </w:rPr>
        <w:t>Una pagina simula il portale logistico, mostra una connessione HTTPS valida e chiede nuovamente utenza di reparto e codice temporaneo. L'obiettivo è insegnare a leggere il dominio effettivo e a comprendere che il lucchetto prova la cifratura del collegamento, non l'affidabilità del soggetto.</w:t>
      </w:r>
    </w:p>
    <w:p>
      <w:pPr>
        <w:pStyle w:val="Heading3"/>
        <w:keepNext/>
        <w:keepLines/>
      </w:pPr>
      <w:r>
        <w:rPr>
          <w:color w:val="000000"/>
        </w:rPr>
        <w:t>Artefatto simulato</w:t>
      </w:r>
    </w:p>
    <w:p>
      <w:pPr>
        <w:pStyle w:val="ListBullet"/>
      </w:pPr>
      <w:r>
        <w:rPr>
          <w:color w:val="000000"/>
        </w:rPr>
        <w:t xml:space="preserve">URL neutralizzato: </w:t>
      </w:r>
      <w:r>
        <w:rPr>
          <w:rFonts w:ascii="Aptos Mono" w:hAnsi="Aptos Mono"/>
          <w:color w:val="1E4E63"/>
          <w:sz w:val="19"/>
        </w:rPr>
        <w:t>https://logistica-marinamilitare[.]it.sessione-sicura[.]net</w:t>
      </w:r>
      <w:r>
        <w:rPr>
          <w:color w:val="000000"/>
        </w:rPr>
        <w:t>.</w:t>
      </w:r>
    </w:p>
    <w:p>
      <w:pPr>
        <w:pStyle w:val="ListBullet"/>
      </w:pPr>
      <w:r>
        <w:rPr>
          <w:color w:val="000000"/>
        </w:rPr>
        <w:t>Avviso di sessione scaduta.</w:t>
      </w:r>
    </w:p>
    <w:p>
      <w:pPr>
        <w:pStyle w:val="ListBullet"/>
      </w:pPr>
      <w:r>
        <w:rPr>
          <w:color w:val="000000"/>
        </w:rPr>
        <w:t xml:space="preserve">Riferimento plausibile alla richiesta materiali </w:t>
      </w:r>
      <w:r>
        <w:rPr>
          <w:rFonts w:ascii="Aptos Mono" w:hAnsi="Aptos Mono"/>
          <w:color w:val="1E4E63"/>
          <w:sz w:val="19"/>
        </w:rPr>
        <w:t>2471-B</w:t>
      </w:r>
      <w:r>
        <w:rPr>
          <w:color w:val="000000"/>
        </w:rPr>
        <w:t>.</w:t>
      </w:r>
    </w:p>
    <w:p>
      <w:pPr>
        <w:pStyle w:val="ListBullet"/>
      </w:pPr>
      <w:r>
        <w:rPr>
          <w:color w:val="000000"/>
        </w:rPr>
        <w:t>Richiesta di credenziali e codice temporaneo.</w:t>
      </w:r>
    </w:p>
    <w:p>
      <w:pPr>
        <w:pStyle w:val="Heading3"/>
        <w:keepNext/>
        <w:keepLines/>
      </w:pPr>
      <w:r>
        <w:rPr>
          <w:color w:val="000000"/>
        </w:rPr>
        <w:t>Indicatori da riconoscere</w:t>
      </w:r>
    </w:p>
    <w:p>
      <w:pPr>
        <w:pStyle w:val="ListBullet"/>
      </w:pPr>
      <w:r>
        <w:rPr>
          <w:color w:val="000000"/>
        </w:rPr>
        <w:t xml:space="preserve">Il dominio registrabile reale è </w:t>
      </w:r>
      <w:r>
        <w:rPr>
          <w:rFonts w:ascii="Aptos Mono" w:hAnsi="Aptos Mono"/>
          <w:color w:val="1E4E63"/>
          <w:sz w:val="19"/>
        </w:rPr>
        <w:t>sessione-sicura[.]net</w:t>
      </w:r>
      <w:r>
        <w:rPr>
          <w:color w:val="000000"/>
        </w:rPr>
        <w:t>.</w:t>
      </w:r>
    </w:p>
    <w:p>
      <w:pPr>
        <w:pStyle w:val="ListBullet"/>
      </w:pPr>
      <w:r>
        <w:rPr>
          <w:color w:val="000000"/>
        </w:rPr>
        <w:t>HTTPS e lucchetto non attestano la legittimità del servizio.</w:t>
      </w:r>
    </w:p>
    <w:p>
      <w:pPr>
        <w:pStyle w:val="ListBullet"/>
      </w:pPr>
      <w:r>
        <w:rPr>
          <w:color w:val="000000"/>
        </w:rPr>
        <w:t>La pagina richiede anche il codice temporaneo.</w:t>
      </w:r>
    </w:p>
    <w:p>
      <w:pPr>
        <w:pStyle w:val="ListBullet"/>
      </w:pPr>
      <w:r>
        <w:rPr>
          <w:color w:val="000000"/>
        </w:rPr>
        <w:t>La coerenza grafica può derivare dalla clonazione dell'interfaccia.</w:t>
      </w:r>
    </w:p>
    <w:p>
      <w:pPr>
        <w:widowControl/>
      </w:pPr>
      <w:r>
        <w:rPr>
          <w:color w:val="000000"/>
        </w:rPr>
        <w:t>Il numero di richiesta plausibile e il certificato TLS valido sono elementi compatibili anche con una pagina ingannevole.</w:t>
      </w:r>
    </w:p>
    <w:p>
      <w:pPr>
        <w:pStyle w:val="Heading3"/>
        <w:keepNext/>
        <w:keepLines/>
      </w:pPr>
      <w:r>
        <w:rPr>
          <w:color w:val="000000"/>
        </w:rPr>
        <w:t>Risposta attesa</w:t>
      </w:r>
    </w:p>
    <w:p>
      <w:pPr>
        <w:widowControl/>
      </w:pPr>
      <w:r>
        <w:rPr>
          <w:color w:val="000000"/>
        </w:rPr>
        <w:t>Non inserire dati. Chiudere la pagina e riaprire il servizio mediante un preferito amministrato, un portale interno o un indirizzo noto. Se previsto, segnalare URL e contesto senza visitare nuovamente la pagina.</w:t>
      </w:r>
    </w:p>
    <w:p>
      <w:pPr>
        <w:pStyle w:val="Heading3"/>
        <w:keepNext/>
        <w:keepLines/>
      </w:pPr>
      <w:r>
        <w:rPr>
          <w:color w:val="000000"/>
        </w:rPr>
        <w:t>Debriefing e difese</w:t>
      </w:r>
    </w:p>
    <w:p>
      <w:pPr>
        <w:widowControl/>
      </w:pPr>
      <w:r>
        <w:rPr>
          <w:color w:val="000000"/>
        </w:rPr>
        <w:t>Il dominio va letto dal suffisso verso sinistra per individuare la parte realmente registrata. Le difese includono controllo URL, DNS e blocklist, password manager vincolato al dominio e fattori di autenticazione resistenti al phishing.</w:t>
      </w:r>
    </w:p>
    <w:p>
      <w:pPr>
        <w:widowControl/>
      </w:pPr>
      <w:r>
        <w:rPr>
          <w:b/>
          <w:color w:val="000000"/>
        </w:rPr>
        <w:t>Evidenza attesa nell'app:</w:t>
      </w:r>
      <w:r>
        <w:rPr>
          <w:color w:val="000000"/>
        </w:rPr>
        <w:t xml:space="preserve"> selezione dei quattro indicatori sospetti e decisione “Interrompi subito l'interazione”.</w:t>
      </w:r>
    </w:p>
    <w:p>
      <w:r>
        <w:br w:type="page"/>
      </w:r>
    </w:p>
    <w:p>
      <w:pPr>
        <w:pStyle w:val="Heading2"/>
        <w:keepNext/>
        <w:keepLines/>
      </w:pPr>
      <w:r>
        <w:rPr>
          <w:color w:val="000000"/>
        </w:rPr>
        <w:t>Scenario 6 — Tecnico al varco della banchina</w:t>
      </w:r>
    </w:p>
    <w:p>
      <w:pPr>
        <w:widowControl/>
      </w:pPr>
      <w:r>
        <w:rPr>
          <w:b/>
          <w:color w:val="000000"/>
        </w:rPr>
        <w:t>Identificativo:</w:t>
      </w:r>
      <w:r>
        <w:rPr>
          <w:color w:val="000000"/>
        </w:rPr>
        <w:t xml:space="preserve"> </w:t>
      </w:r>
      <w:r>
        <w:rPr>
          <w:rFonts w:ascii="Aptos Mono" w:hAnsi="Aptos Mono"/>
          <w:color w:val="1E4E63"/>
          <w:sz w:val="19"/>
        </w:rPr>
        <w:t>physical-varco-banchina</w:t>
      </w:r>
      <w:r>
        <w:br/>
      </w:r>
      <w:r>
        <w:rPr>
          <w:b/>
          <w:color w:val="000000"/>
        </w:rPr>
        <w:t>Canale e tecnica:</w:t>
      </w:r>
      <w:r>
        <w:rPr>
          <w:color w:val="000000"/>
        </w:rPr>
        <w:t xml:space="preserve"> accesso fisico; tailgating e pretexting</w:t>
      </w:r>
      <w:r>
        <w:br/>
      </w:r>
      <w:r>
        <w:rPr>
          <w:b/>
          <w:color w:val="000000"/>
        </w:rPr>
        <w:t>Livello di rischio simulato:</w:t>
      </w:r>
      <w:r>
        <w:rPr>
          <w:color w:val="000000"/>
        </w:rPr>
        <w:t xml:space="preserve"> alto</w:t>
      </w:r>
      <w:r>
        <w:br/>
      </w:r>
      <w:r>
        <w:rPr>
          <w:b/>
          <w:color w:val="000000"/>
        </w:rPr>
        <w:t>Principi di persuasione:</w:t>
      </w:r>
      <w:r>
        <w:rPr>
          <w:color w:val="000000"/>
        </w:rPr>
        <w:t xml:space="preserve"> cortesia, autorità percepita, urgenza</w:t>
      </w:r>
    </w:p>
    <w:p>
      <w:pPr>
        <w:pStyle w:val="Heading3"/>
        <w:keepNext/>
        <w:keepLines/>
      </w:pPr>
      <w:r>
        <w:rPr>
          <w:color w:val="000000"/>
        </w:rPr>
        <w:t>Contesto e obiettivo formativo</w:t>
      </w:r>
    </w:p>
    <w:p>
      <w:pPr>
        <w:widowControl/>
      </w:pPr>
      <w:r>
        <w:rPr>
          <w:color w:val="000000"/>
        </w:rPr>
        <w:t>Al cambio turno, una persona in abbigliamento tecnico sostiene che il proprio badge non funzioni e chiede di attraversare il varco insieme a un autorizzato. Conosce il nome del responsabile impianti e dichiara di dover ripristinare una pompa prima di un'ispezione. Lo scenario verifica l'applicazione coerente del controllo accessi anche quando rifiutare appare scomodo.</w:t>
      </w:r>
    </w:p>
    <w:p>
      <w:pPr>
        <w:pStyle w:val="Heading3"/>
        <w:keepNext/>
        <w:keepLines/>
      </w:pPr>
      <w:r>
        <w:rPr>
          <w:color w:val="000000"/>
        </w:rPr>
        <w:t>Artefatto simulato</w:t>
      </w:r>
    </w:p>
    <w:p>
      <w:pPr>
        <w:pStyle w:val="ListBullet"/>
      </w:pPr>
      <w:r>
        <w:rPr>
          <w:color w:val="000000"/>
        </w:rPr>
        <w:t>Varco B, area a controllo accessi.</w:t>
      </w:r>
    </w:p>
    <w:p>
      <w:pPr>
        <w:pStyle w:val="ListBullet"/>
      </w:pPr>
      <w:r>
        <w:rPr>
          <w:color w:val="000000"/>
        </w:rPr>
        <w:t>Pettorina e cassetta attrezzi coerenti con il ruolo dichiarato.</w:t>
      </w:r>
    </w:p>
    <w:p>
      <w:pPr>
        <w:pStyle w:val="ListBullet"/>
      </w:pPr>
      <w:r>
        <w:rPr>
          <w:color w:val="000000"/>
        </w:rPr>
        <w:t>Badge non riconosciuto.</w:t>
      </w:r>
    </w:p>
    <w:p>
      <w:pPr>
        <w:pStyle w:val="ListBullet"/>
      </w:pPr>
      <w:r>
        <w:rPr>
          <w:color w:val="000000"/>
        </w:rPr>
        <w:t>Pressione legata a un intervento urgente e a un'ispezione imminente.</w:t>
      </w:r>
    </w:p>
    <w:p>
      <w:pPr>
        <w:pStyle w:val="Heading3"/>
        <w:keepNext/>
        <w:keepLines/>
      </w:pPr>
      <w:r>
        <w:rPr>
          <w:color w:val="000000"/>
        </w:rPr>
        <w:t>Indicatori da riconoscere</w:t>
      </w:r>
    </w:p>
    <w:p>
      <w:pPr>
        <w:pStyle w:val="ListBullet"/>
      </w:pPr>
      <w:r>
        <w:rPr>
          <w:color w:val="000000"/>
        </w:rPr>
        <w:t>Il badge non abilita l'accesso.</w:t>
      </w:r>
    </w:p>
    <w:p>
      <w:pPr>
        <w:pStyle w:val="ListBullet"/>
      </w:pPr>
      <w:r>
        <w:rPr>
          <w:color w:val="000000"/>
        </w:rPr>
        <w:t>Viene richiesto di sfruttare l'apertura autorizzata di un'altra persona.</w:t>
      </w:r>
    </w:p>
    <w:p>
      <w:pPr>
        <w:pStyle w:val="ListBullet"/>
      </w:pPr>
      <w:r>
        <w:rPr>
          <w:color w:val="000000"/>
        </w:rPr>
        <w:t>L'urgenza dell'ispezione condiziona il giudizio.</w:t>
      </w:r>
    </w:p>
    <w:p>
      <w:pPr>
        <w:pStyle w:val="ListBullet"/>
      </w:pPr>
      <w:r>
        <w:rPr>
          <w:color w:val="000000"/>
        </w:rPr>
        <w:t>Conoscere nomi interni non dimostra autorizzazione.</w:t>
      </w:r>
    </w:p>
    <w:p>
      <w:pPr>
        <w:widowControl/>
      </w:pPr>
      <w:r>
        <w:rPr>
          <w:color w:val="000000"/>
        </w:rPr>
        <w:t>Uniforme e attrezzi possono essere autentici o imitati: non sostituiscono la verifica.</w:t>
      </w:r>
    </w:p>
    <w:p>
      <w:pPr>
        <w:pStyle w:val="Heading3"/>
        <w:keepNext/>
        <w:keepLines/>
      </w:pPr>
      <w:r>
        <w:rPr>
          <w:color w:val="000000"/>
        </w:rPr>
        <w:t>Risposta attesa</w:t>
      </w:r>
    </w:p>
    <w:p>
      <w:pPr>
        <w:widowControl/>
      </w:pPr>
      <w:r>
        <w:rPr>
          <w:color w:val="000000"/>
        </w:rPr>
        <w:t>Non consentire il passaggio condiviso. Mantenere un comportamento professionale, contattare il presidio o il responsabile del contratto e verificare identità, autorizzazione e ordine di lavoro. Gestire l'attesa senza abbandonare il controllo del varco.</w:t>
      </w:r>
    </w:p>
    <w:p>
      <w:pPr>
        <w:pStyle w:val="Heading3"/>
        <w:keepNext/>
        <w:keepLines/>
      </w:pPr>
      <w:r>
        <w:rPr>
          <w:color w:val="000000"/>
        </w:rPr>
        <w:t>Debriefing e difese</w:t>
      </w:r>
    </w:p>
    <w:p>
      <w:pPr>
        <w:widowControl/>
      </w:pPr>
      <w:r>
        <w:rPr>
          <w:color w:val="000000"/>
        </w:rPr>
        <w:t>Il principio chiave è che la cortesia deve operare entro la procedura, non al suo posto. Difese: accesso individuale, verifica dell'ordine di lavoro, registro visitatori, formazione del personale e gestione formale dei fornitori.</w:t>
      </w:r>
    </w:p>
    <w:p>
      <w:pPr>
        <w:widowControl/>
      </w:pPr>
      <w:r>
        <w:rPr>
          <w:b/>
          <w:color w:val="000000"/>
        </w:rPr>
        <w:t>Evidenza attesa nell'app:</w:t>
      </w:r>
      <w:r>
        <w:rPr>
          <w:color w:val="000000"/>
        </w:rPr>
        <w:t xml:space="preserve"> selezione dei quattro indicatori sospetti e decisione “Sospendi e verifica su un canale noto”.</w:t>
      </w:r>
    </w:p>
    <w:p>
      <w:r>
        <w:br w:type="page"/>
      </w:r>
    </w:p>
    <w:p>
      <w:pPr>
        <w:pStyle w:val="Heading2"/>
        <w:keepNext/>
        <w:keepLines/>
      </w:pPr>
      <w:r>
        <w:rPr>
          <w:color w:val="000000"/>
        </w:rPr>
        <w:t>Scenario 7 — Supporto USB con etichetta operativa</w:t>
      </w:r>
    </w:p>
    <w:p>
      <w:pPr>
        <w:widowControl/>
      </w:pPr>
      <w:r>
        <w:rPr>
          <w:b/>
          <w:color w:val="000000"/>
        </w:rPr>
        <w:t>Identificativo:</w:t>
      </w:r>
      <w:r>
        <w:rPr>
          <w:color w:val="000000"/>
        </w:rPr>
        <w:t xml:space="preserve"> </w:t>
      </w:r>
      <w:r>
        <w:rPr>
          <w:rFonts w:ascii="Aptos Mono" w:hAnsi="Aptos Mono"/>
          <w:color w:val="1E4E63"/>
          <w:sz w:val="19"/>
        </w:rPr>
        <w:t>baiting-supporto-rimovibile</w:t>
      </w:r>
      <w:r>
        <w:br/>
      </w:r>
      <w:r>
        <w:rPr>
          <w:b/>
          <w:color w:val="000000"/>
        </w:rPr>
        <w:t>Canale e tecnica:</w:t>
      </w:r>
      <w:r>
        <w:rPr>
          <w:color w:val="000000"/>
        </w:rPr>
        <w:t xml:space="preserve"> supporto rimovibile; baiting</w:t>
      </w:r>
      <w:r>
        <w:br/>
      </w:r>
      <w:r>
        <w:rPr>
          <w:b/>
          <w:color w:val="000000"/>
        </w:rPr>
        <w:t>Livello di rischio simulato:</w:t>
      </w:r>
      <w:r>
        <w:rPr>
          <w:color w:val="000000"/>
        </w:rPr>
        <w:t xml:space="preserve"> medio-alto</w:t>
      </w:r>
      <w:r>
        <w:br/>
      </w:r>
      <w:r>
        <w:rPr>
          <w:b/>
          <w:color w:val="000000"/>
        </w:rPr>
        <w:t>Principi di persuasione:</w:t>
      </w:r>
      <w:r>
        <w:rPr>
          <w:color w:val="000000"/>
        </w:rPr>
        <w:t xml:space="preserve"> curiosità, scarsità, rilevanza operativa</w:t>
      </w:r>
    </w:p>
    <w:p>
      <w:pPr>
        <w:pStyle w:val="Heading3"/>
        <w:keepNext/>
        <w:keepLines/>
      </w:pPr>
      <w:r>
        <w:rPr>
          <w:color w:val="000000"/>
        </w:rPr>
        <w:t>Contesto e obiettivo formativo</w:t>
      </w:r>
    </w:p>
    <w:p>
      <w:pPr>
        <w:widowControl/>
      </w:pPr>
      <w:r>
        <w:rPr>
          <w:color w:val="000000"/>
        </w:rPr>
        <w:t>Una chiavetta USB viene rinvenuta in un'area di passaggio. L'etichetta richiama un documento operativo riservato e induce la tentazione di inserirla in un computer per identificarne il proprietario o eseguire una scansione. Lo scenario mira a rendere immediata la separazione fisica dell'oggetto dai sistemi.</w:t>
      </w:r>
    </w:p>
    <w:p>
      <w:pPr>
        <w:pStyle w:val="Heading3"/>
        <w:keepNext/>
        <w:keepLines/>
      </w:pPr>
      <w:r>
        <w:rPr>
          <w:color w:val="000000"/>
        </w:rPr>
        <w:t>Artefatto simulato</w:t>
      </w:r>
    </w:p>
    <w:p>
      <w:pPr>
        <w:pStyle w:val="ListBullet"/>
      </w:pPr>
      <w:r>
        <w:rPr>
          <w:color w:val="000000"/>
        </w:rPr>
        <w:t>Supporto non inventariato e privo di busta di trasporto.</w:t>
      </w:r>
    </w:p>
    <w:p>
      <w:pPr>
        <w:pStyle w:val="ListBullet"/>
      </w:pPr>
      <w:r>
        <w:rPr>
          <w:color w:val="000000"/>
        </w:rPr>
        <w:t>Etichetta: “PIANO IMMERSIONE — REVISIONE RISERVATA”.</w:t>
      </w:r>
    </w:p>
    <w:p>
      <w:pPr>
        <w:pStyle w:val="ListBullet"/>
      </w:pPr>
      <w:r>
        <w:rPr>
          <w:color w:val="000000"/>
        </w:rPr>
        <w:t>Rinvenimento vicino a una zona frequentata.</w:t>
      </w:r>
    </w:p>
    <w:p>
      <w:pPr>
        <w:pStyle w:val="ListBullet"/>
      </w:pPr>
      <w:r>
        <w:rPr>
          <w:color w:val="000000"/>
        </w:rPr>
        <w:t>Nessun file reale è presente nell'esercitazione.</w:t>
      </w:r>
    </w:p>
    <w:p>
      <w:pPr>
        <w:pStyle w:val="Heading3"/>
        <w:keepNext/>
        <w:keepLines/>
      </w:pPr>
      <w:r>
        <w:rPr>
          <w:color w:val="000000"/>
        </w:rPr>
        <w:t>Indicatori da riconoscere</w:t>
      </w:r>
    </w:p>
    <w:p>
      <w:pPr>
        <w:pStyle w:val="ListBullet"/>
      </w:pPr>
      <w:r>
        <w:rPr>
          <w:color w:val="000000"/>
        </w:rPr>
        <w:t>Supporto non registrato né accompagnato.</w:t>
      </w:r>
    </w:p>
    <w:p>
      <w:pPr>
        <w:pStyle w:val="ListBullet"/>
      </w:pPr>
      <w:r>
        <w:rPr>
          <w:color w:val="000000"/>
        </w:rPr>
        <w:t>Etichetta costruita per suscitare curiosità e senso di rilevanza.</w:t>
      </w:r>
    </w:p>
    <w:p>
      <w:pPr>
        <w:pStyle w:val="ListBullet"/>
      </w:pPr>
      <w:r>
        <w:rPr>
          <w:color w:val="000000"/>
        </w:rPr>
        <w:t>Collocazione in un'area di passaggio.</w:t>
      </w:r>
    </w:p>
    <w:p>
      <w:pPr>
        <w:pStyle w:val="ListBullet"/>
      </w:pPr>
      <w:r>
        <w:rPr>
          <w:color w:val="000000"/>
        </w:rPr>
        <w:t>Anche l'inserimento finalizzato alla sola scansione espone il dispositivo.</w:t>
      </w:r>
    </w:p>
    <w:p>
      <w:pPr>
        <w:widowControl/>
      </w:pPr>
      <w:r>
        <w:rPr>
          <w:color w:val="000000"/>
        </w:rPr>
        <w:t>L'assenza di danni visibili alla scocca non fornisce alcuna garanzia sul contenuto o sull'elettronica.</w:t>
      </w:r>
    </w:p>
    <w:p>
      <w:pPr>
        <w:pStyle w:val="Heading3"/>
        <w:keepNext/>
        <w:keepLines/>
      </w:pPr>
      <w:r>
        <w:rPr>
          <w:color w:val="000000"/>
        </w:rPr>
        <w:t>Risposta attesa</w:t>
      </w:r>
    </w:p>
    <w:p>
      <w:pPr>
        <w:widowControl/>
      </w:pPr>
      <w:r>
        <w:rPr>
          <w:color w:val="000000"/>
        </w:rPr>
        <w:t>Non collegare il supporto a computer, dispositivi di test o sistemi isolati improvvisati. Evitare manipolazioni non necessarie, isolare fisicamente l'oggetto e consegnarlo attraverso il percorso autorizzato per i supporti rinvenuti.</w:t>
      </w:r>
    </w:p>
    <w:p>
      <w:pPr>
        <w:pStyle w:val="Heading3"/>
        <w:keepNext/>
        <w:keepLines/>
      </w:pPr>
      <w:r>
        <w:rPr>
          <w:color w:val="000000"/>
        </w:rPr>
        <w:t>Debriefing e difese</w:t>
      </w:r>
    </w:p>
    <w:p>
      <w:pPr>
        <w:widowControl/>
      </w:pPr>
      <w:r>
        <w:rPr>
          <w:color w:val="000000"/>
        </w:rPr>
        <w:t>Il formatore distingue la curiosità legittima dalla procedura sicura. Difese: blocco tecnico dei supporti rimovibili, inventario, contenitori e catena di consegna, punti di raccolta definiti e awareness periodica.</w:t>
      </w:r>
    </w:p>
    <w:p>
      <w:pPr>
        <w:widowControl/>
      </w:pPr>
      <w:r>
        <w:rPr>
          <w:b/>
          <w:color w:val="000000"/>
        </w:rPr>
        <w:t>Evidenza attesa nell'app:</w:t>
      </w:r>
      <w:r>
        <w:rPr>
          <w:color w:val="000000"/>
        </w:rPr>
        <w:t xml:space="preserve"> selezione dei quattro indicatori sospetti e decisione “Isola l'elemento e segnala”.</w:t>
      </w:r>
    </w:p>
    <w:p>
      <w:r>
        <w:br w:type="page"/>
      </w:r>
    </w:p>
    <w:p>
      <w:pPr>
        <w:pStyle w:val="Heading2"/>
        <w:keepNext/>
        <w:keepLines/>
      </w:pPr>
      <w:r>
        <w:rPr>
          <w:color w:val="000000"/>
        </w:rPr>
        <w:t>Scenario 8 — Assistenza gratuita al dispositivo crittografico</w:t>
      </w:r>
    </w:p>
    <w:p>
      <w:pPr>
        <w:widowControl/>
      </w:pPr>
      <w:r>
        <w:rPr>
          <w:b/>
          <w:color w:val="000000"/>
        </w:rPr>
        <w:t>Identificativo:</w:t>
      </w:r>
      <w:r>
        <w:rPr>
          <w:color w:val="000000"/>
        </w:rPr>
        <w:t xml:space="preserve"> </w:t>
      </w:r>
      <w:r>
        <w:rPr>
          <w:rFonts w:ascii="Aptos Mono" w:hAnsi="Aptos Mono"/>
          <w:color w:val="1E4E63"/>
          <w:sz w:val="19"/>
        </w:rPr>
        <w:t>supporto-crittografico</w:t>
      </w:r>
      <w:r>
        <w:br/>
      </w:r>
      <w:r>
        <w:rPr>
          <w:b/>
          <w:color w:val="000000"/>
        </w:rPr>
        <w:t>Canale e tecnica:</w:t>
      </w:r>
      <w:r>
        <w:rPr>
          <w:color w:val="000000"/>
        </w:rPr>
        <w:t xml:space="preserve"> assistenza; quid pro quo</w:t>
      </w:r>
      <w:r>
        <w:br/>
      </w:r>
      <w:r>
        <w:rPr>
          <w:b/>
          <w:color w:val="000000"/>
        </w:rPr>
        <w:t>Livello di rischio simulato:</w:t>
      </w:r>
      <w:r>
        <w:rPr>
          <w:color w:val="000000"/>
        </w:rPr>
        <w:t xml:space="preserve"> alto</w:t>
      </w:r>
      <w:r>
        <w:br/>
      </w:r>
      <w:r>
        <w:rPr>
          <w:b/>
          <w:color w:val="000000"/>
        </w:rPr>
        <w:t>Principi di persuasione:</w:t>
      </w:r>
      <w:r>
        <w:rPr>
          <w:color w:val="000000"/>
        </w:rPr>
        <w:t xml:space="preserve"> reciprocità, autorità tecnica, urgenza</w:t>
      </w:r>
    </w:p>
    <w:p>
      <w:pPr>
        <w:pStyle w:val="Heading3"/>
        <w:keepNext/>
        <w:keepLines/>
      </w:pPr>
      <w:r>
        <w:rPr>
          <w:color w:val="000000"/>
        </w:rPr>
        <w:t>Contesto e obiettivo formativo</w:t>
      </w:r>
    </w:p>
    <w:p>
      <w:pPr>
        <w:widowControl/>
      </w:pPr>
      <w:r>
        <w:rPr>
          <w:color w:val="000000"/>
        </w:rPr>
        <w:t>Un presunto fornitore propone una correzione immediata per un dispositivo crittografico, promettendo di evitare un fermo tecnico. Chiede di installare un agente di teleassistenza non pianificato e di comunicare un'utenza con privilegi. Lo scenario valuta la capacità di proteggere il processo di change management anche sotto pressione.</w:t>
      </w:r>
    </w:p>
    <w:p>
      <w:pPr>
        <w:pStyle w:val="Heading3"/>
        <w:keepNext/>
        <w:keepLines/>
      </w:pPr>
      <w:r>
        <w:rPr>
          <w:color w:val="000000"/>
        </w:rPr>
        <w:t>Artefatto simulato</w:t>
      </w:r>
    </w:p>
    <w:p>
      <w:pPr>
        <w:pStyle w:val="ListBullet"/>
      </w:pPr>
      <w:r>
        <w:rPr>
          <w:color w:val="000000"/>
        </w:rPr>
        <w:t>Mittente dichiarato: “Service partner”.</w:t>
      </w:r>
    </w:p>
    <w:p>
      <w:pPr>
        <w:pStyle w:val="ListBullet"/>
      </w:pPr>
      <w:r>
        <w:rPr>
          <w:color w:val="000000"/>
        </w:rPr>
        <w:t xml:space="preserve">Ticket non verificato </w:t>
      </w:r>
      <w:r>
        <w:rPr>
          <w:rFonts w:ascii="Aptos Mono" w:hAnsi="Aptos Mono"/>
          <w:color w:val="1E4E63"/>
          <w:sz w:val="19"/>
        </w:rPr>
        <w:t>#88421</w:t>
      </w:r>
      <w:r>
        <w:rPr>
          <w:color w:val="000000"/>
        </w:rPr>
        <w:t>.</w:t>
      </w:r>
    </w:p>
    <w:p>
      <w:pPr>
        <w:pStyle w:val="ListBullet"/>
      </w:pPr>
      <w:r>
        <w:rPr>
          <w:color w:val="000000"/>
        </w:rPr>
        <w:t>Offerta di correzione immediata.</w:t>
      </w:r>
    </w:p>
    <w:p>
      <w:pPr>
        <w:pStyle w:val="ListBullet"/>
      </w:pPr>
      <w:r>
        <w:rPr>
          <w:color w:val="000000"/>
        </w:rPr>
        <w:t>Richiesta di agente remoto e utenza privilegiata.</w:t>
      </w:r>
    </w:p>
    <w:p>
      <w:pPr>
        <w:pStyle w:val="Heading3"/>
        <w:keepNext/>
        <w:keepLines/>
      </w:pPr>
      <w:r>
        <w:rPr>
          <w:color w:val="000000"/>
        </w:rPr>
        <w:t>Indicatori da riconoscere</w:t>
      </w:r>
    </w:p>
    <w:p>
      <w:pPr>
        <w:pStyle w:val="ListBullet"/>
      </w:pPr>
      <w:r>
        <w:rPr>
          <w:color w:val="000000"/>
        </w:rPr>
        <w:t>L'intervento non corrisponde a una richiesta aperta dal reparto.</w:t>
      </w:r>
    </w:p>
    <w:p>
      <w:pPr>
        <w:pStyle w:val="ListBullet"/>
      </w:pPr>
      <w:r>
        <w:rPr>
          <w:color w:val="000000"/>
        </w:rPr>
        <w:t>È proposto software remoto non approvato.</w:t>
      </w:r>
    </w:p>
    <w:p>
      <w:pPr>
        <w:pStyle w:val="ListBullet"/>
      </w:pPr>
      <w:r>
        <w:rPr>
          <w:color w:val="000000"/>
        </w:rPr>
        <w:t>Sono richieste credenziali o utenze con privilegi.</w:t>
      </w:r>
    </w:p>
    <w:p>
      <w:pPr>
        <w:pStyle w:val="ListBullet"/>
      </w:pPr>
      <w:r>
        <w:rPr>
          <w:color w:val="000000"/>
        </w:rPr>
        <w:t>L'offerta promette di aggirare il fermo e il normale processo di modifica.</w:t>
      </w:r>
    </w:p>
    <w:p>
      <w:pPr>
        <w:widowControl/>
      </w:pPr>
      <w:r>
        <w:rPr>
          <w:color w:val="000000"/>
        </w:rPr>
        <w:t>Un numero di ticket può essere inventato e deve essere controllato nel sistema ufficiale.</w:t>
      </w:r>
    </w:p>
    <w:p>
      <w:pPr>
        <w:pStyle w:val="Heading3"/>
        <w:keepNext/>
        <w:keepLines/>
      </w:pPr>
      <w:r>
        <w:rPr>
          <w:color w:val="000000"/>
        </w:rPr>
        <w:t>Risposta attesa</w:t>
      </w:r>
    </w:p>
    <w:p>
      <w:pPr>
        <w:widowControl/>
      </w:pPr>
      <w:r>
        <w:rPr>
          <w:color w:val="000000"/>
        </w:rPr>
        <w:t>Non installare software e non comunicare credenziali. Interrompere l'interazione e verificare contratto, ticket, identità del tecnico, finestra di manutenzione e autorizzazione mediante i referenti ufficiali.</w:t>
      </w:r>
    </w:p>
    <w:p>
      <w:pPr>
        <w:pStyle w:val="Heading3"/>
        <w:keepNext/>
        <w:keepLines/>
      </w:pPr>
      <w:r>
        <w:rPr>
          <w:color w:val="000000"/>
        </w:rPr>
        <w:t>Debriefing e difese</w:t>
      </w:r>
    </w:p>
    <w:p>
      <w:pPr>
        <w:widowControl/>
      </w:pPr>
      <w:r>
        <w:rPr>
          <w:color w:val="000000"/>
        </w:rPr>
        <w:t>Il vantaggio immediato offerto è il “quid” con cui si tenta di ottenere un accesso sproporzionato. Difese: allowlist del software, gestione dei fornitori, account nominativi e con privilegio minimo, change management e verifica formale degli interventi.</w:t>
      </w:r>
    </w:p>
    <w:p>
      <w:pPr>
        <w:widowControl/>
      </w:pPr>
      <w:r>
        <w:rPr>
          <w:b/>
          <w:color w:val="000000"/>
        </w:rPr>
        <w:t>Evidenza attesa nell'app:</w:t>
      </w:r>
      <w:r>
        <w:rPr>
          <w:color w:val="000000"/>
        </w:rPr>
        <w:t xml:space="preserve"> selezione dei quattro indicatori sospetti e decisione “Interrompi subito l'interazione”.</w:t>
      </w:r>
    </w:p>
    <w:p>
      <w:r>
        <w:br w:type="page"/>
      </w:r>
    </w:p>
    <w:p>
      <w:pPr>
        <w:pStyle w:val="Heading1"/>
        <w:keepNext/>
        <w:keepLines/>
      </w:pPr>
      <w:r>
        <w:rPr>
          <w:color w:val="000000"/>
        </w:rPr>
        <w:t>6. Criteri di valutazione</w:t>
      </w:r>
    </w:p>
    <w:p>
      <w:pPr>
        <w:widowControl/>
      </w:pPr>
      <w:r>
        <w:rPr>
          <w:color w:val="000000"/>
        </w:rPr>
        <w:t>Il punteggio massimo per ogni scenario è 100:</w:t>
      </w:r>
    </w:p>
    <w:p>
      <w:pPr>
        <w:pStyle w:val="ListBullet"/>
      </w:pPr>
      <w:r>
        <w:rPr>
          <w:b/>
          <w:color w:val="000000"/>
        </w:rPr>
        <w:t>Riconoscimento degli indicatori:</w:t>
      </w:r>
      <w:r>
        <w:rPr>
          <w:color w:val="000000"/>
        </w:rPr>
        <w:t xml:space="preserve"> fino a 70 punti, proporzionali agli indicatori sospetti correttamente selezionati.</w:t>
      </w:r>
    </w:p>
    <w:p>
      <w:pPr>
        <w:pStyle w:val="ListBullet"/>
      </w:pPr>
      <w:r>
        <w:rPr>
          <w:b/>
          <w:color w:val="000000"/>
        </w:rPr>
        <w:t>Decisione operativa:</w:t>
      </w:r>
      <w:r>
        <w:rPr>
          <w:color w:val="000000"/>
        </w:rPr>
        <w:t xml:space="preserve"> 30 punti se la decisione coincide con quella attesa.</w:t>
      </w:r>
    </w:p>
    <w:p>
      <w:pPr>
        <w:pStyle w:val="ListBullet"/>
      </w:pPr>
      <w:r>
        <w:rPr>
          <w:b/>
          <w:color w:val="000000"/>
        </w:rPr>
        <w:t>Falsi positivi:</w:t>
      </w:r>
      <w:r>
        <w:rPr>
          <w:color w:val="000000"/>
        </w:rPr>
        <w:t xml:space="preserve"> ogni dettaglio plausibile ma non sospetto selezionato sottrae 8 punti dalla componente indicatori.</w:t>
      </w:r>
    </w:p>
    <w:p>
      <w:pPr>
        <w:pStyle w:val="ListBullet"/>
      </w:pPr>
      <w:r>
        <w:rPr>
          <w:b/>
          <w:color w:val="000000"/>
        </w:rPr>
        <w:t>Esito:</w:t>
      </w:r>
      <w:r>
        <w:rPr>
          <w:color w:val="000000"/>
        </w:rPr>
        <w:t xml:space="preserve"> la soglia di superamento è 70 punti.</w:t>
      </w:r>
    </w:p>
    <w:p>
      <w:pPr>
        <w:widowControl/>
      </w:pPr>
      <w:r>
        <w:rPr>
          <w:color w:val="000000"/>
        </w:rPr>
        <w:t>Formula della componente indicatori: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C7D2DB"/>
          <w:left w:val="single" w:sz="5" w:space="0" w:color="C7D2DB"/>
          <w:bottom w:val="single" w:sz="5" w:space="0" w:color="C7D2DB"/>
          <w:right w:val="single" w:sz="5" w:space="0" w:color="C7D2DB"/>
          <w:insideH w:val="single" w:sz="5" w:space="0" w:color="C7D2DB"/>
          <w:insideV w:val="single" w:sz="5" w:space="0" w:color="C7D2DB"/>
        </w:tblBorders>
      </w:tblPr>
      <w:tblGrid>
        <w:gridCol w:w="10022"/>
      </w:tblGrid>
      <w:tr>
        <w:tc>
          <w:tcPr>
            <w:tcW w:type="dxa" w:w="10022"/>
            <w:shd w:fill="F5F7F9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sz w:val="17"/>
              </w:rPr>
              <w:t>arrotonda((indicatori corretti / indicatori sospetti totali) × 70 − falsi positivi × 8)</w:t>
            </w:r>
          </w:p>
        </w:tc>
      </w:tr>
    </w:tbl>
    <w:p>
      <w:pPr>
        <w:widowControl/>
      </w:pPr>
      <w:r>
        <w:rPr>
          <w:color w:val="000000"/>
        </w:rPr>
        <w:t>Il valore viene limitato all'intervallo 0–70. Il punteggio finale è la somma fra componente indicatori e componente decisione.</w:t>
      </w:r>
    </w:p>
    <w:p>
      <w:pPr>
        <w:widowControl/>
      </w:pPr>
      <w:r>
        <w:rPr>
          <w:color w:val="000000"/>
        </w:rPr>
        <w:t>Esempi interpretativi:</w:t>
      </w:r>
    </w:p>
    <w:p>
      <w:pPr>
        <w:pStyle w:val="ListBullet"/>
      </w:pPr>
      <w:r>
        <w:rPr>
          <w:color w:val="000000"/>
        </w:rPr>
        <w:t>tutti gli indicatori sospetti, nessun falso positivo e decisione corretta: 100;</w:t>
      </w:r>
    </w:p>
    <w:p>
      <w:pPr>
        <w:pStyle w:val="ListBullet"/>
      </w:pPr>
      <w:r>
        <w:rPr>
          <w:color w:val="000000"/>
        </w:rPr>
        <w:t>tutti gli indicatori sospetti, un falso positivo e decisione corretta: 92;</w:t>
      </w:r>
    </w:p>
    <w:p>
      <w:pPr>
        <w:pStyle w:val="ListBullet"/>
      </w:pPr>
      <w:r>
        <w:rPr>
          <w:color w:val="000000"/>
        </w:rPr>
        <w:t>tutti gli indicatori sospetti ma decisione errata: 70;</w:t>
      </w:r>
    </w:p>
    <w:p>
      <w:pPr>
        <w:pStyle w:val="ListBullet"/>
      </w:pPr>
      <w:r>
        <w:rPr>
          <w:color w:val="000000"/>
        </w:rPr>
        <w:t>metà degli indicatori e decisione corretta: circa 65, quindi l'esercitazione non è superata.</w:t>
      </w:r>
    </w:p>
    <w:p>
      <w:pPr>
        <w:widowControl/>
      </w:pPr>
      <w:r>
        <w:rPr>
          <w:color w:val="000000"/>
        </w:rPr>
        <w:t>Questa logica premia sia l'analisi sia l'azione. Il formatore deve comunque usare il punteggio come supporto al debriefing, non come unica misura di competenza.</w:t>
      </w:r>
    </w:p>
    <w:p>
      <w:pPr>
        <w:pStyle w:val="Heading1"/>
        <w:keepNext/>
        <w:keepLines/>
      </w:pPr>
      <w:r>
        <w:rPr>
          <w:color w:val="000000"/>
        </w:rPr>
        <w:t>7. Indice di preparazione</w:t>
      </w:r>
    </w:p>
    <w:p>
      <w:pPr>
        <w:widowControl/>
      </w:pPr>
      <w:r>
        <w:rPr>
          <w:color w:val="000000"/>
        </w:rPr>
        <w:t>Per ciascuno scenario conta solo il tentativo più recente. L'applicazione calcola:</w:t>
      </w:r>
    </w:p>
    <w:p>
      <w:pPr>
        <w:pStyle w:val="ListBullet"/>
      </w:pPr>
      <w:r>
        <w:rPr>
          <w:color w:val="000000"/>
        </w:rPr>
        <w:t>scenari completati su otto;</w:t>
      </w:r>
    </w:p>
    <w:p>
      <w:pPr>
        <w:pStyle w:val="ListBullet"/>
      </w:pPr>
      <w:r>
        <w:rPr>
          <w:color w:val="000000"/>
        </w:rPr>
        <w:t>media dei punteggi più recenti;</w:t>
      </w:r>
    </w:p>
    <w:p>
      <w:pPr>
        <w:pStyle w:val="ListBullet"/>
      </w:pPr>
      <w:r>
        <w:rPr>
          <w:color w:val="000000"/>
        </w:rPr>
        <w:t>numero di scenari superati;</w:t>
      </w:r>
    </w:p>
    <w:p>
      <w:pPr>
        <w:pStyle w:val="ListBullet"/>
      </w:pPr>
      <w:r>
        <w:rPr>
          <w:color w:val="000000"/>
        </w:rPr>
        <w:t>indice di preparazione.</w:t>
      </w:r>
    </w:p>
    <w:p>
      <w:pPr>
        <w:widowControl/>
      </w:pPr>
      <w:r>
        <w:rPr>
          <w:color w:val="000000"/>
        </w:rPr>
        <w:t>L'indice attribuisce il 45% alla copertura degli scenari e il 55% alla media ottenuta: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C7D2DB"/>
          <w:left w:val="single" w:sz="5" w:space="0" w:color="C7D2DB"/>
          <w:bottom w:val="single" w:sz="5" w:space="0" w:color="C7D2DB"/>
          <w:right w:val="single" w:sz="5" w:space="0" w:color="C7D2DB"/>
          <w:insideH w:val="single" w:sz="5" w:space="0" w:color="C7D2DB"/>
          <w:insideV w:val="single" w:sz="5" w:space="0" w:color="C7D2DB"/>
        </w:tblBorders>
      </w:tblPr>
      <w:tblGrid>
        <w:gridCol w:w="10022"/>
      </w:tblGrid>
      <w:tr>
        <w:tc>
          <w:tcPr>
            <w:tcW w:type="dxa" w:w="10022"/>
            <w:shd w:fill="F5F7F9"/>
            <w:tcMar>
              <w:top w:w="115" w:type="dxa"/>
              <w:start w:w="145" w:type="dxa"/>
              <w:bottom w:w="115" w:type="dxa"/>
              <w:end w:w="145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sz w:val="17"/>
              </w:rPr>
              <w:t>preparazione = arrotonda((scenari completati / 8) × 45 + (media / 100) × 55)</w:t>
            </w:r>
          </w:p>
        </w:tc>
      </w:tr>
    </w:tbl>
    <w:p>
      <w:pPr>
        <w:widowControl/>
      </w:pPr>
      <w:r>
        <w:rPr>
          <w:color w:val="000000"/>
        </w:rPr>
        <w:t>La copertura è quindi indispensabile: un ottimo risultato su pochi casi non equivale al completamento dell'intero percorso.</w:t>
      </w:r>
    </w:p>
    <w:p>
      <w:pPr>
        <w:pStyle w:val="Heading1"/>
        <w:keepNext/>
        <w:keepLines/>
      </w:pPr>
      <w:r>
        <w:rPr>
          <w:color w:val="000000"/>
        </w:rPr>
        <w:t>8. Modello delle difese a strati</w:t>
      </w:r>
    </w:p>
    <w:p>
      <w:pPr>
        <w:widowControl/>
      </w:pPr>
      <w:r>
        <w:rPr>
          <w:color w:val="000000"/>
        </w:rPr>
        <w:t>Il laboratorio difese parte da un rischio simulato pari a 92 e sottrae il peso dei controlli attivati. Il risultato è limitato fra 8 e 92. Il valore ha finalità esclusivamente didattica e non rappresenta una valutazione reale del rischio di un'organizzazione.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05"/>
        <w:gridCol w:w="2505"/>
        <w:gridCol w:w="2505"/>
        <w:gridCol w:w="2505"/>
      </w:tblGrid>
      <w:tr>
        <w:trPr>
          <w:tblHeader w:val="true"/>
        </w:trPr>
        <w:tc>
          <w:tcPr>
            <w:tcW w:type="dxa" w:w="250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6324F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Controllo</w:t>
            </w:r>
          </w:p>
        </w:tc>
        <w:tc>
          <w:tcPr>
            <w:tcW w:type="dxa" w:w="250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6324F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type="dxa" w:w="250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6324F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Vettori coperti</w:t>
            </w:r>
          </w:p>
        </w:tc>
        <w:tc>
          <w:tcPr>
            <w:tcW w:type="dxa" w:w="250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6324F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Funzione</w:t>
            </w:r>
          </w:p>
        </w:tc>
      </w:tr>
      <w:tr>
        <w:tc>
          <w:tcPr>
            <w:tcW w:type="dxa" w:w="250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Autenticazione e filtro e-mail</w:t>
            </w:r>
          </w:p>
        </w:tc>
        <w:tc>
          <w:tcPr>
            <w:tcW w:type="dxa" w:w="250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16</w:t>
            </w:r>
          </w:p>
        </w:tc>
        <w:tc>
          <w:tcPr>
            <w:tcW w:type="dxa" w:w="250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E-mail, Web</w:t>
            </w:r>
          </w:p>
        </w:tc>
        <w:tc>
          <w:tcPr>
            <w:tcW w:type="dxa" w:w="250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SPF, DKIM, DMARC, analisi allegati e anti-spam adattivo</w:t>
            </w:r>
          </w:p>
        </w:tc>
      </w:tr>
      <w:tr>
        <w:tc>
          <w:tcPr>
            <w:tcW w:type="dxa" w:w="250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6"/>
              </w:rPr>
              <w:t>DNS, blocklist e RBL</w:t>
            </w:r>
          </w:p>
        </w:tc>
        <w:tc>
          <w:tcPr>
            <w:tcW w:type="dxa" w:w="250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6"/>
              </w:rPr>
              <w:t>11</w:t>
            </w:r>
          </w:p>
        </w:tc>
        <w:tc>
          <w:tcPr>
            <w:tcW w:type="dxa" w:w="250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6"/>
              </w:rPr>
              <w:t>E-mail, SMS, Web</w:t>
            </w:r>
          </w:p>
        </w:tc>
        <w:tc>
          <w:tcPr>
            <w:tcW w:type="dxa" w:w="250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6"/>
              </w:rPr>
              <w:t>Blocco di domini, IP e mittenti associati a campagne malevole</w:t>
            </w:r>
          </w:p>
        </w:tc>
      </w:tr>
      <w:tr>
        <w:tc>
          <w:tcPr>
            <w:tcW w:type="dxa" w:w="250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MFA resistente al phishing</w:t>
            </w:r>
          </w:p>
        </w:tc>
        <w:tc>
          <w:tcPr>
            <w:tcW w:type="dxa" w:w="250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17</w:t>
            </w:r>
          </w:p>
        </w:tc>
        <w:tc>
          <w:tcPr>
            <w:tcW w:type="dxa" w:w="250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E-mail, Voce, Web</w:t>
            </w:r>
          </w:p>
        </w:tc>
        <w:tc>
          <w:tcPr>
            <w:tcW w:type="dxa" w:w="250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Riduzione dell'impatto della sottrazione di credenziali</w:t>
            </w:r>
          </w:p>
        </w:tc>
      </w:tr>
      <w:tr>
        <w:tc>
          <w:tcPr>
            <w:tcW w:type="dxa" w:w="250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6"/>
              </w:rPr>
              <w:t>Formazione continua</w:t>
            </w:r>
          </w:p>
        </w:tc>
        <w:tc>
          <w:tcPr>
            <w:tcW w:type="dxa" w:w="250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6"/>
              </w:rPr>
              <w:t>15</w:t>
            </w:r>
          </w:p>
        </w:tc>
        <w:tc>
          <w:tcPr>
            <w:tcW w:type="dxa" w:w="250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6"/>
              </w:rPr>
              <w:t>Tutti</w:t>
            </w:r>
          </w:p>
        </w:tc>
        <w:tc>
          <w:tcPr>
            <w:tcW w:type="dxa" w:w="250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6"/>
              </w:rPr>
              <w:t>Esercitazioni realistiche, feedback e aggiornamento periodico</w:t>
            </w:r>
          </w:p>
        </w:tc>
      </w:tr>
      <w:tr>
        <w:tc>
          <w:tcPr>
            <w:tcW w:type="dxa" w:w="250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Verifica fuori banda</w:t>
            </w:r>
          </w:p>
        </w:tc>
        <w:tc>
          <w:tcPr>
            <w:tcW w:type="dxa" w:w="250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14</w:t>
            </w:r>
          </w:p>
        </w:tc>
        <w:tc>
          <w:tcPr>
            <w:tcW w:type="dxa" w:w="250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E-mail, SMS, Voce, Social, Fisico</w:t>
            </w:r>
          </w:p>
        </w:tc>
        <w:tc>
          <w:tcPr>
            <w:tcW w:type="dxa" w:w="250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Conferma tramite recapiti e procedure già noti</w:t>
            </w:r>
          </w:p>
        </w:tc>
      </w:tr>
      <w:tr>
        <w:tc>
          <w:tcPr>
            <w:tcW w:type="dxa" w:w="250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6"/>
              </w:rPr>
              <w:t>Segnalazione e triage</w:t>
            </w:r>
          </w:p>
        </w:tc>
        <w:tc>
          <w:tcPr>
            <w:tcW w:type="dxa" w:w="250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6"/>
              </w:rPr>
              <w:t>10</w:t>
            </w:r>
          </w:p>
        </w:tc>
        <w:tc>
          <w:tcPr>
            <w:tcW w:type="dxa" w:w="250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6"/>
              </w:rPr>
              <w:t>Tutti</w:t>
            </w:r>
          </w:p>
        </w:tc>
        <w:tc>
          <w:tcPr>
            <w:tcW w:type="dxa" w:w="250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6"/>
              </w:rPr>
              <w:t>Canale rapido e non punitivo verso il referente di sicurezza</w:t>
            </w:r>
          </w:p>
        </w:tc>
      </w:tr>
      <w:tr>
        <w:tc>
          <w:tcPr>
            <w:tcW w:type="dxa" w:w="250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Controllo accessi e supporti</w:t>
            </w:r>
          </w:p>
        </w:tc>
        <w:tc>
          <w:tcPr>
            <w:tcW w:type="dxa" w:w="250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9</w:t>
            </w:r>
          </w:p>
        </w:tc>
        <w:tc>
          <w:tcPr>
            <w:tcW w:type="dxa" w:w="250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Fisico, Supporto</w:t>
            </w:r>
          </w:p>
        </w:tc>
        <w:tc>
          <w:tcPr>
            <w:tcW w:type="dxa" w:w="2505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6"/>
              </w:rPr>
              <w:t>Accesso individuale, inventario e regole sui supporti rimovibili</w:t>
            </w:r>
          </w:p>
        </w:tc>
      </w:tr>
    </w:tbl>
    <w:p>
      <w:pPr>
        <w:spacing w:after="20"/>
      </w:pPr>
    </w:p>
    <w:p>
      <w:pPr>
        <w:widowControl/>
      </w:pPr>
      <w:r>
        <w:rPr>
          <w:color w:val="000000"/>
        </w:rPr>
        <w:t>Sono previste due sinergie: MFA più formazione riducono ulteriormente il rischio simulato di 4 punti; verifica fuori banda più reporting lo riducono di altri 3 punti. La configurazione iniziale attiva tutti i controlli tranne “Controllo accessi e supporti”.</w:t>
      </w:r>
    </w:p>
    <w:p>
      <w:pPr>
        <w:pStyle w:val="Heading1"/>
        <w:keepNext/>
        <w:keepLines/>
      </w:pPr>
      <w:r>
        <w:rPr>
          <w:color w:val="000000"/>
        </w:rPr>
        <w:t>9. Procedura trasversale di risposta</w:t>
      </w:r>
    </w:p>
    <w:p>
      <w:pPr>
        <w:widowControl/>
      </w:pPr>
      <w:r>
        <w:rPr>
          <w:color w:val="000000"/>
        </w:rPr>
        <w:t>La risposta può essere ricordata con cinque verbi:</w:t>
      </w:r>
    </w:p>
    <w:p>
      <w:pPr>
        <w:spacing w:after="50"/>
        <w:ind w:left="389" w:hanging="389"/>
      </w:pPr>
      <w:r>
        <w:rPr>
          <w:rFonts w:ascii="Aptos" w:hAnsi="Aptos"/>
          <w:sz w:val="20"/>
        </w:rPr>
        <w:t>1.</w:t>
        <w:tab/>
      </w:r>
      <w:r>
        <w:rPr>
          <w:b/>
          <w:color w:val="000000"/>
        </w:rPr>
        <w:t>Sospendi:</w:t>
      </w:r>
      <w:r>
        <w:rPr>
          <w:color w:val="000000"/>
        </w:rPr>
        <w:t xml:space="preserve"> interrompere l'automatismo e non eseguire l'azione richiesta.</w:t>
      </w:r>
    </w:p>
    <w:p>
      <w:pPr>
        <w:spacing w:after="50"/>
        <w:ind w:left="389" w:hanging="389"/>
      </w:pPr>
      <w:r>
        <w:rPr>
          <w:rFonts w:ascii="Aptos" w:hAnsi="Aptos"/>
          <w:sz w:val="20"/>
        </w:rPr>
        <w:t>2.</w:t>
        <w:tab/>
      </w:r>
      <w:r>
        <w:rPr>
          <w:b/>
          <w:color w:val="000000"/>
        </w:rPr>
        <w:t>Isola:</w:t>
      </w:r>
      <w:r>
        <w:rPr>
          <w:color w:val="000000"/>
        </w:rPr>
        <w:t xml:space="preserve"> evitare interazioni ulteriori con link, allegati, dispositivi, account o persone non verificati.</w:t>
      </w:r>
    </w:p>
    <w:p>
      <w:pPr>
        <w:spacing w:after="50"/>
        <w:ind w:left="389" w:hanging="389"/>
      </w:pPr>
      <w:r>
        <w:rPr>
          <w:rFonts w:ascii="Aptos" w:hAnsi="Aptos"/>
          <w:sz w:val="20"/>
        </w:rPr>
        <w:t>3.</w:t>
        <w:tab/>
      </w:r>
      <w:r>
        <w:rPr>
          <w:b/>
          <w:color w:val="000000"/>
        </w:rPr>
        <w:t>Verifica:</w:t>
      </w:r>
      <w:r>
        <w:rPr>
          <w:color w:val="000000"/>
        </w:rPr>
        <w:t xml:space="preserve"> usare esclusivamente recapiti, portali, registri e referenti già conosciuti.</w:t>
      </w:r>
    </w:p>
    <w:p>
      <w:pPr>
        <w:spacing w:after="50"/>
        <w:ind w:left="389" w:hanging="389"/>
      </w:pPr>
      <w:r>
        <w:rPr>
          <w:rFonts w:ascii="Aptos" w:hAnsi="Aptos"/>
          <w:sz w:val="20"/>
        </w:rPr>
        <w:t>4.</w:t>
        <w:tab/>
      </w:r>
      <w:r>
        <w:rPr>
          <w:b/>
          <w:color w:val="000000"/>
        </w:rPr>
        <w:t>Segnala:</w:t>
      </w:r>
      <w:r>
        <w:rPr>
          <w:color w:val="000000"/>
        </w:rPr>
        <w:t xml:space="preserve"> trasmettere gli elementi utili al canale previsto, senza ampliare inutilmente la diffusione.</w:t>
      </w:r>
    </w:p>
    <w:p>
      <w:pPr>
        <w:spacing w:after="50"/>
        <w:ind w:left="389" w:hanging="389"/>
      </w:pPr>
      <w:r>
        <w:rPr>
          <w:rFonts w:ascii="Aptos" w:hAnsi="Aptos"/>
          <w:sz w:val="20"/>
        </w:rPr>
        <w:t>5.</w:t>
        <w:tab/>
      </w:r>
      <w:r>
        <w:rPr>
          <w:b/>
          <w:color w:val="000000"/>
        </w:rPr>
        <w:t>Riprendi:</w:t>
      </w:r>
      <w:r>
        <w:rPr>
          <w:color w:val="000000"/>
        </w:rPr>
        <w:t xml:space="preserve"> procedere solo dopo una conferma valida o secondo le indicazioni del responsabile competente.</w:t>
      </w:r>
    </w:p>
    <w:p>
      <w:pPr>
        <w:widowControl/>
      </w:pPr>
      <w:r>
        <w:rPr>
          <w:color w:val="000000"/>
        </w:rPr>
        <w:t>Le evidenze minime utili possono comprendere data e ora, canale, mittente visualizzato, testo o screenshot, URL neutralizzato, decisioni già prese e sistemi eventualmente coinvolti. Non inserire nel report dell'app credenziali, codici MFA, dati classificati o informazioni operative non necessarie.</w:t>
      </w:r>
    </w:p>
    <w:p>
      <w:pPr>
        <w:pStyle w:val="Heading1"/>
        <w:keepNext/>
        <w:keepLines/>
      </w:pPr>
      <w:r>
        <w:rPr>
          <w:color w:val="000000"/>
        </w:rPr>
        <w:t>10. Dati, privacy ed esportazione</w:t>
      </w:r>
    </w:p>
    <w:p>
      <w:pPr>
        <w:widowControl/>
      </w:pPr>
      <w:r>
        <w:rPr>
          <w:color w:val="000000"/>
        </w:rPr>
        <w:t>NAVIS funziona nel browser e non prevede trasmissione dei risultati. I progressi sono memorizzati localmente nel browser. L'utente può esportare un report JSON contenente:</w:t>
      </w:r>
    </w:p>
    <w:p>
      <w:pPr>
        <w:pStyle w:val="ListBullet"/>
      </w:pPr>
      <w:r>
        <w:rPr>
          <w:color w:val="000000"/>
        </w:rPr>
        <w:t>nome dell'applicazione e data di generazione;</w:t>
      </w:r>
    </w:p>
    <w:p>
      <w:pPr>
        <w:pStyle w:val="ListBullet"/>
      </w:pPr>
      <w:r>
        <w:rPr>
          <w:color w:val="000000"/>
        </w:rPr>
        <w:t>informativa sull'elaborazione locale;</w:t>
      </w:r>
    </w:p>
    <w:p>
      <w:pPr>
        <w:pStyle w:val="ListBullet"/>
      </w:pPr>
      <w:r>
        <w:rPr>
          <w:color w:val="000000"/>
        </w:rPr>
        <w:t>riepilogo del percorso;</w:t>
      </w:r>
    </w:p>
    <w:p>
      <w:pPr>
        <w:pStyle w:val="ListBullet"/>
      </w:pPr>
      <w:r>
        <w:rPr>
          <w:color w:val="000000"/>
        </w:rPr>
        <w:t>rischio residuo simulato;</w:t>
      </w:r>
    </w:p>
    <w:p>
      <w:pPr>
        <w:pStyle w:val="ListBullet"/>
      </w:pPr>
      <w:r>
        <w:rPr>
          <w:color w:val="000000"/>
        </w:rPr>
        <w:t>difese attive;</w:t>
      </w:r>
    </w:p>
    <w:p>
      <w:pPr>
        <w:pStyle w:val="ListBullet"/>
      </w:pPr>
      <w:r>
        <w:rPr>
          <w:color w:val="000000"/>
        </w:rPr>
        <w:t>tentativi effettuati, segnali selezionati, decisione e punteggio.</w:t>
      </w:r>
    </w:p>
    <w:p>
      <w:pPr>
        <w:widowControl/>
      </w:pPr>
      <w:r>
        <w:rPr>
          <w:color w:val="000000"/>
        </w:rPr>
        <w:t>Per l'uso organizzativo si raccomanda di definire prima della sessione: finalità, responsabile del trattamento, durata di conservazione, regole di pseudonimizzazione e destinatari dei risultati. L'applicazione non richiede nomi, matricole o altri identificativi personali.</w:t>
      </w:r>
    </w:p>
    <w:p>
      <w:pPr>
        <w:pStyle w:val="Heading1"/>
        <w:keepNext/>
        <w:keepLines/>
      </w:pPr>
      <w:r>
        <w:rPr>
          <w:color w:val="000000"/>
        </w:rPr>
        <w:t>11. Conduzione consigliata della sessione</w:t>
      </w:r>
    </w:p>
    <w:p>
      <w:pPr>
        <w:pStyle w:val="Heading2"/>
        <w:keepNext/>
        <w:keepLines/>
      </w:pPr>
      <w:r>
        <w:rPr>
          <w:color w:val="000000"/>
        </w:rPr>
        <w:t>Prima dell'esercitazione</w:t>
      </w:r>
    </w:p>
    <w:p>
      <w:pPr>
        <w:pStyle w:val="ListBullet"/>
      </w:pPr>
      <w:r>
        <w:rPr>
          <w:color w:val="000000"/>
        </w:rPr>
        <w:t>Definire obiettivi, pubblico e durata.</w:t>
      </w:r>
    </w:p>
    <w:p>
      <w:pPr>
        <w:pStyle w:val="ListBullet"/>
      </w:pPr>
      <w:r>
        <w:rPr>
          <w:color w:val="000000"/>
        </w:rPr>
        <w:t>Dichiarare che tutti gli artefatti sono simulati e neutralizzati.</w:t>
      </w:r>
    </w:p>
    <w:p>
      <w:pPr>
        <w:pStyle w:val="ListBullet"/>
      </w:pPr>
      <w:r>
        <w:rPr>
          <w:color w:val="000000"/>
        </w:rPr>
        <w:t>Chiarire il canale reale da usare in caso di segnalazioni o dubbi emersi durante la sessione.</w:t>
      </w:r>
    </w:p>
    <w:p>
      <w:pPr>
        <w:pStyle w:val="ListBullet"/>
      </w:pPr>
      <w:r>
        <w:rPr>
          <w:color w:val="000000"/>
        </w:rPr>
        <w:t>Verificare che il browser sia supportato e che l'ambiente locale non contenga dati operativi.</w:t>
      </w:r>
    </w:p>
    <w:p>
      <w:pPr>
        <w:pStyle w:val="Heading2"/>
        <w:keepNext/>
        <w:keepLines/>
      </w:pPr>
      <w:r>
        <w:rPr>
          <w:color w:val="000000"/>
        </w:rPr>
        <w:t>Durante l'esercitazione</w:t>
      </w:r>
    </w:p>
    <w:p>
      <w:pPr>
        <w:pStyle w:val="ListBullet"/>
      </w:pPr>
      <w:r>
        <w:rPr>
          <w:color w:val="000000"/>
        </w:rPr>
        <w:t>Lasciare all'utente il tempo di osservare senza anticipare la risposta.</w:t>
      </w:r>
    </w:p>
    <w:p>
      <w:pPr>
        <w:pStyle w:val="ListBullet"/>
      </w:pPr>
      <w:r>
        <w:rPr>
          <w:color w:val="000000"/>
        </w:rPr>
        <w:t>Chiedere di motivare gli indicatori scelti.</w:t>
      </w:r>
    </w:p>
    <w:p>
      <w:pPr>
        <w:pStyle w:val="ListBullet"/>
      </w:pPr>
      <w:r>
        <w:rPr>
          <w:color w:val="000000"/>
        </w:rPr>
        <w:t>Annotare soprattutto gli errori di ragionamento: fiducia nel lucchetto, nel nome del mittente, nell'uniforme o nel linguaggio tecnico.</w:t>
      </w:r>
    </w:p>
    <w:p>
      <w:pPr>
        <w:pStyle w:val="ListBullet"/>
      </w:pPr>
      <w:r>
        <w:rPr>
          <w:color w:val="000000"/>
        </w:rPr>
        <w:t>Interrompere immediatamente qualsiasi tentativo di applicare la simulazione a sistemi o persone reali.</w:t>
      </w:r>
    </w:p>
    <w:p>
      <w:pPr>
        <w:pStyle w:val="Heading2"/>
        <w:keepNext/>
        <w:keepLines/>
      </w:pPr>
      <w:r>
        <w:rPr>
          <w:color w:val="000000"/>
        </w:rPr>
        <w:t>Dopo l'esercitazione</w:t>
      </w:r>
    </w:p>
    <w:p>
      <w:pPr>
        <w:pStyle w:val="ListBullet"/>
      </w:pPr>
      <w:r>
        <w:rPr>
          <w:color w:val="000000"/>
        </w:rPr>
        <w:t>Rivedere gli scenari non superati e gli indicatori mancati.</w:t>
      </w:r>
    </w:p>
    <w:p>
      <w:pPr>
        <w:pStyle w:val="ListBullet"/>
      </w:pPr>
      <w:r>
        <w:rPr>
          <w:color w:val="000000"/>
        </w:rPr>
        <w:t>Confrontare le risposte generali con le procedure ufficiali dell'ente.</w:t>
      </w:r>
    </w:p>
    <w:p>
      <w:pPr>
        <w:pStyle w:val="ListBullet"/>
      </w:pPr>
      <w:r>
        <w:rPr>
          <w:color w:val="000000"/>
        </w:rPr>
        <w:t>Esportare il JSON solo se serve e conservarlo secondo le regole stabilite.</w:t>
      </w:r>
    </w:p>
    <w:p>
      <w:pPr>
        <w:pStyle w:val="ListBullet"/>
      </w:pPr>
      <w:r>
        <w:rPr>
          <w:color w:val="000000"/>
        </w:rPr>
        <w:t>Trasformare le lacune ricorrenti in azioni formative, non in attribuzioni punitive individuali.</w:t>
      </w:r>
    </w:p>
    <w:p>
      <w:pPr>
        <w:pStyle w:val="Heading1"/>
        <w:keepNext/>
        <w:keepLines/>
      </w:pPr>
      <w:r>
        <w:rPr>
          <w:color w:val="000000"/>
        </w:rPr>
        <w:t>12. Criteri di accettazione e verifica</w:t>
      </w:r>
    </w:p>
    <w:p>
      <w:pPr>
        <w:widowControl/>
      </w:pPr>
      <w:r>
        <w:rPr>
          <w:color w:val="000000"/>
        </w:rPr>
        <w:t>Il sistema è considerato correttamente documentato quando:</w:t>
      </w:r>
    </w:p>
    <w:p>
      <w:pPr>
        <w:pStyle w:val="ListBullet"/>
      </w:pPr>
      <w:r>
        <w:rPr>
          <w:color w:val="000000"/>
        </w:rPr>
        <w:t>tutti gli otto scenari sono disponibili e coerenti con le schede di questo report;</w:t>
      </w:r>
    </w:p>
    <w:p>
      <w:pPr>
        <w:pStyle w:val="ListBullet"/>
      </w:pPr>
      <w:r>
        <w:rPr>
          <w:color w:val="000000"/>
        </w:rPr>
        <w:t>ogni scenario presenta artefatto, segnali, decisione, punteggio e debriefing;</w:t>
      </w:r>
    </w:p>
    <w:p>
      <w:pPr>
        <w:pStyle w:val="ListBullet"/>
      </w:pPr>
      <w:r>
        <w:rPr>
          <w:color w:val="000000"/>
        </w:rPr>
        <w:t>i collegamenti e i domini dimostrativi non sono attivi;</w:t>
      </w:r>
    </w:p>
    <w:p>
      <w:pPr>
        <w:pStyle w:val="ListBullet"/>
      </w:pPr>
      <w:r>
        <w:rPr>
          <w:color w:val="000000"/>
        </w:rPr>
        <w:t>il calcolo del punteggio rispetta le formule documentate;</w:t>
      </w:r>
    </w:p>
    <w:p>
      <w:pPr>
        <w:pStyle w:val="ListBullet"/>
      </w:pPr>
      <w:r>
        <w:rPr>
          <w:color w:val="000000"/>
        </w:rPr>
        <w:t>il laboratorio difese produce valori compresi fra 8 e 92;</w:t>
      </w:r>
    </w:p>
    <w:p>
      <w:pPr>
        <w:pStyle w:val="ListBullet"/>
      </w:pPr>
      <w:r>
        <w:rPr>
          <w:color w:val="000000"/>
        </w:rPr>
        <w:t>il report JSON viene generato localmente senza richieste di rete;</w:t>
      </w:r>
    </w:p>
    <w:p>
      <w:pPr>
        <w:pStyle w:val="ListBullet"/>
      </w:pPr>
      <w:r>
        <w:rPr>
          <w:color w:val="000000"/>
        </w:rPr>
        <w:t>il progetto può essere avviato e testato seguendo il README.</w:t>
      </w:r>
    </w:p>
    <w:p>
      <w:pPr>
        <w:widowControl/>
      </w:pPr>
      <w:r>
        <w:rPr>
          <w:color w:val="000000"/>
        </w:rPr>
        <w:t>I test automatici verificano numero e unicità degli scenari, punteggi perfetti, penalità per falsi positivi, deduplicazione dei tentativi, sinergie tra difese e struttura del report esportato.</w:t>
      </w:r>
    </w:p>
    <w:p>
      <w:pPr>
        <w:pStyle w:val="Heading1"/>
        <w:keepNext/>
        <w:keepLines/>
      </w:pPr>
      <w:r>
        <w:rPr>
          <w:color w:val="000000"/>
        </w:rPr>
        <w:t>13. Limiti del modello</w:t>
      </w:r>
    </w:p>
    <w:p>
      <w:pPr>
        <w:pStyle w:val="ListBullet"/>
      </w:pPr>
      <w:r>
        <w:rPr>
          <w:color w:val="000000"/>
        </w:rPr>
        <w:t>Gli scenari sono didattici e non coprono ogni minaccia, ruolo o procedura possibile.</w:t>
      </w:r>
    </w:p>
    <w:p>
      <w:pPr>
        <w:pStyle w:val="ListBullet"/>
      </w:pPr>
      <w:r>
        <w:rPr>
          <w:color w:val="000000"/>
        </w:rPr>
        <w:t>Il rischio residuo è un indicatore dimostrativo, non una misura quantitativa certificata.</w:t>
      </w:r>
    </w:p>
    <w:p>
      <w:pPr>
        <w:pStyle w:val="ListBullet"/>
      </w:pPr>
      <w:r>
        <w:rPr>
          <w:color w:val="000000"/>
        </w:rPr>
        <w:t>Il punteggio valuta scelte all'interno dell'interfaccia, non tempi di reazione, comunicazione di squadra o comportamento in un incidente reale.</w:t>
      </w:r>
    </w:p>
    <w:p>
      <w:pPr>
        <w:pStyle w:val="ListBullet"/>
      </w:pPr>
      <w:r>
        <w:rPr>
          <w:color w:val="000000"/>
        </w:rPr>
        <w:t>La risposta attesa deve essere adattata alle direttive effettive dell'organizzazione.</w:t>
      </w:r>
    </w:p>
    <w:p>
      <w:pPr>
        <w:pStyle w:val="ListBullet"/>
      </w:pPr>
      <w:r>
        <w:rPr>
          <w:color w:val="000000"/>
        </w:rPr>
        <w:t>Il sistema non effettua integrazioni con directory, SIEM, posta elettronica, ticketing o infrastrutture operative.</w:t>
      </w:r>
    </w:p>
    <w:p>
      <w:pPr>
        <w:pStyle w:val="ListBullet"/>
      </w:pPr>
      <w:r>
        <w:rPr>
          <w:color w:val="000000"/>
        </w:rPr>
        <w:t>L'applicazione non deve essere collegata a reti o dati classificati senza una valutazione e un'autorizzazione specifiche.</w:t>
      </w:r>
    </w:p>
    <w:p>
      <w:pPr>
        <w:pStyle w:val="Heading1"/>
        <w:keepNext/>
        <w:keepLines/>
      </w:pPr>
      <w:r>
        <w:rPr>
          <w:color w:val="000000"/>
        </w:rPr>
        <w:t>14. Tracciabilità rispetto alla tesi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6324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Tema di origine</w:t>
            </w:r>
          </w:p>
        </w:tc>
        <w:tc>
          <w:tcPr>
            <w:tcW w:type="dxa" w:w="501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16324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Traduzione nel sistema</w:t>
            </w:r>
          </w:p>
        </w:tc>
      </w:tr>
      <w:tr>
        <w:tc>
          <w:tcPr>
            <w:tcW w:type="dxa" w:w="501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>Principi di persuasione: autorità, urgenza, familiarità, reciprocità</w:t>
            </w:r>
          </w:p>
        </w:tc>
        <w:tc>
          <w:tcPr>
            <w:tcW w:type="dxa" w:w="501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>Etichette didattiche, costruzione del contesto e domande di debriefing</w:t>
            </w:r>
          </w:p>
        </w:tc>
      </w:tr>
      <w:tr>
        <w:tc>
          <w:tcPr>
            <w:tcW w:type="dxa" w:w="501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8"/>
              </w:rPr>
              <w:t>Pretexting, phishing, baiting, tailgating, quid pro quo</w:t>
            </w:r>
          </w:p>
        </w:tc>
        <w:tc>
          <w:tcPr>
            <w:tcW w:type="dxa" w:w="501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8"/>
              </w:rPr>
              <w:t>Otto scenari interattivi con vettori digitali e fisici</w:t>
            </w:r>
          </w:p>
        </w:tc>
      </w:tr>
      <w:tr>
        <w:tc>
          <w:tcPr>
            <w:tcW w:type="dxa" w:w="501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>E-mail, SMS, voce e social media</w:t>
            </w:r>
          </w:p>
        </w:tc>
        <w:tc>
          <w:tcPr>
            <w:tcW w:type="dxa" w:w="501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>Scenari 1–4 e controlli di verifica specifici per canale</w:t>
            </w:r>
          </w:p>
        </w:tc>
      </w:tr>
      <w:tr>
        <w:tc>
          <w:tcPr>
            <w:tcW w:type="dxa" w:w="501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8"/>
              </w:rPr>
              <w:t>Clonazione delle interfacce e manipolazione degli URL</w:t>
            </w:r>
          </w:p>
        </w:tc>
        <w:tc>
          <w:tcPr>
            <w:tcW w:type="dxa" w:w="501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8"/>
              </w:rPr>
              <w:t>Scenario 5 e addestramento alla lettura del dominio registrabile</w:t>
            </w:r>
          </w:p>
        </w:tc>
      </w:tr>
      <w:tr>
        <w:tc>
          <w:tcPr>
            <w:tcW w:type="dxa" w:w="501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>Raccolta di informazioni pubbliche</w:t>
            </w:r>
          </w:p>
        </w:tc>
        <w:tc>
          <w:tcPr>
            <w:tcW w:type="dxa" w:w="501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>Scenario 4 e indicazioni di disciplina OSINT</w:t>
            </w:r>
          </w:p>
        </w:tc>
      </w:tr>
      <w:tr>
        <w:tc>
          <w:tcPr>
            <w:tcW w:type="dxa" w:w="501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8"/>
              </w:rPr>
              <w:t>Furto di credenziali e abuso dell'autenticazione</w:t>
            </w:r>
          </w:p>
        </w:tc>
        <w:tc>
          <w:tcPr>
            <w:tcW w:type="dxa" w:w="501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8"/>
              </w:rPr>
              <w:t>Scenari 1, 3, 5 e 8; enfasi su MFA resistente al phishing</w:t>
            </w:r>
          </w:p>
        </w:tc>
      </w:tr>
      <w:tr>
        <w:tc>
          <w:tcPr>
            <w:tcW w:type="dxa" w:w="501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>Anti-spam, autenticazione e-mail, DNS e blocklist</w:t>
            </w:r>
          </w:p>
        </w:tc>
        <w:tc>
          <w:tcPr>
            <w:tcW w:type="dxa" w:w="501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>Laboratorio difese e contromisure degli scenari digitali</w:t>
            </w:r>
          </w:p>
        </w:tc>
      </w:tr>
      <w:tr>
        <w:tc>
          <w:tcPr>
            <w:tcW w:type="dxa" w:w="501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8"/>
              </w:rPr>
              <w:t>Awareness, simulazioni periodiche e formazione</w:t>
            </w:r>
          </w:p>
        </w:tc>
        <w:tc>
          <w:tcPr>
            <w:tcW w:type="dxa" w:w="5011"/>
            <w:vAlign w:val="center"/>
            <w:tcMar>
              <w:top w:w="75" w:type="dxa"/>
              <w:start w:w="80" w:type="dxa"/>
              <w:bottom w:w="75" w:type="dxa"/>
              <w:end w:w="80" w:type="dxa"/>
            </w:tcMar>
            <w:shd w:fill="F5F7F9"/>
          </w:tcPr>
          <w:p>
            <w:pPr>
              <w:spacing w:after="0"/>
            </w:pPr>
            <w:r>
              <w:rPr>
                <w:color w:val="000000"/>
                <w:sz w:val="18"/>
              </w:rPr>
              <w:t>Ciclo esposizione–decisione–feedback, punteggio e indice di preparazione</w:t>
            </w:r>
          </w:p>
        </w:tc>
      </w:tr>
    </w:tbl>
    <w:p>
      <w:pPr>
        <w:spacing w:after="20"/>
      </w:pPr>
    </w:p>
    <w:p>
      <w:pPr>
        <w:widowControl/>
      </w:pPr>
      <w:r>
        <w:rPr>
          <w:color w:val="000000"/>
        </w:rPr>
        <w:t>La tesi è stata usata come fonte tematica e concettuale. Gli scenari, i nomi e le situazioni operative sono elaborazioni originali e fittizie realizzate esclusivamente per il prototipo.</w:t>
      </w:r>
    </w:p>
    <w:p>
      <w:pPr>
        <w:pStyle w:val="Heading1"/>
        <w:keepNext/>
        <w:keepLines/>
      </w:pPr>
      <w:r>
        <w:rPr>
          <w:color w:val="000000"/>
        </w:rPr>
        <w:t>15. Glossario essenziale</w:t>
      </w:r>
    </w:p>
    <w:p>
      <w:pPr>
        <w:pStyle w:val="ListBullet"/>
      </w:pPr>
      <w:r>
        <w:rPr>
          <w:b/>
          <w:color w:val="000000"/>
        </w:rPr>
        <w:t>Baiting:</w:t>
      </w:r>
      <w:r>
        <w:rPr>
          <w:color w:val="000000"/>
        </w:rPr>
        <w:t xml:space="preserve"> uso di un'esca, spesso un contenuto o un oggetto attraente, per indurre un'azione rischiosa.</w:t>
      </w:r>
    </w:p>
    <w:p>
      <w:pPr>
        <w:pStyle w:val="ListBullet"/>
      </w:pPr>
      <w:r>
        <w:rPr>
          <w:b/>
          <w:color w:val="000000"/>
        </w:rPr>
        <w:t>MFA:</w:t>
      </w:r>
      <w:r>
        <w:rPr>
          <w:color w:val="000000"/>
        </w:rPr>
        <w:t xml:space="preserve"> autenticazione a più fattori. Un codice temporaneo non deve essere comunicato a terzi.</w:t>
      </w:r>
    </w:p>
    <w:p>
      <w:pPr>
        <w:pStyle w:val="ListBullet"/>
      </w:pPr>
      <w:r>
        <w:rPr>
          <w:b/>
          <w:color w:val="000000"/>
        </w:rPr>
        <w:t>OSINT:</w:t>
      </w:r>
      <w:r>
        <w:rPr>
          <w:color w:val="000000"/>
        </w:rPr>
        <w:t xml:space="preserve"> raccolta e analisi di informazioni disponibili da fonti aperte.</w:t>
      </w:r>
    </w:p>
    <w:p>
      <w:pPr>
        <w:pStyle w:val="ListBullet"/>
      </w:pPr>
      <w:r>
        <w:rPr>
          <w:b/>
          <w:color w:val="000000"/>
        </w:rPr>
        <w:t>Pretexting:</w:t>
      </w:r>
      <w:r>
        <w:rPr>
          <w:color w:val="000000"/>
        </w:rPr>
        <w:t xml:space="preserve"> costruzione di un'identità o di una situazione plausibile per ottenere fiducia o informazioni.</w:t>
      </w:r>
    </w:p>
    <w:p>
      <w:pPr>
        <w:pStyle w:val="ListBullet"/>
      </w:pPr>
      <w:r>
        <w:rPr>
          <w:b/>
          <w:color w:val="000000"/>
        </w:rPr>
        <w:t>Quid pro quo:</w:t>
      </w:r>
      <w:r>
        <w:rPr>
          <w:color w:val="000000"/>
        </w:rPr>
        <w:t xml:space="preserve"> promessa di un beneficio o di un servizio in cambio di accesso, informazioni o azioni.</w:t>
      </w:r>
    </w:p>
    <w:p>
      <w:pPr>
        <w:pStyle w:val="ListBullet"/>
      </w:pPr>
      <w:r>
        <w:rPr>
          <w:b/>
          <w:color w:val="000000"/>
        </w:rPr>
        <w:t>Smishing:</w:t>
      </w:r>
      <w:r>
        <w:rPr>
          <w:color w:val="000000"/>
        </w:rPr>
        <w:t xml:space="preserve"> phishing veicolato tramite SMS o messaggistica mobile.</w:t>
      </w:r>
    </w:p>
    <w:p>
      <w:pPr>
        <w:pStyle w:val="ListBullet"/>
      </w:pPr>
      <w:r>
        <w:rPr>
          <w:b/>
          <w:color w:val="000000"/>
        </w:rPr>
        <w:t>Spear phishing:</w:t>
      </w:r>
      <w:r>
        <w:rPr>
          <w:color w:val="000000"/>
        </w:rPr>
        <w:t xml:space="preserve"> messaggio mirato costruito usando informazioni sul destinatario o sul suo contesto.</w:t>
      </w:r>
    </w:p>
    <w:p>
      <w:pPr>
        <w:pStyle w:val="ListBullet"/>
      </w:pPr>
      <w:r>
        <w:rPr>
          <w:b/>
          <w:color w:val="000000"/>
        </w:rPr>
        <w:t>Spoofing:</w:t>
      </w:r>
      <w:r>
        <w:rPr>
          <w:color w:val="000000"/>
        </w:rPr>
        <w:t xml:space="preserve"> falsificazione o manipolazione di un identificativo visualizzato, come numero o mittente.</w:t>
      </w:r>
    </w:p>
    <w:p>
      <w:pPr>
        <w:pStyle w:val="ListBullet"/>
      </w:pPr>
      <w:r>
        <w:rPr>
          <w:b/>
          <w:color w:val="000000"/>
        </w:rPr>
        <w:t>Tailgating:</w:t>
      </w:r>
      <w:r>
        <w:rPr>
          <w:color w:val="000000"/>
        </w:rPr>
        <w:t xml:space="preserve"> ingresso in un'area controllata sfruttando l'accesso autorizzato di un'altra persona.</w:t>
      </w:r>
    </w:p>
    <w:p>
      <w:pPr>
        <w:pStyle w:val="ListBullet"/>
      </w:pPr>
      <w:r>
        <w:rPr>
          <w:b/>
          <w:color w:val="000000"/>
        </w:rPr>
        <w:t>Typosquatting:</w:t>
      </w:r>
      <w:r>
        <w:rPr>
          <w:color w:val="000000"/>
        </w:rPr>
        <w:t xml:space="preserve"> registrazione o uso di domini graficamente simili a quelli legittimi.</w:t>
      </w:r>
    </w:p>
    <w:p>
      <w:pPr>
        <w:pStyle w:val="ListBullet"/>
      </w:pPr>
      <w:r>
        <w:rPr>
          <w:b/>
          <w:color w:val="000000"/>
        </w:rPr>
        <w:t>Verifica fuori banda:</w:t>
      </w:r>
      <w:r>
        <w:rPr>
          <w:color w:val="000000"/>
        </w:rPr>
        <w:t xml:space="preserve"> conferma effettuata con un canale indipendente e già noto.</w:t>
      </w:r>
    </w:p>
    <w:p>
      <w:pPr>
        <w:pStyle w:val="ListBullet"/>
      </w:pPr>
      <w:r>
        <w:rPr>
          <w:b/>
          <w:color w:val="000000"/>
        </w:rPr>
        <w:t>Vishing:</w:t>
      </w:r>
      <w:r>
        <w:rPr>
          <w:color w:val="000000"/>
        </w:rPr>
        <w:t xml:space="preserve"> social engineering condotto mediante chiamate vocali.</w:t>
      </w:r>
    </w:p>
    <w:p>
      <w:pPr>
        <w:pStyle w:val="Heading1"/>
        <w:keepNext/>
        <w:keepLines/>
      </w:pPr>
      <w:r>
        <w:rPr>
          <w:color w:val="000000"/>
        </w:rPr>
        <w:t>16. Riferimenti interni al progetto</w:t>
      </w:r>
    </w:p>
    <w:p>
      <w:pPr>
        <w:pStyle w:val="ListBullet"/>
      </w:pPr>
      <w:r>
        <w:rPr>
          <w:rFonts w:ascii="Aptos Mono" w:hAnsi="Aptos Mono"/>
          <w:color w:val="1E4E63"/>
          <w:sz w:val="19"/>
        </w:rPr>
        <w:t>README.md</w:t>
      </w:r>
      <w:r>
        <w:rPr>
          <w:color w:val="000000"/>
        </w:rPr>
        <w:t>: avvio locale, test e pubblicazione su GitHub Pages.</w:t>
      </w:r>
    </w:p>
    <w:p>
      <w:pPr>
        <w:pStyle w:val="ListBullet"/>
      </w:pPr>
      <w:r>
        <w:rPr>
          <w:rFonts w:ascii="Aptos Mono" w:hAnsi="Aptos Mono"/>
          <w:color w:val="1E4E63"/>
          <w:sz w:val="19"/>
        </w:rPr>
        <w:t>docs/TRACEABILITY.md</w:t>
      </w:r>
      <w:r>
        <w:rPr>
          <w:color w:val="000000"/>
        </w:rPr>
        <w:t>: sintesi della tracciabilità fra fonte e funzionalità.</w:t>
      </w:r>
    </w:p>
    <w:p>
      <w:pPr>
        <w:pStyle w:val="ListBullet"/>
      </w:pPr>
      <w:r>
        <w:rPr>
          <w:rFonts w:ascii="Aptos Mono" w:hAnsi="Aptos Mono"/>
          <w:color w:val="1E4E63"/>
          <w:sz w:val="19"/>
        </w:rPr>
        <w:t>dist/domain.mjs</w:t>
      </w:r>
      <w:r>
        <w:rPr>
          <w:color w:val="000000"/>
        </w:rPr>
        <w:t>: definizione degli scenari, punteggi e controlli difensivi.</w:t>
      </w:r>
    </w:p>
    <w:p>
      <w:pPr>
        <w:pStyle w:val="ListBullet"/>
      </w:pPr>
      <w:r>
        <w:rPr>
          <w:rFonts w:ascii="Aptos Mono" w:hAnsi="Aptos Mono"/>
          <w:color w:val="1E4E63"/>
          <w:sz w:val="19"/>
        </w:rPr>
        <w:t>test/domain.test.mjs</w:t>
      </w:r>
      <w:r>
        <w:rPr>
          <w:color w:val="000000"/>
        </w:rPr>
        <w:t>: test automatici del modello.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09" w:bottom="950" w:left="1109" w:header="475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37414B"/>
        <w:sz w:val="16"/>
      </w:rPr>
      <w:t xml:space="preserve">Pagina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24577A"/>
        <w:sz w:val="15"/>
      </w:rPr>
      <w:t>NAVIS CYBER READINESS   ·   DOCUMENTAZIONE SCENARI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NAVIS Cyber Readiness — Report dettagliato degli scenari</dc:title>
  <dc:subject>Documentazione formativa degli scenari di social engineering</dc:subject>
  <dc:creator>NAVIS Cyber Readiness</dc:creator>
  <cp:keywords>cyber awareness, marina, social engineering, formazione, scenari</cp:keywords>
  <dc:description>Documento didattico; scenari interamente simulati.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