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IN THE CIRCUIT COURT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OF THE NINTH JUDICIAL CIRCUIT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IN AND FOR ORANGE COUNTY, FLORIDA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CASE NO: __________________</w:t>
      </w:r>
    </w:p>
    <w:p/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Ritter Trucking LLC,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 xml:space="preserve">     Plaintiff(s),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v.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 xml:space="preserve">AFRUZ LLC, a limited liability company, and 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Abdufatto Barnoev,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individually and as Personal Guarantor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 xml:space="preserve">     Defendants.</w:t>
      </w:r>
    </w:p>
    <w:p/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PLAINTIFF'S MOTION FOR CLERK'S DEFAULT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Plaintiff, pursuant to Florida Rule of Civil Procedure 1.500(a), moves for entry of a Clerk’s Default against Defendants and states: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1. Defendants were duly served with process.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2. More than twenty (20) days have passed since service.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3. Defendants have failed to file or serve any paper in response.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WHEREFORE, Plaintiff requests entry of Clerk’s Default against Defendants.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Respectfully submitted,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Ritter Trucking LLC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By: ________________________________________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______________________________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Authorized Representative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Ritter Trucking LLC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CERTIFICATE OF SERVICE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I HERBY CERTIFY that a true and correct copy of the foregoing was furnished by U.S. Mail on this ____ day of _________, 2026 to: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AFRUZ LLC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3342 S Keswick Rd Fl1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Philadelphia, Pennsylvania 19114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Abdufatto Barnoev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3342 S Keswick Rd Fl1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Philadelphia, Pennsylvania 19114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____________________________________________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______________________________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Authorized Representative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sz w:val="24"/>
        </w:rPr>
        <w:t>Ritter Trucking LLC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