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Demand Letter</w:t>
      </w:r>
    </w:p>
    <w:p>
      <w:r>
        <w:t>DocketMint generated draft. Human review required before sending.</w:t>
      </w:r>
    </w:p>
    <w:p>
      <w:r>
        <w:t>Date: March 18, 2026</w:t>
      </w:r>
    </w:p>
    <w:p>
      <w:r>
        <w:t>Reference: case_42ab041028</w:t>
      </w:r>
    </w:p>
    <w:p/>
    <w:p>
      <w:r>
        <w:t>Re: Outstanding balance and demand for payment</w:t>
      </w:r>
    </w:p>
    <w:p>
      <w:r>
        <w:t>This letter concerns the unpaid amounts reflected in the uploaded contract, invoices, and related records. Our current supported balance review indicates approximately $11,250.00 remains due.</w:t>
      </w:r>
    </w:p>
    <w:p>
      <w:r>
        <w:t>Please remit payment promptly or contact us immediately to discuss a documented payment resolution. If you dispute any amount, identify each disputed item in writing together with supporting documentation.</w:t>
      </w:r>
    </w:p>
    <w:p>
      <w:r>
        <w:t>Nothing in this draft is sent automatically.</w:t>
      </w:r>
    </w:p>
    <w:p>
      <w:r>
        <w:t>Sincerely,</w:t>
      </w:r>
    </w:p>
    <w:p>
      <w:r>
        <w:t>DocketMint / VitaCoreX workflow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