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400" w:after="240"/>
      </w:pPr>
      <w:r>
        <w:rPr>
          <w:rFonts w:ascii="Times" w:hAnsi="Times" w:cs="Times"/>
          <w:sz w:val="48"/>
          <w:sz-cs w:val="48"/>
          <w:b/>
          <w:color w:val="1F3864"/>
        </w:rPr>
        <w:t xml:space="preserve">Business Requirements Document</w:t>
      </w:r>
    </w:p>
    <w:p>
      <w:pPr>
        <w:spacing w:after="120"/>
      </w:pPr>
      <w:r>
        <w:rPr>
          <w:rFonts w:ascii="Times" w:hAnsi="Times" w:cs="Times"/>
          <w:sz w:val="36"/>
          <w:sz-cs w:val="36"/>
          <w:b/>
          <w:color w:val="000000"/>
        </w:rPr>
        <w:t xml:space="preserve">Vitalief Skills Platform</w:t>
      </w:r>
    </w:p>
    <w:p>
      <w:pPr>
        <w:spacing w:after="720"/>
      </w:pPr>
      <w:r>
        <w:rPr>
          <w:rFonts w:ascii="Times" w:hAnsi="Times" w:cs="Times"/>
          <w:sz w:val="28"/>
          <w:sz-cs w:val="28"/>
          <w:i/>
          <w:color w:val="595959"/>
        </w:rPr>
        <w:t xml:space="preserve">Platform Build and Skills Authoring Engagement</w:t>
      </w:r>
    </w:p>
    <w:p>
      <w:pPr>
        <w:spacing w:before="60" w:after="120"/>
      </w:pPr>
      <w:r>
        <w:rPr>
          <w:rFonts w:ascii="Times" w:hAnsi="Times" w:cs="Times"/>
          <w:sz w:val="22"/>
          <w:sz-cs w:val="22"/>
        </w:rPr>
        <w:t xml:space="preserve"/>
      </w:r>
    </w:p>
    <w:p>
      <w:pPr>
        <w:spacing w:after="120"/>
      </w:pPr>
      <w:r>
        <w:rPr>
          <w:rFonts w:ascii="Times" w:hAnsi="Times" w:cs="Times"/>
          <w:sz w:val="22"/>
          <w:sz-cs w:val="22"/>
          <w:b/>
        </w:rPr>
        <w:t xml:space="preserve">Document owner: </w:t>
      </w:r>
      <w:r>
        <w:rPr>
          <w:rFonts w:ascii="Times" w:hAnsi="Times" w:cs="Times"/>
          <w:sz w:val="22"/>
          <w:sz-cs w:val="22"/>
        </w:rPr>
        <w:t xml:space="preserve">Matthew Maxwell, Chief Innovation Officer, Vitalief</w:t>
      </w:r>
    </w:p>
    <w:p>
      <w:pPr>
        <w:spacing w:after="120"/>
      </w:pPr>
      <w:r>
        <w:rPr>
          <w:rFonts w:ascii="Times" w:hAnsi="Times" w:cs="Times"/>
          <w:sz w:val="22"/>
          <w:sz-cs w:val="22"/>
          <w:b/>
        </w:rPr>
        <w:t xml:space="preserve">Build partner: </w:t>
      </w:r>
      <w:r>
        <w:rPr>
          <w:rFonts w:ascii="Times" w:hAnsi="Times" w:cs="Times"/>
          <w:sz w:val="22"/>
          <w:sz-cs w:val="22"/>
        </w:rPr>
        <w:t xml:space="preserve">MA Technologies</w:t>
      </w:r>
    </w:p>
    <w:p>
      <w:pPr>
        <w:spacing w:after="120"/>
      </w:pPr>
      <w:r>
        <w:rPr>
          <w:rFonts w:ascii="Times" w:hAnsi="Times" w:cs="Times"/>
          <w:sz w:val="22"/>
          <w:sz-cs w:val="22"/>
          <w:b/>
        </w:rPr>
        <w:t xml:space="preserve">Document status: </w:t>
      </w:r>
      <w:r>
        <w:rPr>
          <w:rFonts w:ascii="Times" w:hAnsi="Times" w:cs="Times"/>
          <w:sz w:val="22"/>
          <w:sz-cs w:val="22"/>
        </w:rPr>
        <w:t xml:space="preserve">Draft for vendor review</w:t>
      </w:r>
    </w:p>
    <w:p>
      <w:pPr>
        <w:spacing w:after="120"/>
      </w:pPr>
      <w:r>
        <w:rPr>
          <w:rFonts w:ascii="Times" w:hAnsi="Times" w:cs="Times"/>
          <w:sz w:val="22"/>
          <w:sz-cs w:val="22"/>
          <w:b/>
        </w:rPr>
        <w:t xml:space="preserve">Version: </w:t>
      </w:r>
      <w:r>
        <w:rPr>
          <w:rFonts w:ascii="Times" w:hAnsi="Times" w:cs="Times"/>
          <w:sz w:val="22"/>
          <w:sz-cs w:val="22"/>
        </w:rPr>
        <w:t xml:space="preserve">0.1</w:t>
      </w:r>
    </w:p>
    <w:p>
      <w:pPr>
        <w:spacing w:after="120"/>
      </w:pPr>
      <w:r>
        <w:rPr>
          <w:rFonts w:ascii="Times" w:hAnsi="Times" w:cs="Times"/>
          <w:sz w:val="22"/>
          <w:sz-cs w:val="22"/>
          <w:b/>
        </w:rPr>
        <w:t xml:space="preserve">Date: </w:t>
      </w:r>
      <w:r>
        <w:rPr>
          <w:rFonts w:ascii="Times" w:hAnsi="Times" w:cs="Times"/>
          <w:sz w:val="22"/>
          <w:sz-cs w:val="22"/>
        </w:rPr>
        <w:t xml:space="preserve">May 2026</w:t>
      </w:r>
    </w:p>
    <w:p>
      <w:pPr>
        <w:spacing w:before="60" w:after="120"/>
      </w:pPr>
      <w:r>
        <w:rPr>
          <w:rFonts w:ascii="Times" w:hAnsi="Times" w:cs="Times"/>
          <w:sz w:val="22"/>
          <w:sz-cs w:val="22"/>
        </w:rPr>
        <w:t xml:space="preserve"/>
      </w:r>
    </w:p>
    <w:p>
      <w:pPr>
        <w:spacing w:after="120"/>
      </w:pPr>
      <w:r>
        <w:rPr>
          <w:rFonts w:ascii="Times" w:hAnsi="Times" w:cs="Times"/>
          <w:sz w:val="22"/>
          <w:sz-cs w:val="22"/>
          <w:b/>
          <w:i/>
          <w:color w:val="000000"/>
        </w:rPr>
        <w:t xml:space="preserve"/>
      </w:r>
    </w:p>
    <w:p>
      <w:pPr>
        <w:spacing w:after="120"/>
      </w:pPr>
      <w:r>
        <w:rPr>
          <w:rFonts w:ascii="Times" w:hAnsi="Times" w:cs="Times"/>
          <w:sz w:val="20"/>
          <w:sz-cs w:val="20"/>
          <w:b/>
          <w:i/>
          <w:color w:val="000000"/>
        </w:rPr>
        <w:t xml:space="preserve">This document defines business requirements for the Vitalief Skills Platform and the skills authoring engagement that follows the platform build. It is written to scope the vendor SOW, not to specify technical design. Technical design proposals from MA Technologies are expected to respond to these requirements.</w:t>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1. Executive Summary</w:t>
      </w:r>
    </w:p>
    <w:p>
      <w:pPr>
        <w:spacing w:after="120"/>
      </w:pPr>
      <w:r>
        <w:rPr>
          <w:rFonts w:ascii="Times" w:hAnsi="Times" w:cs="Times"/>
          <w:sz w:val="22"/>
          <w:sz-cs w:val="22"/>
          <w:b/>
          <w:i/>
          <w:color w:val="000000"/>
        </w:rPr>
        <w:t xml:space="preserve">Vitalief is building a Skills Platform to encode operator expertise as reusable, governed, deployable units called skills. The platform converts methodology that today lives in individual consultants into firm intellectual property that scales across engagements. This is operational infrastructure for the consulting practice, not a product sold to clients.</w:t>
      </w:r>
    </w:p>
    <w:p>
      <w:pPr>
        <w:spacing w:after="120"/>
      </w:pPr>
      <w:r>
        <w:rPr>
          <w:rFonts w:ascii="Times" w:hAnsi="Times" w:cs="Times"/>
          <w:sz w:val="22"/>
          <w:sz-cs w:val="22"/>
          <w:b/>
          <w:i/>
          <w:color w:val="000000"/>
        </w:rPr>
        <w:t xml:space="preserve">The engagement runs in two phases. Phase 1 is a platform build by MA Technologies, scoped for approximately one month, producing a working platform that can register, version, run, and audit skills. Phase 2 is an ongoing authoring partnership where Matt and the Vitalief team author skills, and MA Technologies validates, refines, and ships them. Validation operates as a two-key model: MA Technologies certifies technical quality, Matt certifies methodological quality. A skill is not client-ready until both keys turn.</w:t>
      </w:r>
    </w:p>
    <w:p>
      <w:pPr>
        <w:spacing w:after="120"/>
      </w:pPr>
      <w:r>
        <w:rPr>
          <w:rFonts w:ascii="Times" w:hAnsi="Times" w:cs="Times"/>
          <w:sz w:val="22"/>
          <w:sz-cs w:val="22"/>
          <w:b/>
          <w:i/>
          <w:color w:val="000000"/>
        </w:rPr>
        <w:t xml:space="preserve">Skills exist in three states. Internal skills carry full Vitalief proprietary methodology and run only for Vitalief consultants. Client-facing skills are sanitized derivatives that clients can invoke through whatever surface a given engagement uses. Some skills are internal-only, some are client-only, some exist as paired versions. The platform tracks derivation lineage between paired versions so that updates can propagate predictably.</w:t>
      </w:r>
    </w:p>
    <w:p>
      <w:pPr>
        <w:spacing w:after="120"/>
      </w:pPr>
      <w:r>
        <w:rPr>
          <w:rFonts w:ascii="Times" w:hAnsi="Times" w:cs="Times"/>
          <w:sz w:val="22"/>
          <w:sz-cs w:val="22"/>
          <w:b/>
          <w:i/>
          <w:color w:val="000000"/>
        </w:rPr>
        <w:t xml:space="preserve">The platform must be architected to a BAA-grade security posture from day one. PHI exposure is possible even when not intended, and retrofitting HIPAA readiness later is materially more expensive than building to it from the start. The platform must also be designed for future portability into client environments, even though initial deployment is Vitalief-hosted.</w:t>
      </w:r>
    </w:p>
    <w:p>
      <w:pPr>
        <w:spacing w:before="360" w:after="180"/>
      </w:pPr>
      <w:r>
        <w:rPr>
          <w:rFonts w:ascii="Times" w:hAnsi="Times" w:cs="Times"/>
          <w:sz w:val="32"/>
          <w:sz-cs w:val="32"/>
          <w:b/>
          <w:color w:val="1F3864"/>
        </w:rPr>
        <w:t xml:space="preserve">2. Business Context</w:t>
      </w:r>
    </w:p>
    <w:p>
      <w:pPr>
        <w:spacing w:before="280" w:after="140"/>
      </w:pPr>
      <w:r>
        <w:rPr>
          <w:rFonts w:ascii="Times" w:hAnsi="Times" w:cs="Times"/>
          <w:sz w:val="26"/>
          <w:sz-cs w:val="26"/>
          <w:b/>
          <w:color w:val="2E5597"/>
        </w:rPr>
        <w:t xml:space="preserve">2.1 Why Vitalief is building this</w:t>
      </w:r>
    </w:p>
    <w:p>
      <w:pPr>
        <w:spacing w:after="120"/>
      </w:pPr>
      <w:r>
        <w:rPr>
          <w:rFonts w:ascii="Times" w:hAnsi="Times" w:cs="Times"/>
          <w:sz w:val="22"/>
          <w:sz-cs w:val="22"/>
          <w:b/>
          <w:i/>
          <w:color w:val="000000"/>
        </w:rPr>
        <w:t xml:space="preserve">Clinical research operations consulting is delivered today through individual consultant expertise applied to each engagement. The work is high-leverage but slow to scale, because methodology lives in heads, decks, and ad-hoc artifacts. Competitors including Huron and Manet face the same constraint. The first firm to encode operator methodology as deployable software gains a durable advantage in proposal velocity, engagement consistency, and renewal economics.</w:t>
      </w:r>
    </w:p>
    <w:p>
      <w:pPr>
        <w:spacing w:after="120"/>
      </w:pPr>
      <w:r>
        <w:rPr>
          <w:rFonts w:ascii="Times" w:hAnsi="Times" w:cs="Times"/>
          <w:sz w:val="22"/>
          <w:sz-cs w:val="22"/>
          <w:b/>
          <w:i/>
          <w:color w:val="000000"/>
        </w:rPr>
        <w:t xml:space="preserve">The Skills Platform is Vitalief's mechanism to make that shift. Each validated skill becomes reusable IP. Each engagement becomes faster to staff and easier to renew because the operator expertise embedded in skills compounds across deployments.</w:t>
      </w:r>
    </w:p>
    <w:p>
      <w:pPr>
        <w:spacing w:before="280" w:after="140"/>
      </w:pPr>
      <w:r>
        <w:rPr>
          <w:rFonts w:ascii="Times" w:hAnsi="Times" w:cs="Times"/>
          <w:sz w:val="26"/>
          <w:sz-cs w:val="26"/>
          <w:b/>
          <w:color w:val="2E5597"/>
        </w:rPr>
        <w:t xml:space="preserve">2.2 Strategic framing</w:t>
      </w:r>
    </w:p>
    <w:p>
      <w:pPr>
        <w:ind w:left="720" w:first-line="-720"/>
        <w:spacing w:after="80"/>
      </w:pPr>
      <w:r>
        <w:rPr>
          <w:rFonts w:ascii="Times" w:hAnsi="Times" w:cs="Times"/>
          <w:sz w:val="22"/>
          <w:sz-cs w:val="22"/>
          <w:b/>
        </w:rPr>
        <w:t xml:space="preserve"/>
        <w:tab/>
        <w:t xml:space="preserve">•</w:t>
        <w:tab/>
        <w:t xml:space="preserve">Asset class: </w:t>
      </w:r>
      <w:r>
        <w:rPr>
          <w:rFonts w:ascii="Times" w:hAnsi="Times" w:cs="Times"/>
          <w:sz w:val="22"/>
          <w:sz-cs w:val="22"/>
        </w:rPr>
        <w:t xml:space="preserve">Skills are firm intellectual property, not tools. Ownership, versioning, and access control must reflect that.</w:t>
      </w:r>
    </w:p>
    <w:p>
      <w:pPr>
        <w:ind w:left="720" w:first-line="-720"/>
        <w:spacing w:after="80"/>
      </w:pPr>
      <w:r>
        <w:rPr>
          <w:rFonts w:ascii="Times" w:hAnsi="Times" w:cs="Times"/>
          <w:sz w:val="22"/>
          <w:sz-cs w:val="22"/>
          <w:b/>
        </w:rPr>
        <w:t xml:space="preserve"/>
        <w:tab/>
        <w:t xml:space="preserve">•</w:t>
        <w:tab/>
        <w:t xml:space="preserve">Competitive differentiation: </w:t>
      </w:r>
      <w:r>
        <w:rPr>
          <w:rFonts w:ascii="Times" w:hAnsi="Times" w:cs="Times"/>
          <w:sz w:val="22"/>
          <w:sz-cs w:val="22"/>
        </w:rPr>
        <w:t xml:space="preserve">A validated skill library is something neither Huron nor Manet has. The library is part of the BILH-class pitch over time, not a back-office tool.</w:t>
      </w:r>
    </w:p>
    <w:p>
      <w:pPr>
        <w:ind w:left="720" w:first-line="-720"/>
        <w:spacing w:after="80"/>
      </w:pPr>
      <w:r>
        <w:rPr>
          <w:rFonts w:ascii="Times" w:hAnsi="Times" w:cs="Times"/>
          <w:sz w:val="22"/>
          <w:sz-cs w:val="22"/>
          <w:b/>
        </w:rPr>
        <w:t xml:space="preserve"/>
        <w:tab/>
        <w:t xml:space="preserve">•</w:t>
        <w:tab/>
        <w:t xml:space="preserve">Methodology protection: </w:t>
      </w:r>
      <w:r>
        <w:rPr>
          <w:rFonts w:ascii="Times" w:hAnsi="Times" w:cs="Times"/>
          <w:sz w:val="22"/>
          <w:sz-cs w:val="22"/>
        </w:rPr>
        <w:t xml:space="preserve">Client-facing skills must expose outputs without exposing the methodology that produced them. The platform enforces this surface boundary.</w:t>
      </w:r>
    </w:p>
    <w:p>
      <w:pPr>
        <w:ind w:left="720" w:first-line="-720"/>
        <w:spacing w:after="80"/>
      </w:pPr>
      <w:r>
        <w:rPr>
          <w:rFonts w:ascii="Times" w:hAnsi="Times" w:cs="Times"/>
          <w:sz w:val="22"/>
          <w:sz-cs w:val="22"/>
          <w:b/>
        </w:rPr>
        <w:t xml:space="preserve"/>
        <w:tab/>
        <w:t xml:space="preserve">•</w:t>
        <w:tab/>
        <w:t xml:space="preserve">Operator augmentation: </w:t>
      </w:r>
      <w:r>
        <w:rPr>
          <w:rFonts w:ascii="Times" w:hAnsi="Times" w:cs="Times"/>
          <w:sz w:val="22"/>
          <w:sz-cs w:val="22"/>
        </w:rPr>
        <w:t xml:space="preserve">Skills augment consultants rather than replacing them. The consultant remains the engagement owner and methodological authority.</w:t>
      </w:r>
    </w:p>
    <w:p>
      <w:pPr>
        <w:spacing w:before="280" w:after="140"/>
      </w:pPr>
      <w:r>
        <w:rPr>
          <w:rFonts w:ascii="Times" w:hAnsi="Times" w:cs="Times"/>
          <w:sz w:val="26"/>
          <w:sz-cs w:val="26"/>
          <w:b/>
          <w:color w:val="2E5597"/>
        </w:rPr>
        <w:t xml:space="preserve">2.3 Stakeholders</w:t>
      </w:r>
    </w:p>
    <w:p>
      <w:pPr>
        <w:ind w:left="720" w:first-line="-720"/>
        <w:spacing w:after="80"/>
      </w:pPr>
      <w:r>
        <w:rPr>
          <w:rFonts w:ascii="Times" w:hAnsi="Times" w:cs="Times"/>
          <w:sz w:val="22"/>
          <w:sz-cs w:val="22"/>
          <w:b/>
        </w:rPr>
        <w:t xml:space="preserve"/>
        <w:tab/>
        <w:t xml:space="preserve">•</w:t>
        <w:tab/>
        <w:t xml:space="preserve">Matt Maxwell (Vitalief): </w:t>
      </w:r>
      <w:r>
        <w:rPr>
          <w:rFonts w:ascii="Times" w:hAnsi="Times" w:cs="Times"/>
          <w:sz w:val="22"/>
          <w:sz-cs w:val="22"/>
        </w:rPr>
        <w:t xml:space="preserve">Product owner, primary skill author, methodology certifier.</w:t>
      </w:r>
    </w:p>
    <w:p>
      <w:pPr>
        <w:ind w:left="720" w:first-line="-720"/>
        <w:spacing w:after="80"/>
      </w:pPr>
      <w:r>
        <w:rPr>
          <w:rFonts w:ascii="Times" w:hAnsi="Times" w:cs="Times"/>
          <w:sz w:val="22"/>
          <w:sz-cs w:val="22"/>
          <w:b/>
        </w:rPr>
        <w:t xml:space="preserve"/>
        <w:tab/>
        <w:t xml:space="preserve">•</w:t>
        <w:tab/>
        <w:t xml:space="preserve">MA Technologies: </w:t>
      </w:r>
      <w:r>
        <w:rPr>
          <w:rFonts w:ascii="Times" w:hAnsi="Times" w:cs="Times"/>
          <w:sz w:val="22"/>
          <w:sz-cs w:val="22"/>
        </w:rPr>
        <w:t xml:space="preserve">Platform builder in Phase 1; secondary skill author, technical validator, and refiner in Phase 2.</w:t>
      </w:r>
    </w:p>
    <w:p>
      <w:pPr>
        <w:ind w:left="720" w:first-line="-720"/>
        <w:spacing w:after="80"/>
      </w:pPr>
      <w:r>
        <w:rPr>
          <w:rFonts w:ascii="Times" w:hAnsi="Times" w:cs="Times"/>
          <w:sz w:val="22"/>
          <w:sz-cs w:val="22"/>
          <w:b/>
        </w:rPr>
        <w:t xml:space="preserve"/>
        <w:tab/>
        <w:t xml:space="preserve">•</w:t>
        <w:tab/>
        <w:t xml:space="preserve">Vitalief leadership: </w:t>
      </w:r>
      <w:r>
        <w:rPr>
          <w:rFonts w:ascii="Times" w:hAnsi="Times" w:cs="Times"/>
          <w:sz w:val="22"/>
          <w:sz-cs w:val="22"/>
        </w:rPr>
        <w:t xml:space="preserve">Approves engagement, ratifies the IP posture, may certify methodology for specific skills.</w:t>
      </w:r>
    </w:p>
    <w:p>
      <w:pPr>
        <w:ind w:left="720" w:first-line="-720"/>
        <w:spacing w:after="80"/>
      </w:pPr>
      <w:r>
        <w:rPr>
          <w:rFonts w:ascii="Times" w:hAnsi="Times" w:cs="Times"/>
          <w:sz w:val="22"/>
          <w:sz-cs w:val="22"/>
          <w:b/>
        </w:rPr>
        <w:t xml:space="preserve"/>
        <w:tab/>
        <w:t xml:space="preserve">•</w:t>
        <w:tab/>
        <w:t xml:space="preserve">Vitalief consultants on engagement: </w:t>
      </w:r>
      <w:r>
        <w:rPr>
          <w:rFonts w:ascii="Times" w:hAnsi="Times" w:cs="Times"/>
          <w:sz w:val="22"/>
          <w:sz-cs w:val="22"/>
        </w:rPr>
        <w:t xml:space="preserve">Primary users of internal skills; may invoke client-facing skills on behalf of clients.</w:t>
      </w:r>
    </w:p>
    <w:p>
      <w:pPr>
        <w:ind w:left="720" w:first-line="-720"/>
        <w:spacing w:after="80"/>
      </w:pPr>
      <w:r>
        <w:rPr>
          <w:rFonts w:ascii="Times" w:hAnsi="Times" w:cs="Times"/>
          <w:sz w:val="22"/>
          <w:sz-cs w:val="22"/>
          <w:b/>
        </w:rPr>
        <w:t xml:space="preserve"/>
        <w:tab/>
        <w:t xml:space="preserve">•</w:t>
        <w:tab/>
        <w:t xml:space="preserve">Client engagement leads: </w:t>
      </w:r>
      <w:r>
        <w:rPr>
          <w:rFonts w:ascii="Times" w:hAnsi="Times" w:cs="Times"/>
          <w:sz w:val="22"/>
          <w:sz-cs w:val="22"/>
        </w:rPr>
        <w:t xml:space="preserve">Decide whether a given engagement uses client-facing skills and which delivery surface applies.</w:t>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3. Scope</w:t>
      </w:r>
    </w:p>
    <w:p>
      <w:pPr>
        <w:spacing w:before="280" w:after="140"/>
      </w:pPr>
      <w:r>
        <w:rPr>
          <w:rFonts w:ascii="Times" w:hAnsi="Times" w:cs="Times"/>
          <w:sz w:val="26"/>
          <w:sz-cs w:val="26"/>
          <w:b/>
          <w:color w:val="2E5597"/>
        </w:rPr>
        <w:t xml:space="preserve">3.1 In scope for Phase 1 (Platform Build, approximately one month)</w:t>
      </w:r>
    </w:p>
    <w:p>
      <w:pPr>
        <w:ind w:left="720" w:first-line="-720"/>
        <w:spacing w:after="80"/>
      </w:pPr>
      <w:r>
        <w:rPr>
          <w:rFonts w:ascii="Times" w:hAnsi="Times" w:cs="Times"/>
          <w:sz w:val="22"/>
          <w:sz-cs w:val="22"/>
        </w:rPr>
        <w:t xml:space="preserve"/>
        <w:tab/>
        <w:t xml:space="preserve">•</w:t>
        <w:tab/>
        <w:t xml:space="preserve">Skill registry with versioning, tagging, and lifecycle state (draft, internal-ready, client-ready, retired).</w:t>
      </w:r>
    </w:p>
    <w:p>
      <w:pPr>
        <w:ind w:left="720" w:first-line="-720"/>
        <w:spacing w:after="80"/>
      </w:pPr>
      <w:r>
        <w:rPr>
          <w:rFonts w:ascii="Times" w:hAnsi="Times" w:cs="Times"/>
          <w:sz w:val="22"/>
          <w:sz-cs w:val="22"/>
        </w:rPr>
        <w:t xml:space="preserve"/>
        <w:tab/>
        <w:t xml:space="preserve">•</w:t>
        <w:tab/>
        <w:t xml:space="preserve">Execution support for prompt-based skills, code-based skills, and hybrid skills that combine the two.</w:t>
      </w:r>
    </w:p>
    <w:p>
      <w:pPr>
        <w:ind w:left="720" w:first-line="-720"/>
        <w:spacing w:after="80"/>
      </w:pPr>
      <w:r>
        <w:rPr>
          <w:rFonts w:ascii="Times" w:hAnsi="Times" w:cs="Times"/>
          <w:sz w:val="22"/>
          <w:sz-cs w:val="22"/>
        </w:rPr>
        <w:t xml:space="preserve"/>
        <w:tab/>
        <w:t xml:space="preserve">•</w:t>
        <w:tab/>
        <w:t xml:space="preserve">BAA-grade hosting and security posture, including encryption at rest and in transit, access logging, and a documented data handling policy.</w:t>
      </w:r>
    </w:p>
    <w:p>
      <w:pPr>
        <w:ind w:left="720" w:first-line="-720"/>
        <w:spacing w:after="80"/>
      </w:pPr>
      <w:r>
        <w:rPr>
          <w:rFonts w:ascii="Times" w:hAnsi="Times" w:cs="Times"/>
          <w:sz w:val="22"/>
          <w:sz-cs w:val="22"/>
        </w:rPr>
        <w:t xml:space="preserve"/>
        <w:tab/>
        <w:t xml:space="preserve">•</w:t>
        <w:tab/>
        <w:t xml:space="preserve">File ingest connector for PDF, Word, and Excel uploads as the v1 ingest source.</w:t>
      </w:r>
    </w:p>
    <w:p>
      <w:pPr>
        <w:ind w:left="720" w:first-line="-720"/>
        <w:spacing w:after="80"/>
      </w:pPr>
      <w:r>
        <w:rPr>
          <w:rFonts w:ascii="Times" w:hAnsi="Times" w:cs="Times"/>
          <w:sz w:val="22"/>
          <w:sz-cs w:val="22"/>
        </w:rPr>
        <w:t xml:space="preserve"/>
        <w:tab/>
        <w:t xml:space="preserve">•</w:t>
        <w:tab/>
        <w:t xml:space="preserve">File generation capability for PDF, PPTX, DOCX, and XLSX outputs as the v1 send-out destination.</w:t>
      </w:r>
    </w:p>
    <w:p>
      <w:pPr>
        <w:ind w:left="720" w:first-line="-720"/>
        <w:spacing w:after="80"/>
      </w:pPr>
      <w:r>
        <w:rPr>
          <w:rFonts w:ascii="Times" w:hAnsi="Times" w:cs="Times"/>
          <w:sz w:val="22"/>
          <w:sz-cs w:val="22"/>
        </w:rPr>
        <w:t xml:space="preserve"/>
        <w:tab/>
        <w:t xml:space="preserve">•</w:t>
        <w:tab/>
        <w:t xml:space="preserve">Generic outbound API pattern with credential management, so skills can call commercial products when needed without bespoke integration work each time.</w:t>
      </w:r>
    </w:p>
    <w:p>
      <w:pPr>
        <w:ind w:left="720" w:first-line="-720"/>
        <w:spacing w:after="80"/>
      </w:pPr>
      <w:r>
        <w:rPr>
          <w:rFonts w:ascii="Times" w:hAnsi="Times" w:cs="Times"/>
          <w:sz w:val="22"/>
          <w:sz-cs w:val="22"/>
        </w:rPr>
        <w:t xml:space="preserve"/>
        <w:tab/>
        <w:t xml:space="preserve">•</w:t>
        <w:tab/>
        <w:t xml:space="preserve">Connector framework that makes adding future ingest sources and send-out destinations cheap and consistent.</w:t>
      </w:r>
    </w:p>
    <w:p>
      <w:pPr>
        <w:ind w:left="720" w:first-line="-720"/>
        <w:spacing w:after="80"/>
      </w:pPr>
      <w:r>
        <w:rPr>
          <w:rFonts w:ascii="Times" w:hAnsi="Times" w:cs="Times"/>
          <w:sz w:val="22"/>
          <w:sz-cs w:val="22"/>
        </w:rPr>
        <w:t xml:space="preserve"/>
        <w:tab/>
        <w:t xml:space="preserve">•</w:t>
        <w:tab/>
        <w:t xml:space="preserve">Usage tracking and audit logging tied to engagement, user, client, and skill version.</w:t>
      </w:r>
    </w:p>
    <w:p>
      <w:pPr>
        <w:ind w:left="720" w:first-line="-720"/>
        <w:spacing w:after="80"/>
      </w:pPr>
      <w:r>
        <w:rPr>
          <w:rFonts w:ascii="Times" w:hAnsi="Times" w:cs="Times"/>
          <w:sz w:val="22"/>
          <w:sz-cs w:val="22"/>
        </w:rPr>
        <w:t xml:space="preserve"/>
        <w:tab/>
        <w:t xml:space="preserve">•</w:t>
        <w:tab/>
        <w:t xml:space="preserve">Access control scoped by engagement and client, enforcing the internal-versus-client visibility boundary.</w:t>
      </w:r>
    </w:p>
    <w:p>
      <w:pPr>
        <w:ind w:left="720" w:first-line="-720"/>
        <w:spacing w:after="80"/>
      </w:pPr>
      <w:r>
        <w:rPr>
          <w:rFonts w:ascii="Times" w:hAnsi="Times" w:cs="Times"/>
          <w:sz w:val="22"/>
          <w:sz-cs w:val="22"/>
        </w:rPr>
        <w:t xml:space="preserve"/>
        <w:tab/>
        <w:t xml:space="preserve">•</w:t>
        <w:tab/>
        <w:t xml:space="preserve">Invocation API that allows skills to be called from Claude, from scripts, from client portals, and from future surfaces.</w:t>
      </w:r>
    </w:p>
    <w:p>
      <w:pPr>
        <w:ind w:left="720" w:first-line="-720"/>
        <w:spacing w:after="80"/>
      </w:pPr>
      <w:r>
        <w:rPr>
          <w:rFonts w:ascii="Times" w:hAnsi="Times" w:cs="Times"/>
          <w:sz w:val="22"/>
          <w:sz-cs w:val="22"/>
        </w:rPr>
        <w:t xml:space="preserve"/>
        <w:tab/>
        <w:t xml:space="preserve">•</w:t>
        <w:tab/>
        <w:t xml:space="preserve">Skill derivation tracking that records the lineage between internal and client-facing variants of the same underlying skill.</w:t>
      </w:r>
    </w:p>
    <w:p>
      <w:pPr>
        <w:ind w:left="720" w:first-line="-720"/>
        <w:spacing w:after="80"/>
      </w:pPr>
      <w:r>
        <w:rPr>
          <w:rFonts w:ascii="Times" w:hAnsi="Times" w:cs="Times"/>
          <w:sz w:val="22"/>
          <w:sz-cs w:val="22"/>
        </w:rPr>
        <w:t xml:space="preserve"/>
        <w:tab/>
        <w:t xml:space="preserve">•</w:t>
        <w:tab/>
        <w:t xml:space="preserve">Two-key certification workflow that records technical and methodological sign-offs before a skill becomes client-ready.</w:t>
      </w:r>
    </w:p>
    <w:p>
      <w:pPr>
        <w:ind w:left="720" w:first-line="-720"/>
        <w:spacing w:after="80"/>
      </w:pPr>
      <w:r>
        <w:rPr>
          <w:rFonts w:ascii="Times" w:hAnsi="Times" w:cs="Times"/>
          <w:sz w:val="22"/>
          <w:sz-cs w:val="22"/>
        </w:rPr>
        <w:t xml:space="preserve"/>
        <w:tab/>
        <w:t xml:space="preserve">•</w:t>
        <w:tab/>
        <w:t xml:space="preserve">Architecture decisions that support future deployment of the platform into client environments without rewrite.</w:t>
      </w:r>
    </w:p>
    <w:p>
      <w:pPr>
        <w:spacing w:before="280" w:after="140"/>
      </w:pPr>
      <w:r>
        <w:rPr>
          <w:rFonts w:ascii="Times" w:hAnsi="Times" w:cs="Times"/>
          <w:sz w:val="26"/>
          <w:sz-cs w:val="26"/>
          <w:b/>
          <w:color w:val="2E5597"/>
        </w:rPr>
        <w:t xml:space="preserve">3.2 In scope for Phase 2 (Skills Authoring Engagement)</w:t>
      </w:r>
    </w:p>
    <w:p>
      <w:pPr>
        <w:ind w:left="720" w:first-line="-720"/>
        <w:spacing w:after="80"/>
      </w:pPr>
      <w:r>
        <w:rPr>
          <w:rFonts w:ascii="Times" w:hAnsi="Times" w:cs="Times"/>
          <w:sz w:val="22"/>
          <w:sz-cs w:val="22"/>
        </w:rPr>
        <w:t xml:space="preserve"/>
        <w:tab/>
        <w:t xml:space="preserve">•</w:t>
        <w:tab/>
        <w:t xml:space="preserve">Skill authoring by Matt and MA Technologies, with Matt as primary author and MA Technologies as secondary.</w:t>
      </w:r>
    </w:p>
    <w:p>
      <w:pPr>
        <w:ind w:left="720" w:first-line="-720"/>
        <w:spacing w:after="80"/>
      </w:pPr>
      <w:r>
        <w:rPr>
          <w:rFonts w:ascii="Times" w:hAnsi="Times" w:cs="Times"/>
          <w:sz w:val="22"/>
          <w:sz-cs w:val="22"/>
        </w:rPr>
        <w:t xml:space="preserve"/>
        <w:tab/>
        <w:t xml:space="preserve">•</w:t>
        <w:tab/>
        <w:t xml:space="preserve">Technical validation of every submitted skill by MA Technologies, with a documented validation methodology.</w:t>
      </w:r>
    </w:p>
    <w:p>
      <w:pPr>
        <w:ind w:left="720" w:first-line="-720"/>
        <w:spacing w:after="80"/>
      </w:pPr>
      <w:r>
        <w:rPr>
          <w:rFonts w:ascii="Times" w:hAnsi="Times" w:cs="Times"/>
          <w:sz w:val="22"/>
          <w:sz-cs w:val="22"/>
        </w:rPr>
        <w:t xml:space="preserve"/>
        <w:tab/>
        <w:t xml:space="preserve">•</w:t>
        <w:tab/>
        <w:t xml:space="preserve">Methodological certification of client-ready skills by Matt.</w:t>
      </w:r>
    </w:p>
    <w:p>
      <w:pPr>
        <w:ind w:left="720" w:first-line="-720"/>
        <w:spacing w:after="80"/>
      </w:pPr>
      <w:r>
        <w:rPr>
          <w:rFonts w:ascii="Times" w:hAnsi="Times" w:cs="Times"/>
          <w:sz w:val="22"/>
          <w:sz-cs w:val="22"/>
        </w:rPr>
        <w:t xml:space="preserve"/>
        <w:tab/>
        <w:t xml:space="preserve">•</w:t>
        <w:tab/>
        <w:t xml:space="preserve">Refinement of vibecoded skills by MA Technologies, with revisions tracked through versioning.</w:t>
      </w:r>
    </w:p>
    <w:p>
      <w:pPr>
        <w:ind w:left="720" w:first-line="-720"/>
        <w:spacing w:after="80"/>
      </w:pPr>
      <w:r>
        <w:rPr>
          <w:rFonts w:ascii="Times" w:hAnsi="Times" w:cs="Times"/>
          <w:sz w:val="22"/>
          <w:sz-cs w:val="22"/>
        </w:rPr>
        <w:t xml:space="preserve"/>
        <w:tab/>
        <w:t xml:space="preserve">•</w:t>
        <w:tab/>
        <w:t xml:space="preserve">Addition of new ingest and send-out connectors as specific engagements require them.</w:t>
      </w:r>
    </w:p>
    <w:p>
      <w:pPr>
        <w:spacing w:before="280" w:after="140"/>
      </w:pPr>
      <w:r>
        <w:rPr>
          <w:rFonts w:ascii="Times" w:hAnsi="Times" w:cs="Times"/>
          <w:sz w:val="26"/>
          <w:sz-cs w:val="26"/>
          <w:b/>
          <w:color w:val="2E5597"/>
        </w:rPr>
        <w:t xml:space="preserve">3.3 Out of scope for the current engagement</w:t>
      </w:r>
    </w:p>
    <w:p>
      <w:pPr>
        <w:ind w:left="720" w:first-line="-720"/>
        <w:spacing w:after="80"/>
      </w:pPr>
      <w:r>
        <w:rPr>
          <w:rFonts w:ascii="Times" w:hAnsi="Times" w:cs="Times"/>
          <w:sz w:val="22"/>
          <w:sz-cs w:val="22"/>
        </w:rPr>
        <w:t xml:space="preserve"/>
        <w:tab/>
        <w:t xml:space="preserve">•</w:t>
        <w:tab/>
        <w:t xml:space="preserve">Sale of the platform or skill library as a standalone product to third parties.</w:t>
      </w:r>
    </w:p>
    <w:p>
      <w:pPr>
        <w:ind w:left="720" w:first-line="-720"/>
        <w:spacing w:after="80"/>
      </w:pPr>
      <w:r>
        <w:rPr>
          <w:rFonts w:ascii="Times" w:hAnsi="Times" w:cs="Times"/>
          <w:sz w:val="22"/>
          <w:sz-cs w:val="22"/>
        </w:rPr>
        <w:t xml:space="preserve"/>
        <w:tab/>
        <w:t xml:space="preserve">•</w:t>
        <w:tab/>
        <w:t xml:space="preserve">Client self-service skill authoring.</w:t>
      </w:r>
    </w:p>
    <w:p>
      <w:pPr>
        <w:ind w:left="720" w:first-line="-720"/>
        <w:spacing w:after="80"/>
      </w:pPr>
      <w:r>
        <w:rPr>
          <w:rFonts w:ascii="Times" w:hAnsi="Times" w:cs="Times"/>
          <w:sz w:val="22"/>
          <w:sz-cs w:val="22"/>
        </w:rPr>
        <w:t xml:space="preserve"/>
        <w:tab/>
        <w:t xml:space="preserve">•</w:t>
        <w:tab/>
        <w:t xml:space="preserve">Multi-tenant SaaS hosting for multiple consulting firms.</w:t>
      </w:r>
    </w:p>
    <w:p>
      <w:pPr>
        <w:ind w:left="720" w:first-line="-720"/>
        <w:spacing w:after="80"/>
      </w:pPr>
      <w:r>
        <w:rPr>
          <w:rFonts w:ascii="Times" w:hAnsi="Times" w:cs="Times"/>
          <w:sz w:val="22"/>
          <w:sz-cs w:val="22"/>
        </w:rPr>
        <w:t xml:space="preserve"/>
        <w:tab/>
        <w:t xml:space="preserve">•</w:t>
        <w:tab/>
        <w:t xml:space="preserve">Vitalief-built model training or model fine-tuning.</w:t>
      </w:r>
    </w:p>
    <w:p>
      <w:pPr>
        <w:ind w:left="720" w:first-line="-720"/>
        <w:spacing w:after="80"/>
      </w:pPr>
      <w:r>
        <w:rPr>
          <w:rFonts w:ascii="Times" w:hAnsi="Times" w:cs="Times"/>
          <w:sz w:val="22"/>
          <w:sz-cs w:val="22"/>
        </w:rPr>
        <w:t xml:space="preserve"/>
        <w:tab/>
        <w:t xml:space="preserve">•</w:t>
        <w:tab/>
        <w:t xml:space="preserve">Replacement of client systems of record (CTMS, EDC, CRM). The platform integrates with these, it does not replace them.</w:t>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4. Platform Requirements</w:t>
      </w:r>
    </w:p>
    <w:p>
      <w:pPr>
        <w:spacing w:after="120"/>
      </w:pPr>
      <w:r>
        <w:rPr>
          <w:rFonts w:ascii="Times" w:hAnsi="Times" w:cs="Times"/>
          <w:sz w:val="22"/>
          <w:sz-cs w:val="22"/>
          <w:b/>
          <w:i/>
          <w:color w:val="000000"/>
        </w:rPr>
        <w:t xml:space="preserve">Requirements are grouped by capability area. Each requirement has an ID for traceability. Priority levels are P1 (required for Phase 1 launch), P2 (required for Phase 2 ramp), and P3 (architected for, built later).</w:t>
      </w:r>
    </w:p>
    <w:p>
      <w:pPr>
        <w:spacing w:before="280" w:after="140"/>
      </w:pPr>
      <w:r>
        <w:rPr>
          <w:rFonts w:ascii="Times" w:hAnsi="Times" w:cs="Times"/>
          <w:sz w:val="26"/>
          <w:sz-cs w:val="26"/>
          <w:b/>
          <w:color w:val="2E5597"/>
        </w:rPr>
        <w:t xml:space="preserve">4.1 Skill Registry and Lifecycle</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REG-01</w:t>
      </w:r>
    </w:p>
    <w:p>
      <w:pPr/>
      <w:r>
        <w:rPr>
          <w:rFonts w:ascii="Times" w:hAnsi="Times" w:cs="Times"/>
          <w:sz w:val="20"/>
          <w:sz-cs w:val="20"/>
          <w:b/>
          <w:color w:val="000000"/>
        </w:rPr>
        <w:t xml:space="preserve">The platform stores skills as versioned, immutable artifacts. Each version has a unique identifier.</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REG-02</w:t>
      </w:r>
    </w:p>
    <w:p>
      <w:pPr/>
      <w:r>
        <w:rPr>
          <w:rFonts w:ascii="Times" w:hAnsi="Times" w:cs="Times"/>
          <w:sz w:val="20"/>
          <w:sz-cs w:val="20"/>
          <w:b/>
          <w:color w:val="000000"/>
        </w:rPr>
        <w:t xml:space="preserve">Skills have a lifecycle state: draft, internal-ready, client-ready, retired.</w:t>
      </w:r>
    </w:p>
    <w:p>
      <w:pPr/>
      <w:r>
        <w:rPr>
          <w:rFonts w:ascii="Times" w:hAnsi="Times" w:cs="Times"/>
          <w:sz w:val="20"/>
          <w:sz-cs w:val="20"/>
          <w:b/>
          <w:color w:val="000000"/>
        </w:rPr>
        <w:t xml:space="preserve">P1</w:t>
      </w:r>
    </w:p>
    <w:p>
      <w:pPr/>
      <w:r>
        <w:rPr>
          <w:rFonts w:ascii="Times" w:hAnsi="Times" w:cs="Times"/>
          <w:sz w:val="20"/>
          <w:sz-cs w:val="20"/>
          <w:b/>
          <w:color w:val="000000"/>
        </w:rPr>
        <w:t xml:space="preserve">State drives access.</w:t>
      </w:r>
    </w:p>
    <w:p>
      <w:pPr/>
      <w:r>
        <w:rPr>
          <w:rFonts w:ascii="Times" w:hAnsi="Times" w:cs="Times"/>
          <w:sz w:val="20"/>
          <w:sz-cs w:val="20"/>
          <w:b/>
          <w:color w:val="000000"/>
        </w:rPr>
        <w:t xml:space="preserve">REG-03</w:t>
      </w:r>
    </w:p>
    <w:p>
      <w:pPr/>
      <w:r>
        <w:rPr>
          <w:rFonts w:ascii="Times" w:hAnsi="Times" w:cs="Times"/>
          <w:sz w:val="20"/>
          <w:sz-cs w:val="20"/>
          <w:b/>
          <w:color w:val="000000"/>
        </w:rPr>
        <w:t xml:space="preserve">Skills have metadata: name, description, author, date created, date last modified, lifecycle state, tags.</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REG-04</w:t>
      </w:r>
    </w:p>
    <w:p>
      <w:pPr/>
      <w:r>
        <w:rPr>
          <w:rFonts w:ascii="Times" w:hAnsi="Times" w:cs="Times"/>
          <w:sz w:val="20"/>
          <w:sz-cs w:val="20"/>
          <w:b/>
          <w:color w:val="000000"/>
        </w:rPr>
        <w:t xml:space="preserve">Skills can be marked as internal-only, client-facing, or both.</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REG-05</w:t>
      </w:r>
    </w:p>
    <w:p>
      <w:pPr/>
      <w:r>
        <w:rPr>
          <w:rFonts w:ascii="Times" w:hAnsi="Times" w:cs="Times"/>
          <w:sz w:val="20"/>
          <w:sz-cs w:val="20"/>
          <w:b/>
          <w:color w:val="000000"/>
        </w:rPr>
        <w:t xml:space="preserve">Paired internal and client-facing skills track derivation lineage. Updates to a parent skill flag the derived skill for review.</w:t>
      </w:r>
    </w:p>
    <w:p>
      <w:pPr/>
      <w:r>
        <w:rPr>
          <w:rFonts w:ascii="Times" w:hAnsi="Times" w:cs="Times"/>
          <w:sz w:val="20"/>
          <w:sz-cs w:val="20"/>
          <w:b/>
          <w:color w:val="000000"/>
        </w:rPr>
        <w:t xml:space="preserve">P1</w:t>
      </w:r>
    </w:p>
    <w:p>
      <w:pPr/>
      <w:r>
        <w:rPr>
          <w:rFonts w:ascii="Times" w:hAnsi="Times" w:cs="Times"/>
          <w:sz w:val="20"/>
          <w:sz-cs w:val="20"/>
          <w:b/>
          <w:color w:val="000000"/>
        </w:rPr>
        <w:t xml:space="preserve">Prevents drift.</w:t>
      </w:r>
    </w:p>
    <w:p>
      <w:pPr/>
      <w:r>
        <w:rPr>
          <w:rFonts w:ascii="Times" w:hAnsi="Times" w:cs="Times"/>
          <w:sz w:val="20"/>
          <w:sz-cs w:val="20"/>
          <w:b/>
          <w:color w:val="000000"/>
        </w:rPr>
        <w:t xml:space="preserve">REG-06</w:t>
      </w:r>
    </w:p>
    <w:p>
      <w:pPr/>
      <w:r>
        <w:rPr>
          <w:rFonts w:ascii="Times" w:hAnsi="Times" w:cs="Times"/>
          <w:sz w:val="20"/>
          <w:sz-cs w:val="20"/>
          <w:b/>
          <w:color w:val="000000"/>
        </w:rPr>
        <w:t xml:space="preserve">Skill versions can be pinned to specific engagements so an engagement is not affected by later changes until upgraded.</w:t>
      </w:r>
    </w:p>
    <w:p>
      <w:pPr/>
      <w:r>
        <w:rPr>
          <w:rFonts w:ascii="Times" w:hAnsi="Times" w:cs="Times"/>
          <w:sz w:val="20"/>
          <w:sz-cs w:val="20"/>
          <w:b/>
          <w:color w:val="000000"/>
        </w:rPr>
        <w:t xml:space="preserve">P2</w:t>
      </w:r>
    </w:p>
    <w:p>
      <w:pPr/>
      <w:r>
        <w:rPr>
          <w:rFonts w:ascii="Times" w:hAnsi="Times" w:cs="Times"/>
          <w:sz w:val="20"/>
          <w:sz-cs w:val="20"/>
          <w:b/>
          <w:color w:val="000000"/>
        </w:rPr>
        <w:t xml:space="preserve"/>
      </w:r>
    </w:p>
    <w:p>
      <w:pPr/>
      <w:r>
        <w:rPr>
          <w:rFonts w:ascii="Times" w:hAnsi="Times" w:cs="Times"/>
          <w:sz w:val="20"/>
          <w:sz-cs w:val="20"/>
          <w:b/>
          <w:color w:val="000000"/>
        </w:rPr>
        <w:t xml:space="preserve">REG-07</w:t>
      </w:r>
    </w:p>
    <w:p>
      <w:pPr/>
      <w:r>
        <w:rPr>
          <w:rFonts w:ascii="Times" w:hAnsi="Times" w:cs="Times"/>
          <w:sz w:val="20"/>
          <w:sz-cs w:val="20"/>
          <w:b/>
          <w:color w:val="000000"/>
        </w:rPr>
        <w:t xml:space="preserve">Retired skills remain in the registry for audit but cannot be invoked.</w:t>
      </w:r>
    </w:p>
    <w:p>
      <w:pPr/>
      <w:r>
        <w:rPr>
          <w:rFonts w:ascii="Times" w:hAnsi="Times" w:cs="Times"/>
          <w:sz w:val="20"/>
          <w:sz-cs w:val="20"/>
          <w:b/>
          <w:color w:val="000000"/>
        </w:rPr>
        <w:t xml:space="preserve">P2</w:t>
      </w:r>
    </w:p>
    <w:p>
      <w:pPr/>
      <w:r>
        <w:rPr>
          <w:rFonts w:ascii="Times" w:hAnsi="Times" w:cs="Times"/>
          <w:sz w:val="20"/>
          <w:sz-cs w:val="20"/>
          <w:b/>
          <w:color w:val="000000"/>
        </w:rPr>
        <w:t xml:space="preserve"/>
      </w:r>
    </w:p>
    <w:p>
      <w:pPr>
        <w:spacing w:before="280" w:after="140"/>
      </w:pPr>
      <w:r>
        <w:rPr>
          <w:rFonts w:ascii="Times" w:hAnsi="Times" w:cs="Times"/>
          <w:sz w:val="26"/>
          <w:sz-cs w:val="26"/>
          <w:b/>
          <w:color w:val="2E5597"/>
        </w:rPr>
        <w:t xml:space="preserve">4.2 Skill Execution</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EXE-01</w:t>
      </w:r>
    </w:p>
    <w:p>
      <w:pPr/>
      <w:r>
        <w:rPr>
          <w:rFonts w:ascii="Times" w:hAnsi="Times" w:cs="Times"/>
          <w:sz w:val="20"/>
          <w:sz-cs w:val="20"/>
          <w:b/>
          <w:color w:val="000000"/>
        </w:rPr>
        <w:t xml:space="preserve">The platform supports prompt-based skills consisting of instructions, context, and supporting reference files.</w:t>
      </w:r>
    </w:p>
    <w:p>
      <w:pPr/>
      <w:r>
        <w:rPr>
          <w:rFonts w:ascii="Times" w:hAnsi="Times" w:cs="Times"/>
          <w:sz w:val="20"/>
          <w:sz-cs w:val="20"/>
          <w:b/>
          <w:color w:val="000000"/>
        </w:rPr>
        <w:t xml:space="preserve">P1</w:t>
      </w:r>
    </w:p>
    <w:p>
      <w:pPr/>
      <w:r>
        <w:rPr>
          <w:rFonts w:ascii="Times" w:hAnsi="Times" w:cs="Times"/>
          <w:sz w:val="20"/>
          <w:sz-cs w:val="20"/>
          <w:color w:val="000000"/>
        </w:rPr>
        <w:t xml:space="preserve">Difference between the two and what would each look like?</w:t>
      </w:r>
      <w:r>
        <w:rPr>
          <w:rFonts w:ascii="Times" w:hAnsi="Times" w:cs="Times"/>
          <w:sz w:val="20"/>
          <w:sz-cs w:val="20"/>
          <w:b/>
          <w:color w:val="000000"/>
        </w:rPr>
        <w:t xml:space="preserve"/>
      </w:r>
    </w:p>
    <w:p>
      <w:pPr/>
      <w:r>
        <w:rPr>
          <w:rFonts w:ascii="Times" w:hAnsi="Times" w:cs="Times"/>
          <w:sz w:val="20"/>
          <w:sz-cs w:val="20"/>
          <w:b/>
          <w:color w:val="000000"/>
        </w:rPr>
        <w:t xml:space="preserve">EXE-02</w:t>
      </w:r>
    </w:p>
    <w:p>
      <w:pPr/>
      <w:r>
        <w:rPr>
          <w:rFonts w:ascii="Times" w:hAnsi="Times" w:cs="Times"/>
          <w:sz w:val="20"/>
          <w:sz-cs w:val="20"/>
          <w:b/>
          <w:color w:val="000000"/>
        </w:rPr>
        <w:t xml:space="preserve">The platform supports code-based skills written in Python (and additional runtimes if scope expands).</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EXE-03</w:t>
      </w:r>
    </w:p>
    <w:p>
      <w:pPr/>
      <w:r>
        <w:rPr>
          <w:rFonts w:ascii="Times" w:hAnsi="Times" w:cs="Times"/>
          <w:sz w:val="20"/>
          <w:sz-cs w:val="20"/>
          <w:b/>
          <w:color w:val="000000"/>
        </w:rPr>
        <w:t xml:space="preserve">The platform supports hybrid skills in which an LLM orchestrates and calls code helpers.</w:t>
      </w:r>
    </w:p>
    <w:p>
      <w:pPr/>
      <w:r>
        <w:rPr>
          <w:rFonts w:ascii="Times" w:hAnsi="Times" w:cs="Times"/>
          <w:sz w:val="20"/>
          <w:sz-cs w:val="20"/>
          <w:b/>
          <w:color w:val="000000"/>
        </w:rPr>
        <w:t xml:space="preserve">P1</w:t>
      </w:r>
    </w:p>
    <w:p>
      <w:pPr/>
      <w:r>
        <w:rPr>
          <w:rFonts w:ascii="Times" w:hAnsi="Times" w:cs="Times"/>
          <w:sz w:val="20"/>
          <w:sz-cs w:val="20"/>
          <w:b/>
          <w:color w:val="000000"/>
        </w:rPr>
        <w:t xml:space="preserve">Matches Anthropic SKILL.md pattern.</w:t>
      </w:r>
    </w:p>
    <w:p>
      <w:pPr/>
      <w:r>
        <w:rPr>
          <w:rFonts w:ascii="Times" w:hAnsi="Times" w:cs="Times"/>
          <w:sz w:val="20"/>
          <w:sz-cs w:val="20"/>
          <w:b/>
          <w:color w:val="000000"/>
        </w:rPr>
        <w:t xml:space="preserve">EXE-04</w:t>
      </w:r>
    </w:p>
    <w:p>
      <w:pPr/>
      <w:r>
        <w:rPr>
          <w:rFonts w:ascii="Times" w:hAnsi="Times" w:cs="Times"/>
          <w:sz w:val="20"/>
          <w:sz-cs w:val="20"/>
          <w:b/>
          <w:color w:val="000000"/>
        </w:rPr>
        <w:t xml:space="preserve">Skill execution is logged with start time, end time, success or failure, and a reference to the inputs and outputs.</w:t>
      </w:r>
    </w:p>
    <w:p>
      <w:pPr/>
      <w:r>
        <w:rPr>
          <w:rFonts w:ascii="Times" w:hAnsi="Times" w:cs="Times"/>
          <w:sz w:val="20"/>
          <w:sz-cs w:val="20"/>
          <w:b/>
          <w:color w:val="000000"/>
        </w:rPr>
        <w:t xml:space="preserve">P1</w:t>
      </w:r>
    </w:p>
    <w:p>
      <w:pPr/>
      <w:r>
        <w:rPr>
          <w:rFonts w:ascii="Times" w:hAnsi="Times" w:cs="Times"/>
          <w:sz w:val="20"/>
          <w:sz-cs w:val="20"/>
          <w:b/>
          <w:color w:val="000000"/>
        </w:rPr>
        <w:t xml:space="preserve">Feeds usage tracking.</w:t>
      </w:r>
    </w:p>
    <w:p>
      <w:pPr/>
      <w:r>
        <w:rPr>
          <w:rFonts w:ascii="Times" w:hAnsi="Times" w:cs="Times"/>
          <w:sz w:val="20"/>
          <w:sz-cs w:val="20"/>
          <w:b/>
          <w:color w:val="000000"/>
        </w:rPr>
        <w:t xml:space="preserve">EXE-05</w:t>
      </w:r>
    </w:p>
    <w:p>
      <w:pPr/>
      <w:r>
        <w:rPr>
          <w:rFonts w:ascii="Times" w:hAnsi="Times" w:cs="Times"/>
          <w:sz w:val="20"/>
          <w:sz-cs w:val="20"/>
          <w:b/>
          <w:color w:val="000000"/>
        </w:rPr>
        <w:t xml:space="preserve">Skill execution is sandboxed so that a misbehaving skill cannot affect other skills or platform stability.</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EXE-06</w:t>
      </w:r>
    </w:p>
    <w:p>
      <w:pPr/>
      <w:r>
        <w:rPr>
          <w:rFonts w:ascii="Times" w:hAnsi="Times" w:cs="Times"/>
          <w:sz w:val="20"/>
          <w:sz-cs w:val="20"/>
          <w:b/>
          <w:color w:val="000000"/>
        </w:rPr>
        <w:t xml:space="preserve">Skills can call other skills as subroutines, with the calling chain logged for audit.</w:t>
      </w:r>
    </w:p>
    <w:p>
      <w:pPr/>
      <w:r>
        <w:rPr>
          <w:rFonts w:ascii="Times" w:hAnsi="Times" w:cs="Times"/>
          <w:sz w:val="20"/>
          <w:sz-cs w:val="20"/>
          <w:b/>
          <w:color w:val="000000"/>
        </w:rPr>
        <w:t xml:space="preserve">P2</w:t>
      </w:r>
    </w:p>
    <w:p>
      <w:pPr/>
      <w:r>
        <w:rPr>
          <w:rFonts w:ascii="Times" w:hAnsi="Times" w:cs="Times"/>
          <w:sz w:val="20"/>
          <w:sz-cs w:val="20"/>
          <w:b/>
          <w:color w:val="000000"/>
        </w:rPr>
        <w:t xml:space="preserve"/>
      </w:r>
    </w:p>
    <w:p>
      <w:pPr>
        <w:spacing w:before="280" w:after="140"/>
      </w:pPr>
      <w:r>
        <w:rPr>
          <w:rFonts w:ascii="Times" w:hAnsi="Times" w:cs="Times"/>
          <w:sz w:val="26"/>
          <w:sz-cs w:val="26"/>
          <w:b/>
          <w:color w:val="2E5597"/>
        </w:rPr>
        <w:t xml:space="preserve">4.3 Security and Compliance</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SEC-01</w:t>
      </w:r>
    </w:p>
    <w:p>
      <w:pPr/>
      <w:r>
        <w:rPr>
          <w:rFonts w:ascii="Times" w:hAnsi="Times" w:cs="Times"/>
          <w:sz w:val="20"/>
          <w:sz-cs w:val="20"/>
          <w:b/>
          <w:color w:val="000000"/>
        </w:rPr>
        <w:t xml:space="preserve">Platform hosting is provided on a BAA-eligible cloud provider with a signed BAA in place.</w:t>
      </w:r>
    </w:p>
    <w:p>
      <w:pPr/>
      <w:r>
        <w:rPr>
          <w:rFonts w:ascii="Times" w:hAnsi="Times" w:cs="Times"/>
          <w:sz w:val="20"/>
          <w:sz-cs w:val="20"/>
          <w:b/>
          <w:color w:val="000000"/>
        </w:rPr>
        <w:t xml:space="preserve">P1</w:t>
      </w:r>
    </w:p>
    <w:p>
      <w:pPr/>
      <w:r>
        <w:rPr>
          <w:rFonts w:ascii="Times" w:hAnsi="Times" w:cs="Times"/>
          <w:sz w:val="20"/>
          <w:sz-cs w:val="20"/>
          <w:b/>
          <w:color w:val="000000"/>
        </w:rPr>
        <w:t xml:space="preserve">AWS, Azure, or GCP.</w:t>
      </w:r>
    </w:p>
    <w:p>
      <w:pPr/>
      <w:r>
        <w:rPr>
          <w:rFonts w:ascii="Times" w:hAnsi="Times" w:cs="Times"/>
          <w:sz w:val="20"/>
          <w:sz-cs w:val="20"/>
          <w:b/>
          <w:color w:val="000000"/>
        </w:rPr>
        <w:t xml:space="preserve">SEC-02</w:t>
      </w:r>
    </w:p>
    <w:p>
      <w:pPr/>
      <w:r>
        <w:rPr>
          <w:rFonts w:ascii="Times" w:hAnsi="Times" w:cs="Times"/>
          <w:sz w:val="20"/>
          <w:sz-cs w:val="20"/>
          <w:b/>
          <w:color w:val="000000"/>
        </w:rPr>
        <w:t xml:space="preserve">Data at rest is encrypted using industry-standard algorithms.</w:t>
      </w:r>
    </w:p>
    <w:p>
      <w:pPr/>
      <w:r>
        <w:rPr>
          <w:rFonts w:ascii="Times" w:hAnsi="Times" w:cs="Times"/>
          <w:sz w:val="20"/>
          <w:sz-cs w:val="20"/>
          <w:b/>
          <w:color w:val="000000"/>
        </w:rPr>
        <w:t xml:space="preserve">P1</w:t>
      </w:r>
    </w:p>
    <w:p>
      <w:pPr/>
      <w:r>
        <w:rPr>
          <w:rFonts w:ascii="Times" w:hAnsi="Times" w:cs="Times"/>
          <w:sz w:val="20"/>
          <w:sz-cs w:val="20"/>
          <w:b/>
          <w:color w:val="000000"/>
        </w:rPr>
        <w:t xml:space="preserve">AES-256 or equivalent.</w:t>
      </w:r>
    </w:p>
    <w:p>
      <w:pPr/>
      <w:r>
        <w:rPr>
          <w:rFonts w:ascii="Times" w:hAnsi="Times" w:cs="Times"/>
          <w:sz w:val="20"/>
          <w:sz-cs w:val="20"/>
          <w:b/>
          <w:color w:val="000000"/>
        </w:rPr>
        <w:t xml:space="preserve">SEC-03</w:t>
      </w:r>
    </w:p>
    <w:p>
      <w:pPr/>
      <w:r>
        <w:rPr>
          <w:rFonts w:ascii="Times" w:hAnsi="Times" w:cs="Times"/>
          <w:sz w:val="20"/>
          <w:sz-cs w:val="20"/>
          <w:b/>
          <w:color w:val="000000"/>
        </w:rPr>
        <w:t xml:space="preserve">Data in transit uses TLS 1.2 or higher.</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SEC-04</w:t>
      </w:r>
    </w:p>
    <w:p>
      <w:pPr/>
      <w:r>
        <w:rPr>
          <w:rFonts w:ascii="Times" w:hAnsi="Times" w:cs="Times"/>
          <w:sz w:val="20"/>
          <w:sz-cs w:val="20"/>
          <w:b/>
          <w:color w:val="000000"/>
        </w:rPr>
        <w:t xml:space="preserve">PHI is never written to URLs, logs, or error messages.</w:t>
      </w:r>
    </w:p>
    <w:p>
      <w:pPr/>
      <w:r>
        <w:rPr>
          <w:rFonts w:ascii="Times" w:hAnsi="Times" w:cs="Times"/>
          <w:sz w:val="20"/>
          <w:sz-cs w:val="20"/>
          <w:b/>
          <w:color w:val="000000"/>
        </w:rPr>
        <w:t xml:space="preserve">P1</w:t>
      </w:r>
    </w:p>
    <w:p>
      <w:pPr/>
      <w:r>
        <w:rPr>
          <w:rFonts w:ascii="Times" w:hAnsi="Times" w:cs="Times"/>
          <w:sz w:val="20"/>
          <w:sz-cs w:val="20"/>
          <w:b/>
          <w:color w:val="000000"/>
        </w:rPr>
        <w:t xml:space="preserve">Architectural requirement.</w:t>
      </w:r>
    </w:p>
    <w:p>
      <w:pPr/>
      <w:r>
        <w:rPr>
          <w:rFonts w:ascii="Times" w:hAnsi="Times" w:cs="Times"/>
          <w:sz w:val="20"/>
          <w:sz-cs w:val="20"/>
          <w:b/>
          <w:color w:val="000000"/>
        </w:rPr>
        <w:t xml:space="preserve">SEC-05</w:t>
      </w:r>
    </w:p>
    <w:p>
      <w:pPr/>
      <w:r>
        <w:rPr>
          <w:rFonts w:ascii="Times" w:hAnsi="Times" w:cs="Times"/>
          <w:sz w:val="20"/>
          <w:sz-cs w:val="20"/>
          <w:b/>
          <w:color w:val="000000"/>
        </w:rPr>
        <w:t xml:space="preserve">Access logs capture every skill invocation, every read of skill internals, and every administrative action.</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SEC-06</w:t>
      </w:r>
    </w:p>
    <w:p>
      <w:pPr/>
      <w:r>
        <w:rPr>
          <w:rFonts w:ascii="Times" w:hAnsi="Times" w:cs="Times"/>
          <w:sz w:val="20"/>
          <w:sz-cs w:val="20"/>
          <w:b/>
          <w:color w:val="000000"/>
        </w:rPr>
        <w:t xml:space="preserve">A data handling policy is documented and reviewed before launch.</w:t>
      </w:r>
    </w:p>
    <w:p>
      <w:pPr/>
      <w:r>
        <w:rPr>
          <w:rFonts w:ascii="Times" w:hAnsi="Times" w:cs="Times"/>
          <w:sz w:val="20"/>
          <w:sz-cs w:val="20"/>
          <w:b/>
          <w:color w:val="000000"/>
        </w:rPr>
        <w:t xml:space="preserve">P1</w:t>
      </w:r>
    </w:p>
    <w:p>
      <w:pPr/>
      <w:r>
        <w:rPr>
          <w:rFonts w:ascii="Times" w:hAnsi="Times" w:cs="Times"/>
          <w:sz w:val="20"/>
          <w:sz-cs w:val="20"/>
          <w:b/>
          <w:color w:val="000000"/>
        </w:rPr>
        <w:t xml:space="preserve">Vitalief approves.</w:t>
      </w:r>
    </w:p>
    <w:p>
      <w:pPr/>
      <w:r>
        <w:rPr>
          <w:rFonts w:ascii="Times" w:hAnsi="Times" w:cs="Times"/>
          <w:sz w:val="20"/>
          <w:sz-cs w:val="20"/>
          <w:b/>
          <w:color w:val="000000"/>
        </w:rPr>
        <w:t xml:space="preserve">SEC-07</w:t>
      </w:r>
    </w:p>
    <w:p>
      <w:pPr/>
      <w:r>
        <w:rPr>
          <w:rFonts w:ascii="Times" w:hAnsi="Times" w:cs="Times"/>
          <w:sz w:val="20"/>
          <w:sz-cs w:val="20"/>
          <w:b/>
          <w:color w:val="000000"/>
        </w:rPr>
        <w:t xml:space="preserve">The platform supports user authentication via SSO compatible with Vitalief's identity provider.</w:t>
      </w:r>
    </w:p>
    <w:p>
      <w:pPr/>
      <w:r>
        <w:rPr>
          <w:rFonts w:ascii="Times" w:hAnsi="Times" w:cs="Times"/>
          <w:sz w:val="20"/>
          <w:sz-cs w:val="20"/>
          <w:b/>
          <w:color w:val="000000"/>
        </w:rPr>
        <w:t xml:space="preserve">P2</w:t>
      </w:r>
    </w:p>
    <w:p>
      <w:pPr/>
      <w:r>
        <w:rPr>
          <w:rFonts w:ascii="Times" w:hAnsi="Times" w:cs="Times"/>
          <w:sz w:val="20"/>
          <w:sz-cs w:val="20"/>
          <w:color w:val="000000"/>
        </w:rPr>
        <w:t xml:space="preserve">AWS Cognito maybe</w:t>
      </w:r>
      <w:r>
        <w:rPr>
          <w:rFonts w:ascii="Times" w:hAnsi="Times" w:cs="Times"/>
          <w:sz w:val="20"/>
          <w:sz-cs w:val="20"/>
          <w:b/>
          <w:color w:val="000000"/>
        </w:rPr>
        <w:t xml:space="preserve"/>
      </w:r>
    </w:p>
    <w:p>
      <w:pPr/>
      <w:r>
        <w:rPr>
          <w:rFonts w:ascii="Times" w:hAnsi="Times" w:cs="Times"/>
          <w:sz w:val="20"/>
          <w:sz-cs w:val="20"/>
          <w:b/>
          <w:color w:val="000000"/>
        </w:rPr>
        <w:t xml:space="preserve">SEC-08</w:t>
      </w:r>
    </w:p>
    <w:p>
      <w:pPr/>
      <w:r>
        <w:rPr>
          <w:rFonts w:ascii="Times" w:hAnsi="Times" w:cs="Times"/>
          <w:sz w:val="20"/>
          <w:sz-cs w:val="20"/>
          <w:b/>
          <w:color w:val="000000"/>
        </w:rPr>
        <w:t xml:space="preserve">Audit logs are retained for a minimum of seven years.</w:t>
      </w:r>
    </w:p>
    <w:p>
      <w:pPr/>
      <w:r>
        <w:rPr>
          <w:rFonts w:ascii="Times" w:hAnsi="Times" w:cs="Times"/>
          <w:sz w:val="20"/>
          <w:sz-cs w:val="20"/>
          <w:b/>
          <w:color w:val="000000"/>
        </w:rPr>
        <w:t xml:space="preserve">P2</w:t>
      </w:r>
    </w:p>
    <w:p>
      <w:pPr/>
      <w:r>
        <w:rPr>
          <w:rFonts w:ascii="Times" w:hAnsi="Times" w:cs="Times"/>
          <w:sz w:val="20"/>
          <w:sz-cs w:val="20"/>
          <w:b/>
          <w:color w:val="000000"/>
        </w:rPr>
        <w:t xml:space="preserve">Aligns with research records norms.</w:t>
      </w:r>
    </w:p>
    <w:p>
      <w:pPr>
        <w:spacing w:before="280" w:after="140"/>
      </w:pPr>
      <w:r>
        <w:rPr>
          <w:rFonts w:ascii="Times" w:hAnsi="Times" w:cs="Times"/>
          <w:sz w:val="26"/>
          <w:sz-cs w:val="26"/>
          <w:b/>
          <w:color w:val="2E5597"/>
        </w:rPr>
        <w:t xml:space="preserve">4.4 Ingest and Send-out</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ING-01</w:t>
      </w:r>
    </w:p>
    <w:p>
      <w:pPr/>
      <w:r>
        <w:rPr>
          <w:rFonts w:ascii="Times" w:hAnsi="Times" w:cs="Times"/>
          <w:sz w:val="20"/>
          <w:sz-cs w:val="20"/>
          <w:b/>
          <w:color w:val="000000"/>
        </w:rPr>
        <w:t xml:space="preserve">The platform accepts PDF, Word, and Excel file uploads as inputs to skills.</w:t>
      </w:r>
    </w:p>
    <w:p>
      <w:pPr/>
      <w:r>
        <w:rPr>
          <w:rFonts w:ascii="Times" w:hAnsi="Times" w:cs="Times"/>
          <w:sz w:val="20"/>
          <w:sz-cs w:val="20"/>
          <w:b/>
          <w:color w:val="000000"/>
        </w:rPr>
        <w:t xml:space="preserve">P1</w:t>
      </w:r>
    </w:p>
    <w:p>
      <w:pPr/>
      <w:r>
        <w:rPr>
          <w:rFonts w:ascii="Times" w:hAnsi="Times" w:cs="Times"/>
          <w:sz w:val="20"/>
          <w:sz-cs w:val="20"/>
          <w:b/>
          <w:color w:val="000000"/>
        </w:rPr>
        <w:t xml:space="preserve">v1 ingest. </w:t>
      </w:r>
      <w:r>
        <w:rPr>
          <w:rFonts w:ascii="Times" w:hAnsi="Times" w:cs="Times"/>
          <w:sz w:val="20"/>
          <w:sz-cs w:val="20"/>
          <w:color w:val="000000"/>
        </w:rPr>
        <w:t xml:space="preserve">(Multiple files allowed?)</w:t>
      </w:r>
      <w:r>
        <w:rPr>
          <w:rFonts w:ascii="Times" w:hAnsi="Times" w:cs="Times"/>
          <w:sz w:val="20"/>
          <w:sz-cs w:val="20"/>
          <w:b/>
          <w:color w:val="000000"/>
        </w:rPr>
        <w:t xml:space="preserve"/>
      </w:r>
    </w:p>
    <w:p>
      <w:pPr/>
      <w:r>
        <w:rPr>
          <w:rFonts w:ascii="Times" w:hAnsi="Times" w:cs="Times"/>
          <w:sz w:val="20"/>
          <w:sz-cs w:val="20"/>
          <w:b/>
          <w:color w:val="000000"/>
        </w:rPr>
        <w:t xml:space="preserve">ING-02</w:t>
      </w:r>
    </w:p>
    <w:p>
      <w:pPr/>
      <w:r>
        <w:rPr>
          <w:rFonts w:ascii="Times" w:hAnsi="Times" w:cs="Times"/>
          <w:sz w:val="20"/>
          <w:sz-cs w:val="20"/>
          <w:b/>
          <w:color w:val="000000"/>
        </w:rPr>
        <w:t xml:space="preserve">Uploaded files are scanned for type validity before being passed to skills.</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OUT-01</w:t>
      </w:r>
    </w:p>
    <w:p>
      <w:pPr/>
      <w:r>
        <w:rPr>
          <w:rFonts w:ascii="Times" w:hAnsi="Times" w:cs="Times"/>
          <w:sz w:val="20"/>
          <w:sz-cs w:val="20"/>
          <w:b/>
          <w:color w:val="000000"/>
        </w:rPr>
        <w:t xml:space="preserve">The platform generates PDF, PPTX, DOCX, and XLSX files as skill outputs.</w:t>
      </w:r>
    </w:p>
    <w:p>
      <w:pPr/>
      <w:r>
        <w:rPr>
          <w:rFonts w:ascii="Times" w:hAnsi="Times" w:cs="Times"/>
          <w:sz w:val="20"/>
          <w:sz-cs w:val="20"/>
          <w:b/>
          <w:color w:val="000000"/>
        </w:rPr>
        <w:t xml:space="preserve">P1</w:t>
      </w:r>
    </w:p>
    <w:p>
      <w:pPr/>
      <w:r>
        <w:rPr>
          <w:rFonts w:ascii="Times" w:hAnsi="Times" w:cs="Times"/>
          <w:sz w:val="20"/>
          <w:sz-cs w:val="20"/>
          <w:b/>
          <w:color w:val="000000"/>
        </w:rPr>
        <w:t xml:space="preserve">v1 send-out.</w:t>
      </w:r>
      <w:r>
        <w:rPr>
          <w:rFonts w:ascii="Times" w:hAnsi="Times" w:cs="Times"/>
          <w:sz w:val="20"/>
          <w:sz-cs w:val="20"/>
          <w:color w:val="000000"/>
        </w:rPr>
        <w:t xml:space="preserve"> (One skill have multiple output formats or one?)</w:t>
      </w:r>
      <w:r>
        <w:rPr>
          <w:rFonts w:ascii="Times" w:hAnsi="Times" w:cs="Times"/>
          <w:sz w:val="20"/>
          <w:sz-cs w:val="20"/>
          <w:b/>
          <w:color w:val="000000"/>
        </w:rPr>
        <w:t xml:space="preserve"/>
      </w:r>
    </w:p>
    <w:p>
      <w:pPr/>
      <w:r>
        <w:rPr>
          <w:rFonts w:ascii="Times" w:hAnsi="Times" w:cs="Times"/>
          <w:sz w:val="20"/>
          <w:sz-cs w:val="20"/>
          <w:b/>
          <w:color w:val="000000"/>
        </w:rPr>
        <w:t xml:space="preserve">OUT-02</w:t>
      </w:r>
    </w:p>
    <w:p>
      <w:pPr/>
      <w:r>
        <w:rPr>
          <w:rFonts w:ascii="Times" w:hAnsi="Times" w:cs="Times"/>
          <w:sz w:val="20"/>
          <w:sz-cs w:val="20"/>
          <w:b/>
          <w:color w:val="000000"/>
        </w:rPr>
        <w:t xml:space="preserve">Generated files apply Vitalief brand standards by default (fonts, colors, headers, footers) unless a skill overrides them.</w:t>
      </w:r>
    </w:p>
    <w:p>
      <w:pPr/>
      <w:r>
        <w:rPr>
          <w:rFonts w:ascii="Times" w:hAnsi="Times" w:cs="Times"/>
          <w:sz w:val="20"/>
          <w:sz-cs w:val="20"/>
          <w:b/>
          <w:color w:val="000000"/>
        </w:rPr>
        <w:t xml:space="preserve">P1</w:t>
      </w:r>
    </w:p>
    <w:p>
      <w:pPr/>
      <w:r>
        <w:rPr>
          <w:rFonts w:ascii="Times" w:hAnsi="Times" w:cs="Times"/>
          <w:sz w:val="20"/>
          <w:sz-cs w:val="20"/>
          <w:b/>
          <w:color w:val="000000"/>
        </w:rPr>
        <w:t xml:space="preserve">Calibri body, Georgia titles.</w:t>
      </w:r>
    </w:p>
    <w:p>
      <w:pPr/>
      <w:r>
        <w:rPr>
          <w:rFonts w:ascii="Times" w:hAnsi="Times" w:cs="Times"/>
          <w:sz w:val="20"/>
          <w:sz-cs w:val="20"/>
          <w:b/>
          <w:color w:val="000000"/>
        </w:rPr>
        <w:t xml:space="preserve">API-01</w:t>
      </w:r>
    </w:p>
    <w:p>
      <w:pPr/>
      <w:r>
        <w:rPr>
          <w:rFonts w:ascii="Times" w:hAnsi="Times" w:cs="Times"/>
          <w:sz w:val="20"/>
          <w:sz-cs w:val="20"/>
          <w:b/>
          <w:color w:val="000000"/>
        </w:rPr>
        <w:t xml:space="preserve">The platform supports outbound API calls from skills to external systems, with secure credential management.</w:t>
      </w:r>
    </w:p>
    <w:p>
      <w:pPr/>
      <w:r>
        <w:rPr>
          <w:rFonts w:ascii="Times" w:hAnsi="Times" w:cs="Times"/>
          <w:sz w:val="20"/>
          <w:sz-cs w:val="20"/>
          <w:b/>
          <w:color w:val="000000"/>
        </w:rPr>
        <w:t xml:space="preserve">P1</w:t>
      </w:r>
    </w:p>
    <w:p>
      <w:pPr/>
      <w:r>
        <w:rPr>
          <w:rFonts w:ascii="Times" w:hAnsi="Times" w:cs="Times"/>
          <w:sz w:val="20"/>
          <w:sz-cs w:val="20"/>
          <w:b/>
          <w:color w:val="000000"/>
        </w:rPr>
        <w:t xml:space="preserve">For commercial product integration.</w:t>
      </w:r>
    </w:p>
    <w:p>
      <w:pPr/>
      <w:r>
        <w:rPr>
          <w:rFonts w:ascii="Times" w:hAnsi="Times" w:cs="Times"/>
          <w:sz w:val="20"/>
          <w:sz-cs w:val="20"/>
          <w:b/>
          <w:color w:val="000000"/>
        </w:rPr>
        <w:t xml:space="preserve">CON-01</w:t>
      </w:r>
    </w:p>
    <w:p>
      <w:pPr/>
      <w:r>
        <w:rPr>
          <w:rFonts w:ascii="Times" w:hAnsi="Times" w:cs="Times"/>
          <w:sz w:val="20"/>
          <w:sz-cs w:val="20"/>
          <w:b/>
          <w:color w:val="000000"/>
        </w:rPr>
        <w:t xml:space="preserve">Connectors follow a documented framework so new connectors can be added consistently and cheaply.</w:t>
      </w:r>
    </w:p>
    <w:p>
      <w:pPr/>
      <w:r>
        <w:rPr>
          <w:rFonts w:ascii="Times" w:hAnsi="Times" w:cs="Times"/>
          <w:sz w:val="20"/>
          <w:sz-cs w:val="20"/>
          <w:b/>
          <w:color w:val="000000"/>
        </w:rPr>
        <w:t xml:space="preserve">P1</w:t>
      </w:r>
    </w:p>
    <w:p>
      <w:pPr/>
      <w:r>
        <w:rPr>
          <w:rFonts w:ascii="Times" w:hAnsi="Times" w:cs="Times"/>
          <w:sz w:val="20"/>
          <w:sz-cs w:val="20"/>
          <w:b/>
          <w:color w:val="000000"/>
        </w:rPr>
        <w:t xml:space="preserve">Framework, not all connectors.</w:t>
      </w:r>
    </w:p>
    <w:p>
      <w:pPr/>
      <w:r>
        <w:rPr>
          <w:rFonts w:ascii="Times" w:hAnsi="Times" w:cs="Times"/>
          <w:sz w:val="20"/>
          <w:sz-cs w:val="20"/>
          <w:b/>
          <w:color w:val="000000"/>
        </w:rPr>
        <w:t xml:space="preserve">CON-02</w:t>
      </w:r>
    </w:p>
    <w:p>
      <w:pPr/>
      <w:r>
        <w:rPr>
          <w:rFonts w:ascii="Times" w:hAnsi="Times" w:cs="Times"/>
          <w:sz w:val="20"/>
          <w:sz-cs w:val="20"/>
          <w:b/>
          <w:color w:val="000000"/>
        </w:rPr>
        <w:t xml:space="preserve">Future connectors anticipated include SharePoint, Google Drive, OneDrive, ClinicalTrials.gov, Salesforce, HubSpot, CRM systems, REDCap, CTMS systems, email ingestion, Slack, Teams, ClickUp, Jira, Smartsheet, and a Vitalief-owned dashboard.</w:t>
      </w:r>
    </w:p>
    <w:p>
      <w:pPr/>
      <w:r>
        <w:rPr>
          <w:rFonts w:ascii="Times" w:hAnsi="Times" w:cs="Times"/>
          <w:sz w:val="20"/>
          <w:sz-cs w:val="20"/>
          <w:b/>
          <w:color w:val="000000"/>
        </w:rPr>
        <w:t xml:space="preserve">P3</w:t>
      </w:r>
    </w:p>
    <w:p>
      <w:pPr/>
      <w:r>
        <w:rPr>
          <w:rFonts w:ascii="Times" w:hAnsi="Times" w:cs="Times"/>
          <w:sz w:val="20"/>
          <w:sz-cs w:val="20"/>
          <w:b/>
          <w:color w:val="000000"/>
        </w:rPr>
        <w:t xml:space="preserve">Built as engagements require.</w:t>
      </w:r>
    </w:p>
    <w:p>
      <w:pPr>
        <w:spacing w:before="280" w:after="140"/>
      </w:pPr>
      <w:r>
        <w:rPr>
          <w:rFonts w:ascii="Times" w:hAnsi="Times" w:cs="Times"/>
          <w:sz w:val="26"/>
          <w:sz-cs w:val="26"/>
          <w:b/>
          <w:color w:val="2E5597"/>
        </w:rPr>
        <w:t xml:space="preserve">4.5 Usage Tracking and Audit</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USE-01</w:t>
      </w:r>
    </w:p>
    <w:p>
      <w:pPr/>
      <w:r>
        <w:rPr>
          <w:rFonts w:ascii="Times" w:hAnsi="Times" w:cs="Times"/>
          <w:sz w:val="20"/>
          <w:sz-cs w:val="20"/>
          <w:b/>
          <w:color w:val="000000"/>
        </w:rPr>
        <w:t xml:space="preserve">Every skill invocation is logged with timestamp, user, engagement, client, skill identifier, skill version, runtime, and outcome.</w:t>
      </w:r>
    </w:p>
    <w:p>
      <w:pPr/>
      <w:r>
        <w:rPr>
          <w:rFonts w:ascii="Times" w:hAnsi="Times" w:cs="Times"/>
          <w:sz w:val="20"/>
          <w:sz-cs w:val="20"/>
          <w:b/>
          <w:color w:val="000000"/>
        </w:rPr>
        <w:t xml:space="preserve">P1</w:t>
      </w:r>
    </w:p>
    <w:p>
      <w:pPr/>
      <w:r>
        <w:rPr>
          <w:rFonts w:ascii="Times" w:hAnsi="Times" w:cs="Times"/>
          <w:sz w:val="20"/>
          <w:sz-cs w:val="20"/>
          <w:b/>
          <w:color w:val="000000"/>
        </w:rPr>
        <w:t xml:space="preserve">Billing foundation.</w:t>
      </w:r>
    </w:p>
    <w:p>
      <w:pPr/>
      <w:r>
        <w:rPr>
          <w:rFonts w:ascii="Times" w:hAnsi="Times" w:cs="Times"/>
          <w:sz w:val="20"/>
          <w:sz-cs w:val="20"/>
          <w:b/>
          <w:color w:val="000000"/>
        </w:rPr>
        <w:t xml:space="preserve">USE-02</w:t>
      </w:r>
    </w:p>
    <w:p>
      <w:pPr/>
      <w:r>
        <w:rPr>
          <w:rFonts w:ascii="Times" w:hAnsi="Times" w:cs="Times"/>
          <w:sz w:val="20"/>
          <w:sz-cs w:val="20"/>
          <w:b/>
          <w:color w:val="000000"/>
        </w:rPr>
        <w:t xml:space="preserve">Usage logs are queryable by engagement, by client, by user, by skill, and by time window.</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USE-03</w:t>
      </w:r>
    </w:p>
    <w:p>
      <w:pPr/>
      <w:r>
        <w:rPr>
          <w:rFonts w:ascii="Times" w:hAnsi="Times" w:cs="Times"/>
          <w:sz w:val="20"/>
          <w:sz-cs w:val="20"/>
          <w:b/>
          <w:color w:val="000000"/>
        </w:rPr>
        <w:t xml:space="preserve">Usage data feeds a value-reporting view that can be shared with engagement leads for renewal conversations.</w:t>
      </w:r>
    </w:p>
    <w:p>
      <w:pPr/>
      <w:r>
        <w:rPr>
          <w:rFonts w:ascii="Times" w:hAnsi="Times" w:cs="Times"/>
          <w:sz w:val="20"/>
          <w:sz-cs w:val="20"/>
          <w:b/>
          <w:color w:val="000000"/>
        </w:rPr>
        <w:t xml:space="preserve">P2</w:t>
      </w:r>
    </w:p>
    <w:p>
      <w:pPr/>
      <w:r>
        <w:rPr>
          <w:rFonts w:ascii="Times" w:hAnsi="Times" w:cs="Times"/>
          <w:sz w:val="20"/>
          <w:sz-cs w:val="20"/>
          <w:b/>
          <w:color w:val="000000"/>
        </w:rPr>
        <w:t xml:space="preserve"/>
      </w:r>
    </w:p>
    <w:p>
      <w:pPr/>
      <w:r>
        <w:rPr>
          <w:rFonts w:ascii="Times" w:hAnsi="Times" w:cs="Times"/>
          <w:sz w:val="20"/>
          <w:sz-cs w:val="20"/>
          <w:b/>
          <w:color w:val="000000"/>
        </w:rPr>
        <w:t xml:space="preserve">USE-04</w:t>
      </w:r>
    </w:p>
    <w:p>
      <w:pPr/>
      <w:r>
        <w:rPr>
          <w:rFonts w:ascii="Times" w:hAnsi="Times" w:cs="Times"/>
          <w:sz w:val="20"/>
          <w:sz-cs w:val="20"/>
          <w:b/>
          <w:color w:val="000000"/>
        </w:rPr>
        <w:t xml:space="preserve">Audit logs are immutable from the platform user interface.</w:t>
      </w:r>
    </w:p>
    <w:p>
      <w:pPr/>
      <w:r>
        <w:rPr>
          <w:rFonts w:ascii="Times" w:hAnsi="Times" w:cs="Times"/>
          <w:sz w:val="20"/>
          <w:sz-cs w:val="20"/>
          <w:b/>
          <w:color w:val="000000"/>
        </w:rPr>
        <w:t xml:space="preserve">P1</w:t>
      </w:r>
    </w:p>
    <w:p>
      <w:pPr/>
      <w:r>
        <w:rPr>
          <w:rFonts w:ascii="Times" w:hAnsi="Times" w:cs="Times"/>
          <w:sz w:val="20"/>
          <w:sz-cs w:val="20"/>
          <w:b/>
          <w:color w:val="000000"/>
        </w:rPr>
        <w:t xml:space="preserve">Append-only.</w:t>
      </w:r>
    </w:p>
    <w:p>
      <w:pPr>
        <w:spacing w:before="280" w:after="140"/>
      </w:pPr>
      <w:r>
        <w:rPr>
          <w:rFonts w:ascii="Times" w:hAnsi="Times" w:cs="Times"/>
          <w:sz w:val="26"/>
          <w:sz-cs w:val="26"/>
          <w:b/>
          <w:color w:val="2E5597"/>
        </w:rPr>
        <w:t xml:space="preserve">4.6 Access Control</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ACL-01</w:t>
      </w:r>
    </w:p>
    <w:p>
      <w:pPr/>
      <w:r>
        <w:rPr>
          <w:rFonts w:ascii="Times" w:hAnsi="Times" w:cs="Times"/>
          <w:sz w:val="20"/>
          <w:sz-cs w:val="20"/>
          <w:b/>
          <w:color w:val="000000"/>
        </w:rPr>
        <w:t xml:space="preserve">Internal-only skills are visible and invokable only to Vitalief consultants assigned to the relevant engagement.</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ACL-02</w:t>
      </w:r>
    </w:p>
    <w:p>
      <w:pPr/>
      <w:r>
        <w:rPr>
          <w:rFonts w:ascii="Times" w:hAnsi="Times" w:cs="Times"/>
          <w:sz w:val="20"/>
          <w:sz-cs w:val="20"/>
          <w:b/>
          <w:color w:val="000000"/>
        </w:rPr>
        <w:t xml:space="preserve">Client-facing skills are invokable by clients, but the skill's instructions, code, and methodology remain non-visible to the client.</w:t>
      </w:r>
    </w:p>
    <w:p>
      <w:pPr/>
      <w:r>
        <w:rPr>
          <w:rFonts w:ascii="Times" w:hAnsi="Times" w:cs="Times"/>
          <w:sz w:val="20"/>
          <w:sz-cs w:val="20"/>
          <w:b/>
          <w:color w:val="000000"/>
        </w:rPr>
        <w:t xml:space="preserve">P1</w:t>
      </w:r>
    </w:p>
    <w:p>
      <w:pPr/>
      <w:r>
        <w:rPr>
          <w:rFonts w:ascii="Times" w:hAnsi="Times" w:cs="Times"/>
          <w:sz w:val="20"/>
          <w:sz-cs w:val="20"/>
          <w:b/>
          <w:color w:val="000000"/>
        </w:rPr>
        <w:t xml:space="preserve">IP protection.</w:t>
      </w:r>
    </w:p>
    <w:p>
      <w:pPr/>
      <w:r>
        <w:rPr>
          <w:rFonts w:ascii="Times" w:hAnsi="Times" w:cs="Times"/>
          <w:sz w:val="20"/>
          <w:sz-cs w:val="20"/>
          <w:b/>
          <w:color w:val="000000"/>
        </w:rPr>
        <w:t xml:space="preserve">ACL-03</w:t>
      </w:r>
    </w:p>
    <w:p>
      <w:pPr/>
      <w:r>
        <w:rPr>
          <w:rFonts w:ascii="Times" w:hAnsi="Times" w:cs="Times"/>
          <w:sz w:val="20"/>
          <w:sz-cs w:val="20"/>
          <w:b/>
          <w:color w:val="000000"/>
        </w:rPr>
        <w:t xml:space="preserve">Clients see skill outputs, skill name, and skill description. They do not see skill internals.</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ACL-04</w:t>
      </w:r>
    </w:p>
    <w:p>
      <w:pPr/>
      <w:r>
        <w:rPr>
          <w:rFonts w:ascii="Times" w:hAnsi="Times" w:cs="Times"/>
          <w:sz w:val="20"/>
          <w:sz-cs w:val="20"/>
          <w:b/>
          <w:color w:val="000000"/>
        </w:rPr>
        <w:t xml:space="preserve">Access is scoped by engagement, by client, and by user role.</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ACL-05</w:t>
      </w:r>
    </w:p>
    <w:p>
      <w:pPr/>
      <w:r>
        <w:rPr>
          <w:rFonts w:ascii="Times" w:hAnsi="Times" w:cs="Times"/>
          <w:sz w:val="20"/>
          <w:sz-cs w:val="20"/>
          <w:b/>
          <w:color w:val="000000"/>
        </w:rPr>
        <w:t xml:space="preserve">Engagement leads can grant or revoke client access to specific skills without administrator intervention.</w:t>
      </w:r>
    </w:p>
    <w:p>
      <w:pPr/>
      <w:r>
        <w:rPr>
          <w:rFonts w:ascii="Times" w:hAnsi="Times" w:cs="Times"/>
          <w:sz w:val="20"/>
          <w:sz-cs w:val="20"/>
          <w:b/>
          <w:color w:val="000000"/>
        </w:rPr>
        <w:t xml:space="preserve">P2</w:t>
      </w:r>
    </w:p>
    <w:p>
      <w:pPr/>
      <w:r>
        <w:rPr>
          <w:rFonts w:ascii="Times" w:hAnsi="Times" w:cs="Times"/>
          <w:sz w:val="20"/>
          <w:sz-cs w:val="20"/>
          <w:b/>
          <w:color w:val="000000"/>
        </w:rPr>
        <w:t xml:space="preserve"/>
      </w:r>
    </w:p>
    <w:p>
      <w:pPr>
        <w:spacing w:before="280" w:after="140"/>
      </w:pPr>
      <w:r>
        <w:rPr>
          <w:rFonts w:ascii="Times" w:hAnsi="Times" w:cs="Times"/>
          <w:sz w:val="26"/>
          <w:sz-cs w:val="26"/>
          <w:b/>
          <w:color w:val="2E5597"/>
        </w:rPr>
        <w:t xml:space="preserve">4.7 Invocation</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INV-01</w:t>
      </w:r>
    </w:p>
    <w:p>
      <w:pPr/>
      <w:r>
        <w:rPr>
          <w:rFonts w:ascii="Times" w:hAnsi="Times" w:cs="Times"/>
          <w:sz w:val="20"/>
          <w:sz-cs w:val="20"/>
          <w:b/>
          <w:color w:val="000000"/>
        </w:rPr>
        <w:t xml:space="preserve">Skills can be invoked from Claude (via Claude.ai, Claude Code, or Anthropic API) through a documented integration pattern.</w:t>
      </w:r>
    </w:p>
    <w:p>
      <w:pPr/>
      <w:r>
        <w:rPr>
          <w:rFonts w:ascii="Times" w:hAnsi="Times" w:cs="Times"/>
          <w:sz w:val="20"/>
          <w:sz-cs w:val="20"/>
          <w:b/>
          <w:color w:val="000000"/>
        </w:rPr>
        <w:t xml:space="preserve">P1</w:t>
      </w:r>
    </w:p>
    <w:p>
      <w:pPr/>
      <w:r>
        <w:rPr>
          <w:rFonts w:ascii="Times" w:hAnsi="Times" w:cs="Times"/>
          <w:sz w:val="20"/>
          <w:sz-cs w:val="20"/>
          <w:color w:val="000000"/>
        </w:rPr>
        <w:t xml:space="preserve">(????) How without revealing internals of the skills, needs abstraction to be done through our platform and not Claude directly</w:t>
      </w:r>
      <w:r>
        <w:rPr>
          <w:rFonts w:ascii="Times" w:hAnsi="Times" w:cs="Times"/>
          <w:sz w:val="20"/>
          <w:sz-cs w:val="20"/>
          <w:b/>
          <w:color w:val="000000"/>
        </w:rPr>
        <w:t xml:space="preserve"/>
      </w:r>
    </w:p>
    <w:p>
      <w:pPr/>
      <w:r>
        <w:rPr>
          <w:rFonts w:ascii="Times" w:hAnsi="Times" w:cs="Times"/>
          <w:sz w:val="20"/>
          <w:sz-cs w:val="20"/>
          <w:b/>
          <w:color w:val="000000"/>
        </w:rPr>
        <w:t xml:space="preserve">.INV-02</w:t>
      </w:r>
    </w:p>
    <w:p>
      <w:pPr/>
      <w:r>
        <w:rPr>
          <w:rFonts w:ascii="Times" w:hAnsi="Times" w:cs="Times"/>
          <w:sz w:val="20"/>
          <w:sz-cs w:val="20"/>
          <w:b/>
          <w:color w:val="000000"/>
        </w:rPr>
        <w:t xml:space="preserve">Skills can be invoked from scripts and command-line tools via API.</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INV-03</w:t>
      </w:r>
    </w:p>
    <w:p>
      <w:pPr/>
      <w:r>
        <w:rPr>
          <w:rFonts w:ascii="Times" w:hAnsi="Times" w:cs="Times"/>
          <w:sz w:val="20"/>
          <w:sz-cs w:val="20"/>
          <w:b/>
          <w:color w:val="000000"/>
        </w:rPr>
        <w:t xml:space="preserve">Skills can be invoked from a web interface that supports client and consultant usage.</w:t>
      </w:r>
    </w:p>
    <w:p>
      <w:pPr/>
      <w:r>
        <w:rPr>
          <w:rFonts w:ascii="Times" w:hAnsi="Times" w:cs="Times"/>
          <w:sz w:val="20"/>
          <w:sz-cs w:val="20"/>
          <w:b/>
          <w:color w:val="000000"/>
        </w:rPr>
        <w:t xml:space="preserve">P2</w:t>
      </w:r>
    </w:p>
    <w:p>
      <w:pPr/>
      <w:r>
        <w:rPr>
          <w:rFonts w:ascii="Times" w:hAnsi="Times" w:cs="Times"/>
          <w:sz w:val="20"/>
          <w:sz-cs w:val="20"/>
          <w:b/>
          <w:color w:val="000000"/>
        </w:rPr>
        <w:t xml:space="preserve">Delivery surface for clients.</w:t>
      </w:r>
    </w:p>
    <w:p>
      <w:pPr/>
      <w:r>
        <w:rPr>
          <w:rFonts w:ascii="Times" w:hAnsi="Times" w:cs="Times"/>
          <w:sz w:val="20"/>
          <w:sz-cs w:val="20"/>
          <w:b/>
          <w:color w:val="000000"/>
        </w:rPr>
        <w:t xml:space="preserve">INV-04</w:t>
      </w:r>
    </w:p>
    <w:p>
      <w:pPr/>
      <w:r>
        <w:rPr>
          <w:rFonts w:ascii="Times" w:hAnsi="Times" w:cs="Times"/>
          <w:sz w:val="20"/>
          <w:sz-cs w:val="20"/>
          <w:b/>
          <w:color w:val="000000"/>
        </w:rPr>
        <w:t xml:space="preserve">Skills can be invoked from third-party surfaces (Slack, Teams, custom portals) via webhook or API.</w:t>
      </w:r>
    </w:p>
    <w:p>
      <w:pPr/>
      <w:r>
        <w:rPr>
          <w:rFonts w:ascii="Times" w:hAnsi="Times" w:cs="Times"/>
          <w:sz w:val="20"/>
          <w:sz-cs w:val="20"/>
          <w:b/>
          <w:color w:val="000000"/>
        </w:rPr>
        <w:t xml:space="preserve">P3</w:t>
      </w:r>
    </w:p>
    <w:p>
      <w:pPr/>
      <w:r>
        <w:rPr>
          <w:rFonts w:ascii="Times" w:hAnsi="Times" w:cs="Times"/>
          <w:sz w:val="20"/>
          <w:sz-cs w:val="20"/>
          <w:b/>
          <w:color w:val="000000"/>
        </w:rPr>
        <w:t xml:space="preserve">Future engagement-driven.</w:t>
      </w:r>
    </w:p>
    <w:p>
      <w:pPr>
        <w:spacing w:before="280" w:after="140"/>
      </w:pPr>
      <w:r>
        <w:rPr>
          <w:rFonts w:ascii="Times" w:hAnsi="Times" w:cs="Times"/>
          <w:sz w:val="26"/>
          <w:sz-cs w:val="26"/>
          <w:b/>
          <w:color w:val="2E5597"/>
        </w:rPr>
        <w:t xml:space="preserve">4.8 Certification Workflow</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CRT-01</w:t>
      </w:r>
    </w:p>
    <w:p>
      <w:pPr/>
      <w:r>
        <w:rPr>
          <w:rFonts w:ascii="Times" w:hAnsi="Times" w:cs="Times"/>
          <w:sz w:val="20"/>
          <w:sz-cs w:val="20"/>
          <w:b/>
          <w:color w:val="000000"/>
        </w:rPr>
        <w:t xml:space="preserve">Every skill submitted for client-ready status passes through a two-key certification workflow.</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CRT-02</w:t>
      </w:r>
    </w:p>
    <w:p>
      <w:pPr/>
      <w:r>
        <w:rPr>
          <w:rFonts w:ascii="Times" w:hAnsi="Times" w:cs="Times"/>
          <w:sz w:val="20"/>
          <w:sz-cs w:val="20"/>
          <w:b/>
          <w:color w:val="000000"/>
        </w:rPr>
        <w:t xml:space="preserve">MA Technologies certifies technical quality. Criteria include: skill runs without error, handles edge cases, code passes review, security posture is appropriate.</w:t>
      </w:r>
    </w:p>
    <w:p>
      <w:pPr/>
      <w:r>
        <w:rPr>
          <w:rFonts w:ascii="Times" w:hAnsi="Times" w:cs="Times"/>
          <w:sz w:val="20"/>
          <w:sz-cs w:val="20"/>
          <w:b/>
          <w:color w:val="000000"/>
        </w:rPr>
        <w:t xml:space="preserve">P1</w:t>
      </w:r>
    </w:p>
    <w:p>
      <w:pPr/>
      <w:r>
        <w:rPr>
          <w:rFonts w:ascii="Times" w:hAnsi="Times" w:cs="Times"/>
          <w:sz w:val="20"/>
          <w:sz-cs w:val="20"/>
          <w:b/>
          <w:color w:val="000000"/>
        </w:rPr>
        <w:t xml:space="preserve">Methodology documented separately.</w:t>
      </w:r>
    </w:p>
    <w:p>
      <w:pPr/>
      <w:r>
        <w:rPr>
          <w:rFonts w:ascii="Times" w:hAnsi="Times" w:cs="Times"/>
          <w:sz w:val="20"/>
          <w:sz-cs w:val="20"/>
          <w:b/>
          <w:color w:val="000000"/>
        </w:rPr>
        <w:t xml:space="preserve">CRT-03</w:t>
      </w:r>
    </w:p>
    <w:p>
      <w:pPr/>
      <w:r>
        <w:rPr>
          <w:rFonts w:ascii="Times" w:hAnsi="Times" w:cs="Times"/>
          <w:sz w:val="20"/>
          <w:sz-cs w:val="20"/>
          <w:b/>
          <w:color w:val="000000"/>
        </w:rPr>
        <w:t xml:space="preserve">Matt certifies methodological quality. Criteria include: skill produces Vitalief-grade output, aligns with established methodology, voice and style match Vitalief standards.</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CRT-04</w:t>
      </w:r>
    </w:p>
    <w:p>
      <w:pPr/>
      <w:r>
        <w:rPr>
          <w:rFonts w:ascii="Times" w:hAnsi="Times" w:cs="Times"/>
          <w:sz w:val="20"/>
          <w:sz-cs w:val="20"/>
          <w:b/>
          <w:color w:val="000000"/>
        </w:rPr>
        <w:t xml:space="preserve">Both certifications are recorded against the skill version. A skill cannot be marked client-ready without both.</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CRT-05</w:t>
      </w:r>
    </w:p>
    <w:p>
      <w:pPr/>
      <w:r>
        <w:rPr>
          <w:rFonts w:ascii="Times" w:hAnsi="Times" w:cs="Times"/>
          <w:sz w:val="20"/>
          <w:sz-cs w:val="20"/>
          <w:b/>
          <w:color w:val="000000"/>
        </w:rPr>
        <w:t xml:space="preserve">Certifications are version-specific. A new version of a previously certified skill requires re-certification.</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spacing w:before="280" w:after="140"/>
      </w:pPr>
      <w:r>
        <w:rPr>
          <w:rFonts w:ascii="Times" w:hAnsi="Times" w:cs="Times"/>
          <w:sz w:val="26"/>
          <w:sz-cs w:val="26"/>
          <w:b/>
          <w:color w:val="2E5597"/>
        </w:rPr>
        <w:t xml:space="preserve">4.9 Portability</w:t>
      </w:r>
    </w:p>
    <w:p>
      <w:pPr/>
      <w:r>
        <w:rPr>
          <w:rFonts w:ascii="Times" w:hAnsi="Times" w:cs="Times"/>
          <w:sz w:val="20"/>
          <w:sz-cs w:val="20"/>
          <w:b/>
          <w:color w:val="FFFFFF"/>
        </w:rPr>
        <w:t xml:space="preserve">ID</w:t>
      </w:r>
    </w:p>
    <w:p>
      <w:pPr/>
      <w:r>
        <w:rPr>
          <w:rFonts w:ascii="Times" w:hAnsi="Times" w:cs="Times"/>
          <w:sz w:val="20"/>
          <w:sz-cs w:val="20"/>
          <w:b/>
          <w:color w:val="FFFFFF"/>
        </w:rPr>
        <w:t xml:space="preserve">Requirement</w:t>
      </w:r>
    </w:p>
    <w:p>
      <w:pPr/>
      <w:r>
        <w:rPr>
          <w:rFonts w:ascii="Times" w:hAnsi="Times" w:cs="Times"/>
          <w:sz w:val="20"/>
          <w:sz-cs w:val="20"/>
          <w:b/>
          <w:color w:val="FFFFFF"/>
        </w:rPr>
        <w:t xml:space="preserve">Priority</w:t>
      </w:r>
    </w:p>
    <w:p>
      <w:pPr/>
      <w:r>
        <w:rPr>
          <w:rFonts w:ascii="Times" w:hAnsi="Times" w:cs="Times"/>
          <w:sz w:val="20"/>
          <w:sz-cs w:val="20"/>
          <w:b/>
          <w:color w:val="FFFFFF"/>
        </w:rPr>
        <w:t xml:space="preserve">Notes</w:t>
      </w:r>
    </w:p>
    <w:p>
      <w:pPr/>
      <w:r>
        <w:rPr>
          <w:rFonts w:ascii="Times" w:hAnsi="Times" w:cs="Times"/>
          <w:sz w:val="20"/>
          <w:sz-cs w:val="20"/>
          <w:b/>
          <w:color w:val="000000"/>
        </w:rPr>
        <w:t xml:space="preserve">POR-01</w:t>
      </w:r>
    </w:p>
    <w:p>
      <w:pPr/>
      <w:r>
        <w:rPr>
          <w:rFonts w:ascii="Times" w:hAnsi="Times" w:cs="Times"/>
          <w:sz w:val="20"/>
          <w:sz-cs w:val="20"/>
          <w:b/>
          <w:color w:val="000000"/>
        </w:rPr>
        <w:t xml:space="preserve">The platform is architected so that a future variant can be deployed into a client environment without rewrite.</w:t>
      </w:r>
    </w:p>
    <w:p>
      <w:pPr/>
      <w:r>
        <w:rPr>
          <w:rFonts w:ascii="Times" w:hAnsi="Times" w:cs="Times"/>
          <w:sz w:val="20"/>
          <w:sz-cs w:val="20"/>
          <w:b/>
          <w:color w:val="000000"/>
        </w:rPr>
        <w:t xml:space="preserve">P1</w:t>
      </w:r>
    </w:p>
    <w:p>
      <w:pPr/>
      <w:r>
        <w:rPr>
          <w:rFonts w:ascii="Times" w:hAnsi="Times" w:cs="Times"/>
          <w:sz w:val="20"/>
          <w:sz-cs w:val="20"/>
          <w:b/>
          <w:color w:val="000000"/>
        </w:rPr>
        <w:t xml:space="preserve">Architectural commitment.</w:t>
      </w:r>
    </w:p>
    <w:p>
      <w:pPr/>
      <w:r>
        <w:rPr>
          <w:rFonts w:ascii="Times" w:hAnsi="Times" w:cs="Times"/>
          <w:sz w:val="20"/>
          <w:sz-cs w:val="20"/>
          <w:b/>
          <w:color w:val="000000"/>
        </w:rPr>
        <w:t xml:space="preserve">POR-02</w:t>
      </w:r>
    </w:p>
    <w:p>
      <w:pPr/>
      <w:r>
        <w:rPr>
          <w:rFonts w:ascii="Times" w:hAnsi="Times" w:cs="Times"/>
          <w:sz w:val="20"/>
          <w:sz-cs w:val="20"/>
          <w:b/>
          <w:color w:val="000000"/>
        </w:rPr>
        <w:t xml:space="preserve">The platform uses containerization (Docker or equivalent) and infrastructure-as-code for repeatable deployments.</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POR-03</w:t>
      </w:r>
    </w:p>
    <w:p>
      <w:pPr/>
      <w:r>
        <w:rPr>
          <w:rFonts w:ascii="Times" w:hAnsi="Times" w:cs="Times"/>
          <w:sz w:val="20"/>
          <w:sz-cs w:val="20"/>
          <w:b/>
          <w:color w:val="000000"/>
        </w:rPr>
        <w:t xml:space="preserve">Vitalief-specific configuration is parameterized rather than hard-coded.</w:t>
      </w:r>
    </w:p>
    <w:p>
      <w:pPr/>
      <w:r>
        <w:rPr>
          <w:rFonts w:ascii="Times" w:hAnsi="Times" w:cs="Times"/>
          <w:sz w:val="20"/>
          <w:sz-cs w:val="20"/>
          <w:b/>
          <w:color w:val="000000"/>
        </w:rPr>
        <w:t xml:space="preserve">P1</w:t>
      </w:r>
    </w:p>
    <w:p>
      <w:pPr/>
      <w:r>
        <w:rPr>
          <w:rFonts w:ascii="Times" w:hAnsi="Times" w:cs="Times"/>
          <w:sz w:val="20"/>
          <w:sz-cs w:val="20"/>
          <w:b/>
          <w:color w:val="000000"/>
        </w:rPr>
        <w:t xml:space="preserve"/>
      </w:r>
    </w:p>
    <w:p>
      <w:pPr/>
      <w:r>
        <w:rPr>
          <w:rFonts w:ascii="Times" w:hAnsi="Times" w:cs="Times"/>
          <w:sz w:val="20"/>
          <w:sz-cs w:val="20"/>
          <w:b/>
          <w:color w:val="000000"/>
        </w:rPr>
        <w:t xml:space="preserve">POR-04</w:t>
      </w:r>
    </w:p>
    <w:p>
      <w:pPr/>
      <w:r>
        <w:rPr>
          <w:rFonts w:ascii="Times" w:hAnsi="Times" w:cs="Times"/>
          <w:sz w:val="20"/>
          <w:sz-cs w:val="20"/>
          <w:b/>
          <w:color w:val="000000"/>
        </w:rPr>
        <w:t xml:space="preserve">The platform avoids proprietary dependencies that would prevent client-side deployment.</w:t>
      </w:r>
    </w:p>
    <w:p>
      <w:pPr/>
      <w:r>
        <w:rPr>
          <w:rFonts w:ascii="Times" w:hAnsi="Times" w:cs="Times"/>
          <w:sz w:val="20"/>
          <w:sz-cs w:val="20"/>
          <w:b/>
          <w:color w:val="000000"/>
        </w:rPr>
        <w:t xml:space="preserve">P1</w:t>
      </w:r>
    </w:p>
    <w:p>
      <w:pPr/>
      <w:r>
        <w:rPr>
          <w:rFonts w:ascii="Times" w:hAnsi="Times" w:cs="Times"/>
          <w:sz w:val="20"/>
          <w:sz-cs w:val="20"/>
          <w:b/>
          <w:color w:val="000000"/>
        </w:rPr>
        <w:t xml:space="preserve">Open-source preferred.</w:t>
      </w:r>
    </w:p>
    <w:p>
      <w:pPr/>
      <w:r>
        <w:rPr>
          <w:rFonts w:ascii="Times" w:hAnsi="Times" w:cs="Times"/>
          <w:sz w:val="20"/>
          <w:sz-cs w:val="20"/>
          <w:b/>
          <w:color w:val="000000"/>
        </w:rPr>
        <w:t xml:space="preserve">POR-05</w:t>
      </w:r>
    </w:p>
    <w:p>
      <w:pPr/>
      <w:r>
        <w:rPr>
          <w:rFonts w:ascii="Times" w:hAnsi="Times" w:cs="Times"/>
          <w:sz w:val="20"/>
          <w:sz-cs w:val="20"/>
          <w:b/>
          <w:color w:val="000000"/>
        </w:rPr>
        <w:t xml:space="preserve">A client-deployable variant is built when an engagement requires it. Not part of Phase 1.</w:t>
      </w:r>
    </w:p>
    <w:p>
      <w:pPr/>
      <w:r>
        <w:rPr>
          <w:rFonts w:ascii="Times" w:hAnsi="Times" w:cs="Times"/>
          <w:sz w:val="20"/>
          <w:sz-cs w:val="20"/>
          <w:b/>
          <w:color w:val="000000"/>
        </w:rPr>
        <w:t xml:space="preserve">P3</w:t>
      </w:r>
    </w:p>
    <w:p>
      <w:pPr/>
      <w:r>
        <w:rPr>
          <w:rFonts w:ascii="Times" w:hAnsi="Times" w:cs="Times"/>
          <w:sz w:val="20"/>
          <w:sz-cs w:val="20"/>
          <w:b/>
          <w:color w:val="000000"/>
        </w:rPr>
        <w:t xml:space="preserve"/>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5. Skills Requirements</w:t>
      </w:r>
    </w:p>
    <w:p>
      <w:pPr>
        <w:spacing w:after="120"/>
      </w:pPr>
      <w:r>
        <w:rPr>
          <w:rFonts w:ascii="Times" w:hAnsi="Times" w:cs="Times"/>
          <w:sz w:val="22"/>
          <w:sz-cs w:val="22"/>
          <w:b/>
          <w:i/>
          <w:color w:val="000000"/>
        </w:rPr>
        <w:t xml:space="preserve">Skills are the unit of value the platform exists to deliver. Requirements below apply to skills as authored artifacts, distinct from the platform that hosts them.</w:t>
      </w:r>
    </w:p>
    <w:p>
      <w:pPr>
        <w:spacing w:before="280" w:after="140"/>
      </w:pPr>
      <w:r>
        <w:rPr>
          <w:rFonts w:ascii="Times" w:hAnsi="Times" w:cs="Times"/>
          <w:sz w:val="26"/>
          <w:sz-cs w:val="26"/>
          <w:b/>
          <w:color w:val="2E5597"/>
        </w:rPr>
        <w:t xml:space="preserve">5.1 Skill Structure</w:t>
      </w:r>
    </w:p>
    <w:p>
      <w:pPr>
        <w:ind w:left="720" w:first-line="-720"/>
        <w:spacing w:after="80"/>
      </w:pPr>
      <w:r>
        <w:rPr>
          <w:rFonts w:ascii="Times" w:hAnsi="Times" w:cs="Times"/>
          <w:sz w:val="22"/>
          <w:sz-cs w:val="22"/>
          <w:b/>
        </w:rPr>
        <w:t xml:space="preserve"/>
        <w:tab/>
        <w:t xml:space="preserve">•</w:t>
        <w:tab/>
        <w:t xml:space="preserve">Format: </w:t>
      </w:r>
      <w:r>
        <w:rPr>
          <w:rFonts w:ascii="Times" w:hAnsi="Times" w:cs="Times"/>
          <w:sz w:val="22"/>
          <w:sz-cs w:val="22"/>
        </w:rPr>
        <w:t xml:space="preserve">Skills follow a documented format consistent with the Anthropic SKILL.md pattern where applicable, extended with Vitalief-specific metadata fields.</w:t>
      </w:r>
    </w:p>
    <w:p>
      <w:pPr>
        <w:ind w:left="720" w:first-line="-720"/>
        <w:spacing w:after="80"/>
      </w:pPr>
      <w:r>
        <w:rPr>
          <w:rFonts w:ascii="Times" w:hAnsi="Times" w:cs="Times"/>
          <w:sz w:val="22"/>
          <w:sz-cs w:val="22"/>
          <w:b/>
        </w:rPr>
        <w:t xml:space="preserve"/>
        <w:tab/>
        <w:t xml:space="preserve">•</w:t>
        <w:tab/>
        <w:t xml:space="preserve">Required fields: </w:t>
      </w:r>
      <w:r>
        <w:rPr>
          <w:rFonts w:ascii="Times" w:hAnsi="Times" w:cs="Times"/>
          <w:sz w:val="22"/>
          <w:sz-cs w:val="22"/>
        </w:rPr>
        <w:t xml:space="preserve">Name, description, author, version, lifecycle state, internal-versus-client designation, dependencies, runtime type (prompt, code, hybrid), input schema, output schema.</w:t>
      </w:r>
    </w:p>
    <w:p>
      <w:pPr>
        <w:ind w:left="720" w:first-line="-720"/>
        <w:spacing w:after="80"/>
      </w:pPr>
      <w:r>
        <w:rPr>
          <w:rFonts w:ascii="Times" w:hAnsi="Times" w:cs="Times"/>
          <w:sz w:val="22"/>
          <w:sz-cs w:val="22"/>
          <w:b/>
        </w:rPr>
        <w:t xml:space="preserve"/>
        <w:tab/>
        <w:t xml:space="preserve">•</w:t>
        <w:tab/>
        <w:t xml:space="preserve">Optional fields: </w:t>
      </w:r>
      <w:r>
        <w:rPr>
          <w:rFonts w:ascii="Times" w:hAnsi="Times" w:cs="Times"/>
          <w:sz w:val="22"/>
          <w:sz-cs w:val="22"/>
        </w:rPr>
        <w:t xml:space="preserve">Reference files, supporting documents, example inputs and outputs, change log.</w:t>
      </w:r>
    </w:p>
    <w:p>
      <w:pPr>
        <w:ind w:left="720" w:first-line="-720"/>
        <w:spacing w:after="80"/>
      </w:pPr>
      <w:r>
        <w:rPr>
          <w:rFonts w:ascii="Times" w:hAnsi="Times" w:cs="Times"/>
          <w:sz w:val="22"/>
          <w:sz-cs w:val="22"/>
          <w:b/>
        </w:rPr>
        <w:t xml:space="preserve"/>
        <w:tab/>
        <w:t xml:space="preserve">•</w:t>
        <w:tab/>
        <w:t xml:space="preserve">Description quality: </w:t>
      </w:r>
      <w:r>
        <w:rPr>
          <w:rFonts w:ascii="Times" w:hAnsi="Times" w:cs="Times"/>
          <w:sz w:val="22"/>
          <w:sz-cs w:val="22"/>
        </w:rPr>
        <w:t xml:space="preserve">The description field drives discoverability and correct invocation. It is treated as a first-class artifact, not boilerplate.</w:t>
      </w:r>
    </w:p>
    <w:p>
      <w:pPr>
        <w:spacing w:before="280" w:after="140"/>
      </w:pPr>
      <w:r>
        <w:rPr>
          <w:rFonts w:ascii="Times" w:hAnsi="Times" w:cs="Times"/>
          <w:sz w:val="26"/>
          <w:sz-cs w:val="26"/>
          <w:b/>
          <w:color w:val="2E5597"/>
        </w:rPr>
        <w:t xml:space="preserve">5.2 Skill Authoring</w:t>
      </w:r>
    </w:p>
    <w:p>
      <w:pPr>
        <w:ind w:left="720" w:first-line="-720"/>
        <w:spacing w:after="80"/>
      </w:pPr>
      <w:r>
        <w:rPr>
          <w:rFonts w:ascii="Times" w:hAnsi="Times" w:cs="Times"/>
          <w:sz w:val="22"/>
          <w:sz-cs w:val="22"/>
          <w:b/>
        </w:rPr>
        <w:t xml:space="preserve"/>
        <w:tab/>
        <w:t xml:space="preserve">•</w:t>
        <w:tab/>
        <w:t xml:space="preserve">Primary author: </w:t>
      </w:r>
      <w:r>
        <w:rPr>
          <w:rFonts w:ascii="Times" w:hAnsi="Times" w:cs="Times"/>
          <w:sz w:val="22"/>
          <w:sz-cs w:val="22"/>
        </w:rPr>
        <w:t xml:space="preserve">Matt Maxwell. Skills are authored against Claude using vibecoding workflows.</w:t>
      </w:r>
    </w:p>
    <w:p>
      <w:pPr>
        <w:ind w:left="720" w:first-line="-720"/>
        <w:spacing w:after="80"/>
      </w:pPr>
      <w:r>
        <w:rPr>
          <w:rFonts w:ascii="Times" w:hAnsi="Times" w:cs="Times"/>
          <w:sz w:val="22"/>
          <w:sz-cs w:val="22"/>
          <w:b/>
        </w:rPr>
        <w:t xml:space="preserve"/>
        <w:tab/>
        <w:t xml:space="preserve">•</w:t>
        <w:tab/>
        <w:t xml:space="preserve">Secondary author: </w:t>
      </w:r>
      <w:r>
        <w:rPr>
          <w:rFonts w:ascii="Times" w:hAnsi="Times" w:cs="Times"/>
          <w:sz w:val="22"/>
          <w:sz-cs w:val="22"/>
        </w:rPr>
        <w:t xml:space="preserve">MA Technologies. Authors skills where Matt does not have the technical depth or available time.</w:t>
      </w:r>
    </w:p>
    <w:p>
      <w:pPr>
        <w:ind w:left="720" w:first-line="-720"/>
        <w:spacing w:after="80"/>
      </w:pPr>
      <w:r>
        <w:rPr>
          <w:rFonts w:ascii="Times" w:hAnsi="Times" w:cs="Times"/>
          <w:sz w:val="22"/>
          <w:sz-cs w:val="22"/>
          <w:b/>
        </w:rPr>
        <w:t xml:space="preserve"/>
        <w:tab/>
        <w:t xml:space="preserve">•</w:t>
        <w:tab/>
        <w:t xml:space="preserve">Authoring tools: </w:t>
      </w:r>
      <w:r>
        <w:rPr>
          <w:rFonts w:ascii="Times" w:hAnsi="Times" w:cs="Times"/>
          <w:sz w:val="22"/>
          <w:sz-cs w:val="22"/>
        </w:rPr>
        <w:t xml:space="preserve">Claude (Claude.ai, Claude Code) plus local development environment. The platform itself is not an authoring tool in v1.</w:t>
      </w:r>
    </w:p>
    <w:p>
      <w:pPr>
        <w:ind w:left="720" w:first-line="-720"/>
        <w:spacing w:after="80"/>
      </w:pPr>
      <w:r>
        <w:rPr>
          <w:rFonts w:ascii="Times" w:hAnsi="Times" w:cs="Times"/>
          <w:sz w:val="22"/>
          <w:sz-cs w:val="22"/>
          <w:b/>
        </w:rPr>
        <w:t xml:space="preserve"/>
        <w:tab/>
        <w:t xml:space="preserve">•</w:t>
        <w:tab/>
        <w:t xml:space="preserve">Submission: </w:t>
      </w:r>
      <w:r>
        <w:rPr>
          <w:rFonts w:ascii="Times" w:hAnsi="Times" w:cs="Times"/>
          <w:sz w:val="22"/>
          <w:sz-cs w:val="22"/>
        </w:rPr>
        <w:t xml:space="preserve">Authored skills are submitted to MA Technologies for technical validation through a documented intake process.</w:t>
      </w:r>
    </w:p>
    <w:p>
      <w:pPr>
        <w:spacing w:before="280" w:after="140"/>
      </w:pPr>
      <w:r>
        <w:rPr>
          <w:rFonts w:ascii="Times" w:hAnsi="Times" w:cs="Times"/>
          <w:sz w:val="26"/>
          <w:sz-cs w:val="26"/>
          <w:b/>
          <w:color w:val="2E5597"/>
        </w:rPr>
        <w:t xml:space="preserve">5.3 Skill Validation Methodology</w:t>
      </w:r>
    </w:p>
    <w:p>
      <w:pPr>
        <w:spacing w:after="120"/>
      </w:pPr>
      <w:r>
        <w:rPr>
          <w:rFonts w:ascii="Times" w:hAnsi="Times" w:cs="Times"/>
          <w:sz w:val="22"/>
          <w:sz-cs w:val="22"/>
          <w:b/>
          <w:i/>
          <w:color w:val="000000"/>
        </w:rPr>
        <w:t xml:space="preserve">MA Technologies follows a documented validation methodology for every submitted skill. The methodology covers at minimum:</w:t>
      </w:r>
    </w:p>
    <w:p>
      <w:pPr>
        <w:ind w:left="720" w:first-line="-720"/>
        <w:spacing w:after="80"/>
      </w:pPr>
      <w:r>
        <w:rPr>
          <w:rFonts w:ascii="Times" w:hAnsi="Times" w:cs="Times"/>
          <w:sz w:val="22"/>
          <w:sz-cs w:val="22"/>
        </w:rPr>
        <w:t xml:space="preserve"/>
        <w:tab/>
        <w:t xml:space="preserve">•</w:t>
        <w:tab/>
        <w:t xml:space="preserve">Static code review for skills with code components.</w:t>
      </w:r>
    </w:p>
    <w:p>
      <w:pPr>
        <w:ind w:left="720" w:first-line="-720"/>
        <w:spacing w:after="80"/>
      </w:pPr>
      <w:r>
        <w:rPr>
          <w:rFonts w:ascii="Times" w:hAnsi="Times" w:cs="Times"/>
          <w:sz w:val="22"/>
          <w:sz-cs w:val="22"/>
        </w:rPr>
        <w:t xml:space="preserve"/>
        <w:tab/>
        <w:t xml:space="preserve">•</w:t>
        <w:tab/>
        <w:t xml:space="preserve">Execution against a set of representative test inputs.</w:t>
      </w:r>
    </w:p>
    <w:p>
      <w:pPr>
        <w:ind w:left="720" w:first-line="-720"/>
        <w:spacing w:after="80"/>
      </w:pPr>
      <w:r>
        <w:rPr>
          <w:rFonts w:ascii="Times" w:hAnsi="Times" w:cs="Times"/>
          <w:sz w:val="22"/>
          <w:sz-cs w:val="22"/>
        </w:rPr>
        <w:t xml:space="preserve"/>
        <w:tab/>
        <w:t xml:space="preserve">•</w:t>
        <w:tab/>
        <w:t xml:space="preserve">Execution against a set of adversarial or edge-case inputs.</w:t>
      </w:r>
    </w:p>
    <w:p>
      <w:pPr>
        <w:ind w:left="720" w:first-line="-720"/>
        <w:spacing w:after="80"/>
      </w:pPr>
      <w:r>
        <w:rPr>
          <w:rFonts w:ascii="Times" w:hAnsi="Times" w:cs="Times"/>
          <w:sz w:val="22"/>
          <w:sz-cs w:val="22"/>
        </w:rPr>
        <w:t xml:space="preserve"/>
        <w:tab/>
        <w:t xml:space="preserve">•</w:t>
        <w:tab/>
        <w:t xml:space="preserve">Verification that the skill's description correctly triggers invocation when used inside Claude.</w:t>
      </w:r>
    </w:p>
    <w:p>
      <w:pPr>
        <w:ind w:left="720" w:first-line="-720"/>
        <w:spacing w:after="80"/>
      </w:pPr>
      <w:r>
        <w:rPr>
          <w:rFonts w:ascii="Times" w:hAnsi="Times" w:cs="Times"/>
          <w:sz w:val="22"/>
          <w:sz-cs w:val="22"/>
        </w:rPr>
        <w:t xml:space="preserve"/>
        <w:tab/>
        <w:t xml:space="preserve">•</w:t>
        <w:tab/>
        <w:t xml:space="preserve">Verification that the skill respects security and access control boundaries.</w:t>
      </w:r>
    </w:p>
    <w:p>
      <w:pPr>
        <w:ind w:left="720" w:first-line="-720"/>
        <w:spacing w:after="80"/>
      </w:pPr>
      <w:r>
        <w:rPr>
          <w:rFonts w:ascii="Times" w:hAnsi="Times" w:cs="Times"/>
          <w:sz w:val="22"/>
          <w:sz-cs w:val="22"/>
        </w:rPr>
        <w:t xml:space="preserve"/>
        <w:tab/>
        <w:t xml:space="preserve">•</w:t>
        <w:tab/>
        <w:t xml:space="preserve">Verification that outputs match the declared output schema.</w:t>
      </w:r>
    </w:p>
    <w:p>
      <w:pPr>
        <w:ind w:left="720" w:first-line="-720"/>
        <w:spacing w:after="80"/>
      </w:pPr>
      <w:r>
        <w:rPr>
          <w:rFonts w:ascii="Times" w:hAnsi="Times" w:cs="Times"/>
          <w:sz w:val="22"/>
          <w:sz-cs w:val="22"/>
        </w:rPr>
        <w:t xml:space="preserve"/>
        <w:tab/>
        <w:t xml:space="preserve">•</w:t>
        <w:tab/>
        <w:t xml:space="preserve">Documentation of test inputs, test outputs, and results.</w:t>
      </w:r>
    </w:p>
    <w:p>
      <w:pPr>
        <w:spacing w:after="120"/>
      </w:pPr>
      <w:r>
        <w:rPr>
          <w:rFonts w:ascii="Times" w:hAnsi="Times" w:cs="Times"/>
          <w:sz w:val="22"/>
          <w:sz-cs w:val="22"/>
          <w:b/>
          <w:i/>
          <w:color w:val="000000"/>
        </w:rPr>
        <w:t xml:space="preserve">The validation methodology document is a deliverable of Phase 1.</w:t>
      </w:r>
    </w:p>
    <w:p>
      <w:pPr>
        <w:spacing w:before="280" w:after="140"/>
      </w:pPr>
      <w:r>
        <w:rPr>
          <w:rFonts w:ascii="Times" w:hAnsi="Times" w:cs="Times"/>
          <w:sz w:val="26"/>
          <w:sz-cs w:val="26"/>
          <w:b/>
          <w:color w:val="2E5597"/>
        </w:rPr>
        <w:t xml:space="preserve">5.4 Internal Skills</w:t>
      </w:r>
    </w:p>
    <w:p>
      <w:pPr>
        <w:ind w:left="720" w:first-line="-720"/>
        <w:spacing w:after="80"/>
      </w:pPr>
      <w:r>
        <w:rPr>
          <w:rFonts w:ascii="Times" w:hAnsi="Times" w:cs="Times"/>
          <w:sz w:val="22"/>
          <w:sz-cs w:val="22"/>
          <w:b/>
        </w:rPr>
        <w:t xml:space="preserve"/>
        <w:tab/>
        <w:t xml:space="preserve">•</w:t>
        <w:tab/>
        <w:t xml:space="preserve">Audience: </w:t>
      </w:r>
      <w:r>
        <w:rPr>
          <w:rFonts w:ascii="Times" w:hAnsi="Times" w:cs="Times"/>
          <w:sz w:val="22"/>
          <w:sz-cs w:val="22"/>
        </w:rPr>
        <w:t xml:space="preserve">Vitalief consultants and Matt.</w:t>
      </w:r>
    </w:p>
    <w:p>
      <w:pPr>
        <w:ind w:left="720" w:first-line="-720"/>
        <w:spacing w:after="80"/>
      </w:pPr>
      <w:r>
        <w:rPr>
          <w:rFonts w:ascii="Times" w:hAnsi="Times" w:cs="Times"/>
          <w:sz w:val="22"/>
          <w:sz-cs w:val="22"/>
          <w:b/>
        </w:rPr>
        <w:t xml:space="preserve"/>
        <w:tab/>
        <w:t xml:space="preserve">•</w:t>
        <w:tab/>
        <w:t xml:space="preserve">Content: </w:t>
      </w:r>
      <w:r>
        <w:rPr>
          <w:rFonts w:ascii="Times" w:hAnsi="Times" w:cs="Times"/>
          <w:sz w:val="22"/>
          <w:sz-cs w:val="22"/>
        </w:rPr>
        <w:t xml:space="preserve">Carries full Vitalief proprietary methodology, including any frameworks, language preferences, and competitive positioning.</w:t>
      </w:r>
    </w:p>
    <w:p>
      <w:pPr>
        <w:ind w:left="720" w:first-line="-720"/>
        <w:spacing w:after="80"/>
      </w:pPr>
      <w:r>
        <w:rPr>
          <w:rFonts w:ascii="Times" w:hAnsi="Times" w:cs="Times"/>
          <w:sz w:val="22"/>
          <w:sz-cs w:val="22"/>
          <w:b/>
        </w:rPr>
        <w:t xml:space="preserve"/>
        <w:tab/>
        <w:t xml:space="preserve">•</w:t>
        <w:tab/>
        <w:t xml:space="preserve">Visibility: </w:t>
      </w:r>
      <w:r>
        <w:rPr>
          <w:rFonts w:ascii="Times" w:hAnsi="Times" w:cs="Times"/>
          <w:sz w:val="22"/>
          <w:sz-cs w:val="22"/>
        </w:rPr>
        <w:t xml:space="preserve">Never exposed to clients in any form.</w:t>
      </w:r>
    </w:p>
    <w:p>
      <w:pPr>
        <w:ind w:left="720" w:first-line="-720"/>
        <w:spacing w:after="80"/>
      </w:pPr>
      <w:r>
        <w:rPr>
          <w:rFonts w:ascii="Times" w:hAnsi="Times" w:cs="Times"/>
          <w:sz w:val="22"/>
          <w:sz-cs w:val="22"/>
          <w:b/>
        </w:rPr>
        <w:t xml:space="preserve"/>
        <w:tab/>
        <w:t xml:space="preserve">•</w:t>
        <w:tab/>
        <w:t xml:space="preserve">Examples: </w:t>
      </w:r>
      <w:r>
        <w:rPr>
          <w:rFonts w:ascii="Times" w:hAnsi="Times" w:cs="Times"/>
          <w:sz w:val="22"/>
          <w:sz-cs w:val="22"/>
        </w:rPr>
        <w:t xml:space="preserve">Methodology-encoded skills (assessment frameworks, governance memo patterns, competitive positioning helpers), Vitalief style filter applied to drafts, internal pricing logic helpers.</w:t>
      </w:r>
    </w:p>
    <w:p>
      <w:pPr>
        <w:spacing w:before="280" w:after="140"/>
      </w:pPr>
      <w:r>
        <w:rPr>
          <w:rFonts w:ascii="Times" w:hAnsi="Times" w:cs="Times"/>
          <w:sz w:val="26"/>
          <w:sz-cs w:val="26"/>
          <w:b/>
          <w:color w:val="2E5597"/>
        </w:rPr>
        <w:t xml:space="preserve">5.5 Client-Facing Skills</w:t>
      </w:r>
    </w:p>
    <w:p>
      <w:pPr>
        <w:ind w:left="720" w:first-line="-720"/>
        <w:spacing w:after="80"/>
      </w:pPr>
      <w:r>
        <w:rPr>
          <w:rFonts w:ascii="Times" w:hAnsi="Times" w:cs="Times"/>
          <w:sz w:val="22"/>
          <w:sz-cs w:val="22"/>
          <w:b/>
        </w:rPr>
        <w:t xml:space="preserve"/>
        <w:tab/>
        <w:t xml:space="preserve">•</w:t>
        <w:tab/>
        <w:t xml:space="preserve">Audience: </w:t>
      </w:r>
      <w:r>
        <w:rPr>
          <w:rFonts w:ascii="Times" w:hAnsi="Times" w:cs="Times"/>
          <w:sz w:val="22"/>
          <w:sz-cs w:val="22"/>
        </w:rPr>
        <w:t xml:space="preserve">Clients on active engagements, optionally invoked through Vitalief consultants on the client's behalf.</w:t>
      </w:r>
    </w:p>
    <w:p>
      <w:pPr>
        <w:ind w:left="720" w:first-line="-720"/>
        <w:spacing w:after="80"/>
      </w:pPr>
      <w:r>
        <w:rPr>
          <w:rFonts w:ascii="Times" w:hAnsi="Times" w:cs="Times"/>
          <w:sz w:val="22"/>
          <w:sz-cs w:val="22"/>
          <w:b/>
        </w:rPr>
        <w:t xml:space="preserve"/>
        <w:tab/>
        <w:t xml:space="preserve">•</w:t>
        <w:tab/>
        <w:t xml:space="preserve">Content: </w:t>
      </w:r>
      <w:r>
        <w:rPr>
          <w:rFonts w:ascii="Times" w:hAnsi="Times" w:cs="Times"/>
          <w:sz w:val="22"/>
          <w:sz-cs w:val="22"/>
        </w:rPr>
        <w:t xml:space="preserve">Sanitized derivative of an internal skill where applicable. Does not expose Vitalief proprietary methodology in its instructions, code, or comments.</w:t>
      </w:r>
    </w:p>
    <w:p>
      <w:pPr>
        <w:ind w:left="720" w:first-line="-720"/>
        <w:spacing w:after="80"/>
      </w:pPr>
      <w:r>
        <w:rPr>
          <w:rFonts w:ascii="Times" w:hAnsi="Times" w:cs="Times"/>
          <w:sz w:val="22"/>
          <w:sz-cs w:val="22"/>
          <w:b/>
        </w:rPr>
        <w:t xml:space="preserve"/>
        <w:tab/>
        <w:t xml:space="preserve">•</w:t>
        <w:tab/>
        <w:t xml:space="preserve">Visibility: </w:t>
      </w:r>
      <w:r>
        <w:rPr>
          <w:rFonts w:ascii="Times" w:hAnsi="Times" w:cs="Times"/>
          <w:sz w:val="22"/>
          <w:sz-cs w:val="22"/>
        </w:rPr>
        <w:t xml:space="preserve">Clients see outputs, name, and description. They do not see instructions, code, or supporting reference materials.</w:t>
      </w:r>
    </w:p>
    <w:p>
      <w:pPr>
        <w:ind w:left="720" w:first-line="-720"/>
        <w:spacing w:after="80"/>
      </w:pPr>
      <w:r>
        <w:rPr>
          <w:rFonts w:ascii="Times" w:hAnsi="Times" w:cs="Times"/>
          <w:sz w:val="22"/>
          <w:sz-cs w:val="22"/>
          <w:b/>
        </w:rPr>
        <w:t xml:space="preserve"/>
        <w:tab/>
        <w:t xml:space="preserve">•</w:t>
        <w:tab/>
        <w:t xml:space="preserve">Derivation lineage: </w:t>
      </w:r>
      <w:r>
        <w:rPr>
          <w:rFonts w:ascii="Times" w:hAnsi="Times" w:cs="Times"/>
          <w:sz w:val="22"/>
          <w:sz-cs w:val="22"/>
        </w:rPr>
        <w:t xml:space="preserve">When a client-facing skill is derived from an internal skill, the derivation is recorded in metadata.</w:t>
      </w:r>
    </w:p>
    <w:p>
      <w:pPr>
        <w:ind w:left="720" w:first-line="-720"/>
        <w:spacing w:after="80"/>
      </w:pPr>
      <w:r>
        <w:rPr>
          <w:rFonts w:ascii="Times" w:hAnsi="Times" w:cs="Times"/>
          <w:sz w:val="22"/>
          <w:sz-cs w:val="22"/>
          <w:b/>
        </w:rPr>
        <w:t xml:space="preserve"/>
        <w:tab/>
        <w:t xml:space="preserve">•</w:t>
        <w:tab/>
        <w:t xml:space="preserve">Examples: </w:t>
      </w:r>
      <w:r>
        <w:rPr>
          <w:rFonts w:ascii="Times" w:hAnsi="Times" w:cs="Times"/>
          <w:sz w:val="22"/>
          <w:sz-cs w:val="22"/>
        </w:rPr>
        <w:t xml:space="preserve">Document generation skills (formatted reports, summaries), structured data extraction skills, client-facing analysis skills that produce outputs without revealing methodology.</w:t>
      </w:r>
    </w:p>
    <w:p>
      <w:pPr>
        <w:spacing w:before="280" w:after="140"/>
      </w:pPr>
      <w:r>
        <w:rPr>
          <w:rFonts w:ascii="Times" w:hAnsi="Times" w:cs="Times"/>
          <w:sz w:val="26"/>
          <w:sz-cs w:val="26"/>
          <w:b/>
          <w:color w:val="2E5597"/>
        </w:rPr>
        <w:t xml:space="preserve">5.6 Skill Versioning</w:t>
      </w:r>
    </w:p>
    <w:p>
      <w:pPr>
        <w:ind w:left="720" w:first-line="-720"/>
        <w:spacing w:after="80"/>
      </w:pPr>
      <w:r>
        <w:rPr>
          <w:rFonts w:ascii="Times" w:hAnsi="Times" w:cs="Times"/>
          <w:sz w:val="22"/>
          <w:sz-cs w:val="22"/>
        </w:rPr>
        <w:t xml:space="preserve"/>
        <w:tab/>
        <w:t xml:space="preserve">•</w:t>
        <w:tab/>
        <w:t xml:space="preserve">Skills are versioned semantically (major.minor.patch).</w:t>
      </w:r>
    </w:p>
    <w:p>
      <w:pPr>
        <w:ind w:left="720" w:first-line="-720"/>
        <w:spacing w:after="80"/>
      </w:pPr>
      <w:r>
        <w:rPr>
          <w:rFonts w:ascii="Times" w:hAnsi="Times" w:cs="Times"/>
          <w:sz w:val="22"/>
          <w:sz-cs w:val="22"/>
        </w:rPr>
        <w:t xml:space="preserve"/>
        <w:tab/>
        <w:t xml:space="preserve">•</w:t>
        <w:tab/>
        <w:t xml:space="preserve">Major version changes indicate breaking changes to input or output schema.</w:t>
      </w:r>
    </w:p>
    <w:p>
      <w:pPr>
        <w:ind w:left="720" w:first-line="-720"/>
        <w:spacing w:after="80"/>
      </w:pPr>
      <w:r>
        <w:rPr>
          <w:rFonts w:ascii="Times" w:hAnsi="Times" w:cs="Times"/>
          <w:sz w:val="22"/>
          <w:sz-cs w:val="22"/>
        </w:rPr>
        <w:t xml:space="preserve"/>
        <w:tab/>
        <w:t xml:space="preserve">•</w:t>
        <w:tab/>
        <w:t xml:space="preserve">Minor version changes indicate new functionality that does not break existing usage.</w:t>
      </w:r>
    </w:p>
    <w:p>
      <w:pPr>
        <w:ind w:left="720" w:first-line="-720"/>
        <w:spacing w:after="80"/>
      </w:pPr>
      <w:r>
        <w:rPr>
          <w:rFonts w:ascii="Times" w:hAnsi="Times" w:cs="Times"/>
          <w:sz w:val="22"/>
          <w:sz-cs w:val="22"/>
        </w:rPr>
        <w:t xml:space="preserve"/>
        <w:tab/>
        <w:t xml:space="preserve">•</w:t>
        <w:tab/>
        <w:t xml:space="preserve">Patch version changes indicate fixes that do not change functionality.</w:t>
      </w:r>
    </w:p>
    <w:p>
      <w:pPr>
        <w:ind w:left="720" w:first-line="-720"/>
        <w:spacing w:after="80"/>
      </w:pPr>
      <w:r>
        <w:rPr>
          <w:rFonts w:ascii="Times" w:hAnsi="Times" w:cs="Times"/>
          <w:sz w:val="22"/>
          <w:sz-cs w:val="22"/>
        </w:rPr>
        <w:t xml:space="preserve"/>
        <w:tab/>
        <w:t xml:space="preserve">•</w:t>
        <w:tab/>
        <w:t xml:space="preserve">Every version change is logged with author, date, summary of change, and re-certification status.</w:t>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6. Non-Functional Requirements</w:t>
      </w:r>
    </w:p>
    <w:p>
      <w:pPr>
        <w:spacing w:before="280" w:after="140"/>
      </w:pPr>
      <w:r>
        <w:rPr>
          <w:rFonts w:ascii="Times" w:hAnsi="Times" w:cs="Times"/>
          <w:sz w:val="26"/>
          <w:sz-cs w:val="26"/>
          <w:b/>
          <w:color w:val="2E5597"/>
        </w:rPr>
        <w:t xml:space="preserve">6.1 Performance</w:t>
      </w:r>
    </w:p>
    <w:p>
      <w:pPr>
        <w:ind w:left="720" w:first-line="-720"/>
        <w:spacing w:after="80"/>
      </w:pPr>
      <w:r>
        <w:rPr>
          <w:rFonts w:ascii="Times" w:hAnsi="Times" w:cs="Times"/>
          <w:sz w:val="22"/>
          <w:sz-cs w:val="22"/>
          <w:b/>
        </w:rPr>
        <w:t xml:space="preserve"/>
        <w:tab/>
        <w:t xml:space="preserve">•</w:t>
        <w:tab/>
        <w:t xml:space="preserve">Skill invocation latency: </w:t>
      </w:r>
      <w:r>
        <w:rPr>
          <w:rFonts w:ascii="Times" w:hAnsi="Times" w:cs="Times"/>
          <w:sz w:val="22"/>
          <w:sz-cs w:val="22"/>
        </w:rPr>
        <w:t xml:space="preserve">Platform overhead beyond the skill's own runtime should not exceed two seconds at the 95th percentile.</w:t>
      </w:r>
    </w:p>
    <w:p>
      <w:pPr>
        <w:ind w:left="720" w:first-line="-720"/>
        <w:spacing w:after="80"/>
      </w:pPr>
      <w:r>
        <w:rPr>
          <w:rFonts w:ascii="Times" w:hAnsi="Times" w:cs="Times"/>
          <w:sz w:val="22"/>
          <w:sz-cs w:val="22"/>
          <w:b/>
        </w:rPr>
        <w:t xml:space="preserve"/>
        <w:tab/>
        <w:t xml:space="preserve">•</w:t>
        <w:tab/>
        <w:t xml:space="preserve">Concurrent skill execution: </w:t>
      </w:r>
      <w:r>
        <w:rPr>
          <w:rFonts w:ascii="Times" w:hAnsi="Times" w:cs="Times"/>
          <w:sz w:val="22"/>
          <w:sz-cs w:val="22"/>
        </w:rPr>
        <w:t xml:space="preserve">The platform supports at least ten concurrent skill executions at launch, with capacity to scale as usage grows.</w:t>
      </w:r>
    </w:p>
    <w:p>
      <w:pPr>
        <w:ind w:left="720" w:first-line="-720"/>
        <w:spacing w:after="80"/>
      </w:pPr>
      <w:r>
        <w:rPr>
          <w:rFonts w:ascii="Times" w:hAnsi="Times" w:cs="Times"/>
          <w:sz w:val="22"/>
          <w:sz-cs w:val="22"/>
          <w:b/>
        </w:rPr>
        <w:t xml:space="preserve"/>
        <w:tab/>
        <w:t xml:space="preserve">•</w:t>
        <w:tab/>
        <w:t xml:space="preserve">File upload size: </w:t>
      </w:r>
      <w:r>
        <w:rPr>
          <w:rFonts w:ascii="Times" w:hAnsi="Times" w:cs="Times"/>
          <w:sz w:val="22"/>
          <w:sz-cs w:val="22"/>
        </w:rPr>
        <w:t xml:space="preserve">Uploads up to 100 MB are supported for v1 file ingest.</w:t>
      </w:r>
    </w:p>
    <w:p>
      <w:pPr>
        <w:spacing w:before="280" w:after="140"/>
      </w:pPr>
      <w:r>
        <w:rPr>
          <w:rFonts w:ascii="Times" w:hAnsi="Times" w:cs="Times"/>
          <w:sz w:val="26"/>
          <w:sz-cs w:val="26"/>
          <w:b/>
          <w:color w:val="2E5597"/>
        </w:rPr>
        <w:t xml:space="preserve">6.2 Reliability</w:t>
      </w:r>
    </w:p>
    <w:p>
      <w:pPr>
        <w:ind w:left="720" w:first-line="-720"/>
        <w:spacing w:after="80"/>
      </w:pPr>
      <w:r>
        <w:rPr>
          <w:rFonts w:ascii="Times" w:hAnsi="Times" w:cs="Times"/>
          <w:sz w:val="22"/>
          <w:sz-cs w:val="22"/>
          <w:b/>
        </w:rPr>
        <w:t xml:space="preserve"/>
        <w:tab/>
        <w:t xml:space="preserve">•</w:t>
        <w:tab/>
        <w:t xml:space="preserve">Uptime target: </w:t>
      </w:r>
      <w:r>
        <w:rPr>
          <w:rFonts w:ascii="Times" w:hAnsi="Times" w:cs="Times"/>
          <w:sz w:val="22"/>
          <w:sz-cs w:val="22"/>
        </w:rPr>
        <w:t xml:space="preserve">99.5 percent monthly uptime during Vitalief business hours, measured from launch.</w:t>
      </w:r>
    </w:p>
    <w:p>
      <w:pPr>
        <w:ind w:left="720" w:first-line="-720"/>
        <w:spacing w:after="80"/>
      </w:pPr>
      <w:r>
        <w:rPr>
          <w:rFonts w:ascii="Times" w:hAnsi="Times" w:cs="Times"/>
          <w:sz w:val="22"/>
          <w:sz-cs w:val="22"/>
          <w:b/>
        </w:rPr>
        <w:t xml:space="preserve"/>
        <w:tab/>
        <w:t xml:space="preserve">•</w:t>
        <w:tab/>
        <w:t xml:space="preserve">Skill execution recovery: </w:t>
      </w:r>
      <w:r>
        <w:rPr>
          <w:rFonts w:ascii="Times" w:hAnsi="Times" w:cs="Times"/>
          <w:sz w:val="22"/>
          <w:sz-cs w:val="22"/>
        </w:rPr>
        <w:t xml:space="preserve">If a skill execution fails mid-run, the failure is logged and surfaced to the invoker. No silent failures.</w:t>
      </w:r>
    </w:p>
    <w:p>
      <w:pPr>
        <w:ind w:left="720" w:first-line="-720"/>
        <w:spacing w:after="80"/>
      </w:pPr>
      <w:r>
        <w:rPr>
          <w:rFonts w:ascii="Times" w:hAnsi="Times" w:cs="Times"/>
          <w:sz w:val="22"/>
          <w:sz-cs w:val="22"/>
          <w:b/>
        </w:rPr>
        <w:t xml:space="preserve"/>
        <w:tab/>
        <w:t xml:space="preserve">•</w:t>
        <w:tab/>
        <w:t xml:space="preserve">Backup: </w:t>
      </w:r>
      <w:r>
        <w:rPr>
          <w:rFonts w:ascii="Times" w:hAnsi="Times" w:cs="Times"/>
          <w:sz w:val="22"/>
          <w:sz-cs w:val="22"/>
        </w:rPr>
        <w:t xml:space="preserve">Skill artifacts and audit logs are backed up daily with off-site retention.</w:t>
      </w:r>
    </w:p>
    <w:p>
      <w:pPr>
        <w:spacing w:before="280" w:after="140"/>
      </w:pPr>
      <w:r>
        <w:rPr>
          <w:rFonts w:ascii="Times" w:hAnsi="Times" w:cs="Times"/>
          <w:sz w:val="26"/>
          <w:sz-cs w:val="26"/>
          <w:b/>
          <w:color w:val="2E5597"/>
        </w:rPr>
        <w:t xml:space="preserve">6.3 Maintainability</w:t>
      </w:r>
    </w:p>
    <w:p>
      <w:pPr>
        <w:ind w:left="720" w:first-line="-720"/>
        <w:spacing w:after="80"/>
      </w:pPr>
      <w:r>
        <w:rPr>
          <w:rFonts w:ascii="Times" w:hAnsi="Times" w:cs="Times"/>
          <w:sz w:val="22"/>
          <w:sz-cs w:val="22"/>
          <w:b/>
        </w:rPr>
        <w:t xml:space="preserve"/>
        <w:tab/>
        <w:t xml:space="preserve">•</w:t>
        <w:tab/>
        <w:t xml:space="preserve">Codebase ownership: </w:t>
      </w:r>
      <w:r>
        <w:rPr>
          <w:rFonts w:ascii="Times" w:hAnsi="Times" w:cs="Times"/>
          <w:sz w:val="22"/>
          <w:sz-cs w:val="22"/>
        </w:rPr>
        <w:t xml:space="preserve">All platform code is delivered to Vitalief and resides in a Vitalief-owned repository from day one of Phase 1.</w:t>
      </w:r>
    </w:p>
    <w:p>
      <w:pPr>
        <w:ind w:left="720" w:first-line="-720"/>
        <w:spacing w:after="80"/>
      </w:pPr>
      <w:r>
        <w:rPr>
          <w:rFonts w:ascii="Times" w:hAnsi="Times" w:cs="Times"/>
          <w:sz w:val="22"/>
          <w:sz-cs w:val="22"/>
          <w:b/>
        </w:rPr>
        <w:t xml:space="preserve"/>
        <w:tab/>
        <w:t xml:space="preserve">•</w:t>
        <w:tab/>
        <w:t xml:space="preserve">Documentation: </w:t>
      </w:r>
      <w:r>
        <w:rPr>
          <w:rFonts w:ascii="Times" w:hAnsi="Times" w:cs="Times"/>
          <w:sz w:val="22"/>
          <w:sz-cs w:val="22"/>
        </w:rPr>
        <w:t xml:space="preserve">Platform code, API surface, deployment process, and validation methodology are documented at a level that supports handover to a different vendor.</w:t>
      </w:r>
    </w:p>
    <w:p>
      <w:pPr>
        <w:ind w:left="720" w:first-line="-720"/>
        <w:spacing w:after="80"/>
      </w:pPr>
      <w:r>
        <w:rPr>
          <w:rFonts w:ascii="Times" w:hAnsi="Times" w:cs="Times"/>
          <w:sz w:val="22"/>
          <w:sz-cs w:val="22"/>
          <w:b/>
        </w:rPr>
        <w:t xml:space="preserve"/>
        <w:tab/>
        <w:t xml:space="preserve">•</w:t>
        <w:tab/>
        <w:t xml:space="preserve">Boring technology preference: </w:t>
      </w:r>
      <w:r>
        <w:rPr>
          <w:rFonts w:ascii="Times" w:hAnsi="Times" w:cs="Times"/>
          <w:sz w:val="22"/>
          <w:sz-cs w:val="22"/>
        </w:rPr>
        <w:t xml:space="preserve">Where reasonable, the platform favors mature, widely-used technologies over novel or proprietary alternatives. This protects against vendor lock-in and supports future portability.</w:t>
      </w:r>
    </w:p>
    <w:p>
      <w:pPr>
        <w:spacing w:before="280" w:after="140"/>
      </w:pPr>
      <w:r>
        <w:rPr>
          <w:rFonts w:ascii="Times" w:hAnsi="Times" w:cs="Times"/>
          <w:sz w:val="26"/>
          <w:sz-cs w:val="26"/>
          <w:b/>
          <w:color w:val="2E5597"/>
        </w:rPr>
        <w:t xml:space="preserve">6.4 Compliance and Legal</w:t>
      </w:r>
    </w:p>
    <w:p>
      <w:pPr>
        <w:ind w:left="720" w:first-line="-720"/>
        <w:spacing w:after="80"/>
      </w:pPr>
      <w:r>
        <w:rPr>
          <w:rFonts w:ascii="Times" w:hAnsi="Times" w:cs="Times"/>
          <w:sz w:val="22"/>
          <w:sz-cs w:val="22"/>
          <w:b/>
        </w:rPr>
        <w:t xml:space="preserve"/>
        <w:tab/>
        <w:t xml:space="preserve">•</w:t>
        <w:tab/>
        <w:t xml:space="preserve">HIPAA readiness: </w:t>
      </w:r>
      <w:r>
        <w:rPr>
          <w:rFonts w:ascii="Times" w:hAnsi="Times" w:cs="Times"/>
          <w:sz w:val="22"/>
          <w:sz-cs w:val="22"/>
        </w:rPr>
        <w:t xml:space="preserve">The platform is built to enable HIPAA compliance. A signed BAA is in place with the cloud provider. A separate BAA between Vitalief and MA Technologies is executed before any PHI-adjacent skill is hosted.</w:t>
      </w:r>
    </w:p>
    <w:p>
      <w:pPr>
        <w:ind w:left="720" w:first-line="-720"/>
        <w:spacing w:after="80"/>
      </w:pPr>
      <w:r>
        <w:rPr>
          <w:rFonts w:ascii="Times" w:hAnsi="Times" w:cs="Times"/>
          <w:sz w:val="22"/>
          <w:sz-cs w:val="22"/>
          <w:b/>
        </w:rPr>
        <w:t xml:space="preserve"/>
        <w:tab/>
        <w:t xml:space="preserve">•</w:t>
        <w:tab/>
        <w:t xml:space="preserve">Data residency: </w:t>
      </w:r>
      <w:r>
        <w:rPr>
          <w:rFonts w:ascii="Times" w:hAnsi="Times" w:cs="Times"/>
          <w:sz w:val="22"/>
          <w:sz-cs w:val="22"/>
        </w:rPr>
        <w:t xml:space="preserve">Data is hosted in the United States by default. Other jurisdictions require Vitalief approval.</w:t>
      </w:r>
    </w:p>
    <w:p>
      <w:pPr>
        <w:ind w:left="720" w:first-line="-720"/>
        <w:spacing w:after="80"/>
      </w:pPr>
      <w:r>
        <w:rPr>
          <w:rFonts w:ascii="Times" w:hAnsi="Times" w:cs="Times"/>
          <w:sz w:val="22"/>
          <w:sz-cs w:val="22"/>
          <w:b/>
        </w:rPr>
        <w:t xml:space="preserve"/>
        <w:tab/>
        <w:t xml:space="preserve">•</w:t>
        <w:tab/>
        <w:t xml:space="preserve">Intellectual property: </w:t>
      </w:r>
      <w:r>
        <w:rPr>
          <w:rFonts w:ascii="Times" w:hAnsi="Times" w:cs="Times"/>
          <w:sz w:val="22"/>
          <w:sz-cs w:val="22"/>
        </w:rPr>
        <w:t xml:space="preserve">All platform code, skill artifacts, and derived works are owned by Vitalief as work-for-hire. MA Technologies retains no rights to reuse Vitalief-funded work on other client engagements without explicit Vitalief approval.</w:t>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7. Assumptions, Dependencies, and Open Items</w:t>
      </w:r>
    </w:p>
    <w:p>
      <w:pPr>
        <w:spacing w:before="280" w:after="140"/>
      </w:pPr>
      <w:r>
        <w:rPr>
          <w:rFonts w:ascii="Times" w:hAnsi="Times" w:cs="Times"/>
          <w:sz w:val="26"/>
          <w:sz-cs w:val="26"/>
          <w:b/>
          <w:color w:val="2E5597"/>
        </w:rPr>
        <w:t xml:space="preserve">7.1 Assumptions</w:t>
      </w:r>
    </w:p>
    <w:p>
      <w:pPr>
        <w:ind w:left="720" w:first-line="-720"/>
        <w:spacing w:after="80"/>
      </w:pPr>
      <w:r>
        <w:rPr>
          <w:rFonts w:ascii="Times" w:hAnsi="Times" w:cs="Times"/>
          <w:sz w:val="22"/>
          <w:sz-cs w:val="22"/>
        </w:rPr>
        <w:t xml:space="preserve"/>
        <w:tab/>
        <w:t xml:space="preserve">•</w:t>
        <w:tab/>
        <w:t xml:space="preserve">MA Technologies has prior experience building HIPAA-aligned systems. If not confirmed, Phase 1 scope and timeline require revision.</w:t>
      </w:r>
    </w:p>
    <w:p>
      <w:pPr>
        <w:ind w:left="720" w:first-line="-720"/>
        <w:spacing w:after="80"/>
      </w:pPr>
      <w:r>
        <w:rPr>
          <w:rFonts w:ascii="Times" w:hAnsi="Times" w:cs="Times"/>
          <w:sz w:val="22"/>
          <w:sz-cs w:val="22"/>
        </w:rPr>
        <w:t xml:space="preserve"/>
        <w:tab/>
        <w:t xml:space="preserve">•</w:t>
        <w:tab/>
        <w:t xml:space="preserve">Vitalief has or will obtain BAAs with the chosen cloud provider and with MA Technologies before any PHI-adjacent skill is deployed.</w:t>
      </w:r>
    </w:p>
    <w:p>
      <w:pPr>
        <w:ind w:left="720" w:first-line="-720"/>
        <w:spacing w:after="80"/>
      </w:pPr>
      <w:r>
        <w:rPr>
          <w:rFonts w:ascii="Times" w:hAnsi="Times" w:cs="Times"/>
          <w:sz w:val="22"/>
          <w:sz-cs w:val="22"/>
        </w:rPr>
        <w:t xml:space="preserve"/>
        <w:tab/>
        <w:t xml:space="preserve">•</w:t>
        <w:tab/>
        <w:t xml:space="preserve">Matt is available as primary skill author and methodology certifier throughout Phase 2.</w:t>
      </w:r>
    </w:p>
    <w:p>
      <w:pPr>
        <w:ind w:left="720" w:first-line="-720"/>
        <w:spacing w:after="80"/>
      </w:pPr>
      <w:r>
        <w:rPr>
          <w:rFonts w:ascii="Times" w:hAnsi="Times" w:cs="Times"/>
          <w:sz w:val="22"/>
          <w:sz-cs w:val="22"/>
        </w:rPr>
        <w:t xml:space="preserve"/>
        <w:tab/>
        <w:t xml:space="preserve">•</w:t>
        <w:tab/>
        <w:t xml:space="preserve">Phase 1 begins after SOW signature and ends when all P1 requirements are met and accepted by Vitalief.</w:t>
      </w:r>
    </w:p>
    <w:p>
      <w:pPr>
        <w:spacing w:before="280" w:after="140"/>
      </w:pPr>
      <w:r>
        <w:rPr>
          <w:rFonts w:ascii="Times" w:hAnsi="Times" w:cs="Times"/>
          <w:sz w:val="26"/>
          <w:sz-cs w:val="26"/>
          <w:b/>
          <w:color w:val="2E5597"/>
        </w:rPr>
        <w:t xml:space="preserve">7.2 Dependencies</w:t>
      </w:r>
    </w:p>
    <w:p>
      <w:pPr>
        <w:ind w:left="720" w:first-line="-720"/>
        <w:spacing w:after="80"/>
      </w:pPr>
      <w:r>
        <w:rPr>
          <w:rFonts w:ascii="Times" w:hAnsi="Times" w:cs="Times"/>
          <w:sz w:val="22"/>
          <w:sz-cs w:val="22"/>
          <w:b/>
        </w:rPr>
        <w:t xml:space="preserve"/>
        <w:tab/>
        <w:t xml:space="preserve">•</w:t>
        <w:tab/>
        <w:t xml:space="preserve">Cloud provider selection: </w:t>
      </w:r>
      <w:r>
        <w:rPr>
          <w:rFonts w:ascii="Times" w:hAnsi="Times" w:cs="Times"/>
          <w:sz w:val="22"/>
          <w:sz-cs w:val="22"/>
        </w:rPr>
        <w:t xml:space="preserve">Required before Phase 1 build begins. Default assumption is AWS unless MA Technologies has strong preference and Vitalief agrees.</w:t>
      </w:r>
    </w:p>
    <w:p>
      <w:pPr>
        <w:ind w:left="720" w:first-line="-720"/>
        <w:spacing w:after="80"/>
      </w:pPr>
      <w:r>
        <w:rPr>
          <w:rFonts w:ascii="Times" w:hAnsi="Times" w:cs="Times"/>
          <w:sz w:val="22"/>
          <w:sz-cs w:val="22"/>
          <w:b/>
        </w:rPr>
        <w:t xml:space="preserve"/>
        <w:tab/>
        <w:t xml:space="preserve">•</w:t>
        <w:tab/>
        <w:t xml:space="preserve">Identity provider integration: </w:t>
      </w:r>
      <w:r>
        <w:rPr>
          <w:rFonts w:ascii="Times" w:hAnsi="Times" w:cs="Times"/>
          <w:sz w:val="22"/>
          <w:sz-cs w:val="22"/>
        </w:rPr>
        <w:t xml:space="preserve">Required before SSO requirement (SEC-07) is met. Vitalief identifies the provider before Phase 2.</w:t>
      </w:r>
    </w:p>
    <w:p>
      <w:pPr>
        <w:ind w:left="720" w:first-line="-720"/>
        <w:spacing w:after="80"/>
      </w:pPr>
      <w:r>
        <w:rPr>
          <w:rFonts w:ascii="Times" w:hAnsi="Times" w:cs="Times"/>
          <w:sz w:val="22"/>
          <w:sz-cs w:val="22"/>
          <w:b/>
        </w:rPr>
        <w:t xml:space="preserve"/>
        <w:tab/>
        <w:t xml:space="preserve">•</w:t>
        <w:tab/>
        <w:t xml:space="preserve">Vitalief brand assets: </w:t>
      </w:r>
      <w:r>
        <w:rPr>
          <w:rFonts w:ascii="Times" w:hAnsi="Times" w:cs="Times"/>
          <w:sz w:val="22"/>
          <w:sz-cs w:val="22"/>
        </w:rPr>
        <w:t xml:space="preserve">Required before file generation requirement (OUT-02) is met. Fonts, colors, header and footer specifications provided by Vitalief at Phase 1 kickoff.</w:t>
      </w:r>
    </w:p>
    <w:p>
      <w:pPr>
        <w:ind w:left="720" w:first-line="-720"/>
        <w:spacing w:after="80"/>
      </w:pPr>
      <w:r>
        <w:rPr>
          <w:rFonts w:ascii="Times" w:hAnsi="Times" w:cs="Times"/>
          <w:sz w:val="22"/>
          <w:sz-cs w:val="22"/>
          <w:b/>
        </w:rPr>
        <w:t xml:space="preserve"/>
        <w:tab/>
        <w:t xml:space="preserve">•</w:t>
        <w:tab/>
        <w:t xml:space="preserve">Initial skill backlog: </w:t>
      </w:r>
      <w:r>
        <w:rPr>
          <w:rFonts w:ascii="Times" w:hAnsi="Times" w:cs="Times"/>
          <w:sz w:val="22"/>
          <w:sz-cs w:val="22"/>
        </w:rPr>
        <w:t xml:space="preserve">Vitalief provides an initial backlog of three to five skills for Phase 2 to begin with. Matt produces vibecoded first drafts of each.</w:t>
      </w:r>
    </w:p>
    <w:p>
      <w:pPr>
        <w:spacing w:before="280" w:after="140"/>
      </w:pPr>
      <w:r>
        <w:rPr>
          <w:rFonts w:ascii="Times" w:hAnsi="Times" w:cs="Times"/>
          <w:sz w:val="26"/>
          <w:sz-cs w:val="26"/>
          <w:b/>
          <w:color w:val="2E5597"/>
        </w:rPr>
        <w:t xml:space="preserve">7.3 Open items</w:t>
      </w:r>
    </w:p>
    <w:p>
      <w:pPr>
        <w:ind w:left="720" w:first-line="-720"/>
        <w:spacing w:after="80"/>
      </w:pPr>
      <w:r>
        <w:rPr>
          <w:rFonts w:ascii="Times" w:hAnsi="Times" w:cs="Times"/>
          <w:sz w:val="22"/>
          <w:sz-cs w:val="22"/>
        </w:rPr>
        <w:t xml:space="preserve"/>
        <w:tab/>
        <w:t xml:space="preserve">•</w:t>
        <w:tab/>
        <w:t xml:space="preserve">Commercial product integrations: no specific vendor has been identified as a near-term requirement. The platform supports generic outbound API calls. Specific vendor integrations are added as engagements require them.</w:t>
      </w:r>
    </w:p>
    <w:p>
      <w:pPr>
        <w:ind w:left="720" w:first-line="-720"/>
        <w:spacing w:after="80"/>
      </w:pPr>
      <w:r>
        <w:rPr>
          <w:rFonts w:ascii="Times" w:hAnsi="Times" w:cs="Times"/>
          <w:sz w:val="22"/>
          <w:sz-cs w:val="22"/>
        </w:rPr>
        <w:t xml:space="preserve"/>
        <w:tab/>
        <w:t xml:space="preserve">•</w:t>
        <w:tab/>
        <w:t xml:space="preserve">Client-deployable variant: scope and timing of the deployable variant are deferred until an engagement requires it. The platform is architected to support this from day one.</w:t>
      </w:r>
    </w:p>
    <w:p>
      <w:pPr>
        <w:ind w:left="720" w:first-line="-720"/>
        <w:spacing w:after="80"/>
      </w:pPr>
      <w:r>
        <w:rPr>
          <w:rFonts w:ascii="Times" w:hAnsi="Times" w:cs="Times"/>
          <w:sz w:val="22"/>
          <w:sz-cs w:val="22"/>
        </w:rPr>
        <w:t xml:space="preserve"/>
        <w:tab/>
        <w:t xml:space="preserve">•</w:t>
        <w:tab/>
        <w:t xml:space="preserve">Skill marketplace or library view: a web interface for browsing the skill catalog is desirable but not required for Phase 1. Decide before Phase 2 ramp.</w:t>
      </w:r>
    </w:p>
    <w:p>
      <w:pPr>
        <w:ind w:left="720" w:first-line="-720"/>
        <w:spacing w:after="80"/>
      </w:pPr>
      <w:r>
        <w:rPr>
          <w:rFonts w:ascii="Times" w:hAnsi="Times" w:cs="Times"/>
          <w:sz w:val="22"/>
          <w:sz-cs w:val="22"/>
        </w:rPr>
        <w:t xml:space="preserve"/>
        <w:tab/>
        <w:t xml:space="preserve">•</w:t>
        <w:tab/>
        <w:t xml:space="preserve">Pricing model for Phase 2: retainer, per-skill, or hourly. Negotiated separately, but tapering effort over time is anticipated and should be reflected in the pricing structure.</w:t>
      </w:r>
    </w:p>
    <w:p>
      <w:pPr/>
      <w:r>
        <w:rPr>
          <w:rFonts w:ascii="Times" w:hAnsi="Times" w:cs="Times"/>
          <w:sz w:val="24"/>
          <w:sz-cs w:val="24"/>
        </w:rPr>
        <w:t xml:space="preserve"/>
        <w:br w:type="page"/>
        <w:t xml:space="preserve"/>
      </w:r>
    </w:p>
    <w:p>
      <w:pPr>
        <w:spacing w:before="360" w:after="180"/>
      </w:pPr>
      <w:r>
        <w:rPr>
          <w:rFonts w:ascii="Times" w:hAnsi="Times" w:cs="Times"/>
          <w:sz w:val="32"/>
          <w:sz-cs w:val="32"/>
          <w:b/>
          <w:color w:val="1F3864"/>
        </w:rPr>
        <w:t xml:space="preserve">8. Phase 1 Acceptance Criteria</w:t>
      </w:r>
    </w:p>
    <w:p>
      <w:pPr>
        <w:spacing w:after="120"/>
      </w:pPr>
      <w:r>
        <w:rPr>
          <w:rFonts w:ascii="Times" w:hAnsi="Times" w:cs="Times"/>
          <w:sz w:val="22"/>
          <w:sz-cs w:val="22"/>
          <w:b/>
          <w:i/>
          <w:color w:val="000000"/>
        </w:rPr>
        <w:t xml:space="preserve">Phase 1 is accepted when the following criteria are met and demonstrated to Vitalief:</w:t>
      </w:r>
    </w:p>
    <w:p>
      <w:pPr>
        <w:ind w:left="720" w:first-line="-720"/>
        <w:spacing w:after="80"/>
      </w:pPr>
      <w:r>
        <w:rPr>
          <w:rFonts w:ascii="Times" w:hAnsi="Times" w:cs="Times"/>
          <w:sz w:val="22"/>
          <w:sz-cs w:val="22"/>
        </w:rPr>
        <w:t xml:space="preserve"/>
        <w:tab/>
        <w:t xml:space="preserve">•</w:t>
        <w:tab/>
        <w:t xml:space="preserve">All P1 requirements in Section 4 are implemented and verified through demonstration.</w:t>
      </w:r>
    </w:p>
    <w:p>
      <w:pPr>
        <w:ind w:left="720" w:first-line="-720"/>
        <w:spacing w:after="80"/>
      </w:pPr>
      <w:r>
        <w:rPr>
          <w:rFonts w:ascii="Times" w:hAnsi="Times" w:cs="Times"/>
          <w:sz w:val="22"/>
          <w:sz-cs w:val="22"/>
        </w:rPr>
        <w:t xml:space="preserve"/>
        <w:tab/>
        <w:t xml:space="preserve">•</w:t>
        <w:tab/>
        <w:t xml:space="preserve">A working skill registry contains at least one example skill in each lifecycle state.</w:t>
      </w:r>
    </w:p>
    <w:p>
      <w:pPr>
        <w:ind w:left="720" w:first-line="-720"/>
        <w:spacing w:after="80"/>
      </w:pPr>
      <w:r>
        <w:rPr>
          <w:rFonts w:ascii="Times" w:hAnsi="Times" w:cs="Times"/>
          <w:sz w:val="22"/>
          <w:sz-cs w:val="22"/>
        </w:rPr>
        <w:t xml:space="preserve"/>
        <w:tab/>
        <w:t xml:space="preserve">•</w:t>
        <w:tab/>
        <w:t xml:space="preserve">At least one prompt-based skill, one code-based skill, and one hybrid skill have been invoked successfully and logged.</w:t>
      </w:r>
    </w:p>
    <w:p>
      <w:pPr>
        <w:ind w:left="720" w:first-line="-720"/>
        <w:spacing w:after="80"/>
      </w:pPr>
      <w:r>
        <w:rPr>
          <w:rFonts w:ascii="Times" w:hAnsi="Times" w:cs="Times"/>
          <w:sz w:val="22"/>
          <w:sz-cs w:val="22"/>
        </w:rPr>
        <w:t xml:space="preserve"/>
        <w:tab/>
        <w:t xml:space="preserve">•</w:t>
        <w:tab/>
        <w:t xml:space="preserve">File ingest and file generation work end-to-end with a representative test document.</w:t>
      </w:r>
    </w:p>
    <w:p>
      <w:pPr>
        <w:ind w:left="720" w:first-line="-720"/>
        <w:spacing w:after="80"/>
      </w:pPr>
      <w:r>
        <w:rPr>
          <w:rFonts w:ascii="Times" w:hAnsi="Times" w:cs="Times"/>
          <w:sz w:val="22"/>
          <w:sz-cs w:val="22"/>
        </w:rPr>
        <w:t xml:space="preserve"/>
        <w:tab/>
        <w:t xml:space="preserve">•</w:t>
        <w:tab/>
        <w:t xml:space="preserve">The two-key certification workflow has been exercised on at least one example skill.</w:t>
      </w:r>
    </w:p>
    <w:p>
      <w:pPr>
        <w:ind w:left="720" w:first-line="-720"/>
        <w:spacing w:after="80"/>
      </w:pPr>
      <w:r>
        <w:rPr>
          <w:rFonts w:ascii="Times" w:hAnsi="Times" w:cs="Times"/>
          <w:sz w:val="22"/>
          <w:sz-cs w:val="22"/>
        </w:rPr>
        <w:t xml:space="preserve"/>
        <w:tab/>
        <w:t xml:space="preserve">•</w:t>
        <w:tab/>
        <w:t xml:space="preserve">Usage tracking returns accurate data for at least ten test invocations across multiple skills and engagements.</w:t>
      </w:r>
    </w:p>
    <w:p>
      <w:pPr>
        <w:ind w:left="720" w:first-line="-720"/>
        <w:spacing w:after="80"/>
      </w:pPr>
      <w:r>
        <w:rPr>
          <w:rFonts w:ascii="Times" w:hAnsi="Times" w:cs="Times"/>
          <w:sz w:val="22"/>
          <w:sz-cs w:val="22"/>
        </w:rPr>
        <w:t xml:space="preserve"/>
        <w:tab/>
        <w:t xml:space="preserve">•</w:t>
        <w:tab/>
        <w:t xml:space="preserve">Access control is verified by demonstrating that a client-facing skill exposes outputs without exposing internals.</w:t>
      </w:r>
    </w:p>
    <w:p>
      <w:pPr>
        <w:ind w:left="720" w:first-line="-720"/>
        <w:spacing w:after="80"/>
      </w:pPr>
      <w:r>
        <w:rPr>
          <w:rFonts w:ascii="Times" w:hAnsi="Times" w:cs="Times"/>
          <w:sz w:val="22"/>
          <w:sz-cs w:val="22"/>
        </w:rPr>
        <w:t xml:space="preserve"/>
        <w:tab/>
        <w:t xml:space="preserve">•</w:t>
        <w:tab/>
        <w:t xml:space="preserve">Security posture is documented and reviewed by Vitalief, including BAA status, encryption settings, and data handling policy.</w:t>
      </w:r>
    </w:p>
    <w:p>
      <w:pPr>
        <w:ind w:left="720" w:first-line="-720"/>
        <w:spacing w:after="80"/>
      </w:pPr>
      <w:r>
        <w:rPr>
          <w:rFonts w:ascii="Times" w:hAnsi="Times" w:cs="Times"/>
          <w:sz w:val="22"/>
          <w:sz-cs w:val="22"/>
        </w:rPr>
        <w:t xml:space="preserve"/>
        <w:tab/>
        <w:t xml:space="preserve">•</w:t>
        <w:tab/>
        <w:t xml:space="preserve">Platform code is delivered to the Vitalief-owned repository.</w:t>
      </w:r>
    </w:p>
    <w:p>
      <w:pPr>
        <w:ind w:left="720" w:first-line="-720"/>
        <w:spacing w:after="80"/>
      </w:pPr>
      <w:r>
        <w:rPr>
          <w:rFonts w:ascii="Times" w:hAnsi="Times" w:cs="Times"/>
          <w:sz w:val="22"/>
          <w:sz-cs w:val="22"/>
        </w:rPr>
        <w:t xml:space="preserve"/>
        <w:tab/>
        <w:t xml:space="preserve">•</w:t>
        <w:tab/>
        <w:t xml:space="preserve">Documentation covers platform architecture, API surface, deployment process, and validation methodology.</w:t>
      </w:r>
    </w:p>
    <w:p>
      <w:pPr>
        <w:spacing w:before="360" w:after="180"/>
      </w:pPr>
      <w:r>
        <w:rPr>
          <w:rFonts w:ascii="Times" w:hAnsi="Times" w:cs="Times"/>
          <w:sz w:val="32"/>
          <w:sz-cs w:val="32"/>
          <w:b/>
          <w:color w:val="1F3864"/>
        </w:rPr>
        <w:t xml:space="preserve">9. Next Steps</w:t>
      </w:r>
    </w:p>
    <w:p>
      <w:pPr>
        <w:ind w:left="720" w:first-line="-720"/>
        <w:spacing w:after="80"/>
      </w:pPr>
      <w:r>
        <w:rPr>
          <w:rFonts w:ascii="Times" w:hAnsi="Times" w:cs="Times"/>
          <w:sz w:val="22"/>
          <w:sz-cs w:val="22"/>
        </w:rPr>
        <w:t xml:space="preserve"/>
        <w:tab/>
        <w:t xml:space="preserve">•</w:t>
        <w:tab/>
        <w:t xml:space="preserve">Vitalief and MA Technologies review this document together and agree on requirements, priorities, and open items.</w:t>
      </w:r>
    </w:p>
    <w:p>
      <w:pPr>
        <w:ind w:left="720" w:first-line="-720"/>
        <w:spacing w:after="80"/>
      </w:pPr>
      <w:r>
        <w:rPr>
          <w:rFonts w:ascii="Times" w:hAnsi="Times" w:cs="Times"/>
          <w:sz w:val="22"/>
          <w:sz-cs w:val="22"/>
        </w:rPr>
        <w:t xml:space="preserve"/>
        <w:tab/>
        <w:t xml:space="preserve">•</w:t>
        <w:tab/>
        <w:t xml:space="preserve">MA Technologies returns a technical design proposal that responds to these requirements.</w:t>
      </w:r>
    </w:p>
    <w:p>
      <w:pPr>
        <w:ind w:left="720" w:first-line="-720"/>
        <w:spacing w:after="80"/>
      </w:pPr>
      <w:r>
        <w:rPr>
          <w:rFonts w:ascii="Times" w:hAnsi="Times" w:cs="Times"/>
          <w:sz w:val="22"/>
          <w:sz-cs w:val="22"/>
        </w:rPr>
        <w:t xml:space="preserve"/>
        <w:tab/>
        <w:t xml:space="preserve">•</w:t>
        <w:tab/>
        <w:t xml:space="preserve">Vitalief and MA Technologies finalize the Phase 1 SOW, including pricing, timeline, and acceptance milestones.</w:t>
      </w:r>
    </w:p>
    <w:p>
      <w:pPr>
        <w:ind w:left="720" w:first-line="-720"/>
        <w:spacing w:after="80"/>
      </w:pPr>
      <w:r>
        <w:rPr>
          <w:rFonts w:ascii="Times" w:hAnsi="Times" w:cs="Times"/>
          <w:sz w:val="22"/>
          <w:sz-cs w:val="22"/>
        </w:rPr>
        <w:t xml:space="preserve"/>
        <w:tab/>
        <w:t xml:space="preserve">•</w:t>
        <w:tab/>
        <w:t xml:space="preserve">Phase 1 kickoff.</w:t>
      </w:r>
    </w:p>
    <w:p>
      <w:pPr>
        <w:spacing w:after="120"/>
      </w:pPr>
      <w:r>
        <w:rPr>
          <w:rFonts w:ascii="Times" w:hAnsi="Times" w:cs="Times"/>
          <w:sz w:val="22"/>
          <w:sz-cs w:val="22"/>
          <w:b/>
          <w:i/>
          <w:color w:val="000000"/>
        </w:rPr>
        <w:t xml:space="preserve"/>
      </w:r>
    </w:p>
    <w:p>
      <w:pPr>
        <w:spacing w:before="60" w:after="120"/>
      </w:pPr>
      <w:r>
        <w:rPr>
          <w:rFonts w:ascii="Times" w:hAnsi="Times" w:cs="Times"/>
          <w:sz w:val="22"/>
          <w:sz-cs w:val="22"/>
        </w:rPr>
        <w:t xml:space="preserve"/>
      </w:r>
    </w:p>
    <w:p>
      <w:pPr>
        <w:jc w:val="center"/>
        <w:spacing w:after="120"/>
      </w:pPr>
      <w:r>
        <w:rPr>
          <w:rFonts w:ascii="Times" w:hAnsi="Times" w:cs="Times"/>
          <w:sz w:val="20"/>
          <w:sz-cs w:val="20"/>
          <w:b/>
          <w:i/>
          <w:color w:val="000000"/>
        </w:rPr>
        <w:t xml:space="preserve">End of document.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Vitalief Skills Platform - Business Requirements Document</dc:title>
  <dc:creator>Matthew Maxwell</dc:creator>
  <dc:description>BRD for platform build and skills authoring engagement with MA Technologies</dc:description>
</cp:coreProperties>
</file>

<file path=docProps/meta.xml><?xml version="1.0" encoding="utf-8"?>
<meta xmlns="http://schemas.apple.com/cocoa/2006/metadata">
  <generator>CocoaOOXMLWriter/2575.7</generator>
</meta>
</file>