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9F1" w:rsidRDefault="00D76901" w:rsidP="00EA59F1">
      <w:pPr>
        <w:pStyle w:val="PlainText"/>
        <w:jc w:val="center"/>
        <w:rPr>
          <w:rFonts w:ascii="Times New Roman" w:eastAsia="MS Mincho" w:hAnsi="Times New Roman" w:cs="Times New Roman"/>
          <w:b/>
          <w:bCs/>
          <w:sz w:val="24"/>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EA59F1" w:rsidRDefault="00D76901">
      <w:pPr>
        <w:pStyle w:val="PlainText"/>
        <w:jc w:val="center"/>
        <w:rPr>
          <w:rFonts w:ascii="Times New Roman" w:eastAsia="MS Mincho" w:hAnsi="Times New Roman" w:cs="Times New Roman"/>
          <w:b/>
          <w:bCs/>
          <w:sz w:val="24"/>
        </w:rPr>
      </w:pPr>
    </w:p>
    <w:p w:rsidR="00EA59F1" w:rsidRDefault="00D76901">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Server Security Policy</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rPr>
      </w:pPr>
    </w:p>
    <w:p w:rsidR="00EA59F1" w:rsidRPr="00E43401" w:rsidRDefault="00D76901" w:rsidP="00EA59F1">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EA59F1" w:rsidRDefault="00D76901">
      <w:pPr>
        <w:pStyle w:val="PlainText"/>
        <w:rPr>
          <w:rFonts w:ascii="Times New Roman" w:eastAsia="MS Mincho" w:hAnsi="Times New Roman" w:cs="Times New Roman"/>
          <w:b/>
          <w:bCs/>
        </w:rPr>
      </w:pP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 xml:space="preserve">1.0 Purpose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The purpose of this policy is to establish standa</w:t>
      </w:r>
      <w:r>
        <w:rPr>
          <w:rFonts w:ascii="Times New Roman" w:eastAsia="MS Mincho" w:hAnsi="Times New Roman" w:cs="Times New Roman"/>
        </w:rPr>
        <w:t xml:space="preserve">rds for the base configuration of internal server equipment that is owned and/or operated by &lt;Company Name&gt;. Effective implementation of this policy will minimize unauthorized access to &lt;Company Name&gt; proprietary information and technology.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2</w:t>
      </w:r>
      <w:r>
        <w:rPr>
          <w:rFonts w:ascii="Times New Roman" w:eastAsia="MS Mincho" w:hAnsi="Times New Roman" w:cs="Times New Roman"/>
          <w:b/>
          <w:bCs/>
        </w:rPr>
        <w:t>.0 Scope</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This policy applies to server equipment owned and/or operated by &lt;Company Name&gt;, and to servers registered under any &lt;Company Name&gt;-owned internal network domain. </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This policy is specifically for equipment on the internal &lt;Company Name&gt; network. </w:t>
      </w:r>
      <w:r>
        <w:rPr>
          <w:rFonts w:ascii="Times New Roman" w:eastAsia="MS Mincho" w:hAnsi="Times New Roman" w:cs="Times New Roman"/>
        </w:rPr>
        <w:t xml:space="preserve">For secure configuration of equipment external to &lt;Company Name&gt; on the DMZ, refer to the </w:t>
      </w:r>
      <w:r>
        <w:rPr>
          <w:rFonts w:ascii="Times New Roman" w:eastAsia="MS Mincho" w:hAnsi="Times New Roman" w:cs="Times New Roman"/>
          <w:i/>
          <w:iCs/>
        </w:rPr>
        <w:t>Internet DMZ Equipment Policy</w:t>
      </w: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3.0 Policy</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3.1 Ownership and Responsibilities</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All internal servers deployed at &lt;Company Name&gt; must be owned by an oper</w:t>
      </w:r>
      <w:r>
        <w:rPr>
          <w:rFonts w:ascii="Times New Roman" w:eastAsia="MS Mincho" w:hAnsi="Times New Roman" w:cs="Times New Roman"/>
        </w:rPr>
        <w:t>ational group that is responsible for system administration. Approved server configuration guides must be established and maintained by each operational group, based on business needs and approved by InfoSec. Operational groups should monitor configuration</w:t>
      </w:r>
      <w:r>
        <w:rPr>
          <w:rFonts w:ascii="Times New Roman" w:eastAsia="MS Mincho" w:hAnsi="Times New Roman" w:cs="Times New Roman"/>
        </w:rPr>
        <w:t xml:space="preserve"> compliance and implement an exception policy tailored to their environment. Each operational group must establish a process for changing the configuration guides, which includes review and approval by InfoSec.</w:t>
      </w:r>
    </w:p>
    <w:p w:rsidR="00EA59F1" w:rsidRDefault="00D76901">
      <w:pPr>
        <w:pStyle w:val="PlainText"/>
        <w:rPr>
          <w:rFonts w:ascii="Times New Roman" w:eastAsia="MS Mincho" w:hAnsi="Times New Roman" w:cs="Times New Roman"/>
        </w:rPr>
      </w:pPr>
    </w:p>
    <w:p w:rsidR="00EA59F1" w:rsidRDefault="00D76901">
      <w:pPr>
        <w:pStyle w:val="PlainText"/>
        <w:numPr>
          <w:ilvl w:val="0"/>
          <w:numId w:val="1"/>
        </w:numPr>
        <w:rPr>
          <w:rFonts w:ascii="Times New Roman" w:eastAsia="MS Mincho" w:hAnsi="Times New Roman" w:cs="Times New Roman"/>
        </w:rPr>
      </w:pPr>
      <w:r>
        <w:rPr>
          <w:rFonts w:ascii="Times New Roman" w:eastAsia="MS Mincho" w:hAnsi="Times New Roman" w:cs="Times New Roman"/>
        </w:rPr>
        <w:t>Servers must be registered within the corpor</w:t>
      </w:r>
      <w:r>
        <w:rPr>
          <w:rFonts w:ascii="Times New Roman" w:eastAsia="MS Mincho" w:hAnsi="Times New Roman" w:cs="Times New Roman"/>
        </w:rPr>
        <w:t xml:space="preserve">ate enterprise management system. At a minimum, the following information is required to positively identify the point of contact: </w:t>
      </w:r>
    </w:p>
    <w:p w:rsidR="00EA59F1" w:rsidRDefault="00D76901">
      <w:pPr>
        <w:pStyle w:val="PlainText"/>
        <w:numPr>
          <w:ilvl w:val="1"/>
          <w:numId w:val="1"/>
        </w:numPr>
        <w:rPr>
          <w:rFonts w:ascii="Times New Roman" w:eastAsia="MS Mincho" w:hAnsi="Times New Roman" w:cs="Times New Roman"/>
        </w:rPr>
      </w:pPr>
      <w:r>
        <w:rPr>
          <w:rFonts w:ascii="Times New Roman" w:eastAsia="MS Mincho" w:hAnsi="Times New Roman" w:cs="Times New Roman"/>
        </w:rPr>
        <w:t xml:space="preserve">Server contact(s) and location, and a backup contact </w:t>
      </w:r>
    </w:p>
    <w:p w:rsidR="00EA59F1" w:rsidRDefault="00D76901">
      <w:pPr>
        <w:pStyle w:val="PlainText"/>
        <w:numPr>
          <w:ilvl w:val="1"/>
          <w:numId w:val="1"/>
        </w:numPr>
        <w:rPr>
          <w:rFonts w:ascii="Times New Roman" w:eastAsia="MS Mincho" w:hAnsi="Times New Roman" w:cs="Times New Roman"/>
        </w:rPr>
      </w:pPr>
      <w:r>
        <w:rPr>
          <w:rFonts w:ascii="Times New Roman" w:eastAsia="MS Mincho" w:hAnsi="Times New Roman" w:cs="Times New Roman"/>
        </w:rPr>
        <w:t xml:space="preserve">Hardware and Operating System/Version </w:t>
      </w:r>
    </w:p>
    <w:p w:rsidR="00EA59F1" w:rsidRDefault="00D76901">
      <w:pPr>
        <w:pStyle w:val="PlainText"/>
        <w:numPr>
          <w:ilvl w:val="1"/>
          <w:numId w:val="1"/>
        </w:numPr>
        <w:rPr>
          <w:rFonts w:ascii="Times New Roman" w:eastAsia="MS Mincho" w:hAnsi="Times New Roman" w:cs="Times New Roman"/>
        </w:rPr>
      </w:pPr>
      <w:r>
        <w:rPr>
          <w:rFonts w:ascii="Times New Roman" w:eastAsia="MS Mincho" w:hAnsi="Times New Roman" w:cs="Times New Roman"/>
        </w:rPr>
        <w:t>Main functions and applications</w:t>
      </w:r>
      <w:r>
        <w:rPr>
          <w:rFonts w:ascii="Times New Roman" w:eastAsia="MS Mincho" w:hAnsi="Times New Roman" w:cs="Times New Roman"/>
        </w:rPr>
        <w:t xml:space="preserve">, if applicable </w:t>
      </w:r>
    </w:p>
    <w:p w:rsidR="00EA59F1" w:rsidRDefault="00D76901">
      <w:pPr>
        <w:pStyle w:val="PlainText"/>
        <w:numPr>
          <w:ilvl w:val="0"/>
          <w:numId w:val="1"/>
        </w:numPr>
        <w:rPr>
          <w:rFonts w:ascii="Times New Roman" w:eastAsia="MS Mincho" w:hAnsi="Times New Roman" w:cs="Times New Roman"/>
        </w:rPr>
      </w:pPr>
      <w:r>
        <w:rPr>
          <w:rFonts w:ascii="Times New Roman" w:eastAsia="MS Mincho" w:hAnsi="Times New Roman" w:cs="Times New Roman"/>
        </w:rPr>
        <w:t xml:space="preserve">Information in the corporate enterprise management system must be kept up-to-date. </w:t>
      </w:r>
    </w:p>
    <w:p w:rsidR="00EA59F1" w:rsidRDefault="00D76901">
      <w:pPr>
        <w:pStyle w:val="PlainText"/>
        <w:numPr>
          <w:ilvl w:val="0"/>
          <w:numId w:val="1"/>
        </w:numPr>
        <w:rPr>
          <w:rFonts w:ascii="Times New Roman" w:eastAsia="MS Mincho" w:hAnsi="Times New Roman" w:cs="Times New Roman"/>
        </w:rPr>
      </w:pPr>
      <w:r>
        <w:rPr>
          <w:rFonts w:ascii="Times New Roman" w:eastAsia="MS Mincho" w:hAnsi="Times New Roman" w:cs="Times New Roman"/>
        </w:rPr>
        <w:t xml:space="preserve">Configuration changes for production servers must follow the appropriate change management procedures.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 xml:space="preserve"> 3.2 General Configuration Guidelines</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Operating System configuration should be in accordance with approved InfoSec guidelines.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Services and applications that will not be used must be disabled where practical.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Access to services should be logged and/or protected through access-control method</w:t>
      </w:r>
      <w:r>
        <w:rPr>
          <w:rFonts w:ascii="Times New Roman" w:eastAsia="MS Mincho" w:hAnsi="Times New Roman" w:cs="Times New Roman"/>
        </w:rPr>
        <w:t xml:space="preserve">s such as TCP Wrappers, if possible.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The most recent security patches must be installed on the system as soon as practical, the only exception being when immediate application would interfere with business requirements.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Trust relationships between system</w:t>
      </w:r>
      <w:r>
        <w:rPr>
          <w:rFonts w:ascii="Times New Roman" w:eastAsia="MS Mincho" w:hAnsi="Times New Roman" w:cs="Times New Roman"/>
        </w:rPr>
        <w:t xml:space="preserve">s are a security risk, and their use should be avoided. Do not use a trust relationship when some other method of communication will do.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Always use standard security principles of least required access to perform a function.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lastRenderedPageBreak/>
        <w:t>Do not use root when a non-pr</w:t>
      </w:r>
      <w:r>
        <w:rPr>
          <w:rFonts w:ascii="Times New Roman" w:eastAsia="MS Mincho" w:hAnsi="Times New Roman" w:cs="Times New Roman"/>
        </w:rPr>
        <w:t xml:space="preserve">ivileged account will do.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If a methodology for secure channel connection is available  (i.e., technically feasible), privileged access must be performed over secure channels, (e.g., encrypted network connections using SSH or IPSec).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Servers should be phy</w:t>
      </w:r>
      <w:r>
        <w:rPr>
          <w:rFonts w:ascii="Times New Roman" w:eastAsia="MS Mincho" w:hAnsi="Times New Roman" w:cs="Times New Roman"/>
        </w:rPr>
        <w:t xml:space="preserve">sically located in an access-controlled environment. </w:t>
      </w:r>
    </w:p>
    <w:p w:rsidR="00EA59F1" w:rsidRDefault="00D76901">
      <w:pPr>
        <w:pStyle w:val="PlainText"/>
        <w:numPr>
          <w:ilvl w:val="0"/>
          <w:numId w:val="2"/>
        </w:numPr>
        <w:rPr>
          <w:rFonts w:ascii="Times New Roman" w:eastAsia="MS Mincho" w:hAnsi="Times New Roman" w:cs="Times New Roman"/>
        </w:rPr>
      </w:pPr>
      <w:r>
        <w:rPr>
          <w:rFonts w:ascii="Times New Roman" w:eastAsia="MS Mincho" w:hAnsi="Times New Roman" w:cs="Times New Roman"/>
        </w:rPr>
        <w:t xml:space="preserve">Servers are specifically prohibited from operating from uncontrolled cubicle areas. </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3.3 Monitoring</w:t>
      </w:r>
    </w:p>
    <w:p w:rsidR="00EA59F1" w:rsidRDefault="00D76901">
      <w:pPr>
        <w:pStyle w:val="PlainText"/>
        <w:numPr>
          <w:ilvl w:val="0"/>
          <w:numId w:val="3"/>
        </w:numPr>
        <w:rPr>
          <w:rFonts w:ascii="Times New Roman" w:eastAsia="MS Mincho" w:hAnsi="Times New Roman" w:cs="Times New Roman"/>
        </w:rPr>
      </w:pPr>
      <w:r>
        <w:rPr>
          <w:rFonts w:ascii="Times New Roman" w:eastAsia="MS Mincho" w:hAnsi="Times New Roman" w:cs="Times New Roman"/>
        </w:rPr>
        <w:t>All security-related events on critical or sensitive systems must be logged and audit trails saved as</w:t>
      </w:r>
      <w:r>
        <w:rPr>
          <w:rFonts w:ascii="Times New Roman" w:eastAsia="MS Mincho" w:hAnsi="Times New Roman" w:cs="Times New Roman"/>
        </w:rPr>
        <w:t xml:space="preserve"> follows: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All security related logs will be kept online for a minimum of 1 week.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Daily incremental tape backups will be retained for at least 1 month.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Weekly full tape backups of logs will be retained for at least 1 month.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Monthly full backups will be </w:t>
      </w:r>
      <w:r>
        <w:rPr>
          <w:rFonts w:ascii="Times New Roman" w:eastAsia="MS Mincho" w:hAnsi="Times New Roman" w:cs="Times New Roman"/>
        </w:rPr>
        <w:t xml:space="preserve">retained for a minimum of 2 years. </w:t>
      </w:r>
    </w:p>
    <w:p w:rsidR="00EA59F1" w:rsidRDefault="00D76901">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Security-related events will be reported to InfoSec, who will review logs and report incidents to IT management. Corrective measures will be prescribed as needed. Security-related events include, but are not limited to: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Port-scan attacks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Evidence of unauthorized access to privileged accounts </w:t>
      </w:r>
    </w:p>
    <w:p w:rsidR="00EA59F1" w:rsidRDefault="00D76901">
      <w:pPr>
        <w:pStyle w:val="PlainText"/>
        <w:numPr>
          <w:ilvl w:val="1"/>
          <w:numId w:val="3"/>
        </w:numPr>
        <w:rPr>
          <w:rFonts w:ascii="Times New Roman" w:eastAsia="MS Mincho" w:hAnsi="Times New Roman" w:cs="Times New Roman"/>
        </w:rPr>
      </w:pPr>
      <w:r>
        <w:rPr>
          <w:rFonts w:ascii="Times New Roman" w:eastAsia="MS Mincho" w:hAnsi="Times New Roman" w:cs="Times New Roman"/>
        </w:rPr>
        <w:t xml:space="preserve">Anomalous occurrences that are not related to specific applications on the host. </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3.4 Compliance</w:t>
      </w:r>
    </w:p>
    <w:p w:rsidR="00EA59F1" w:rsidRDefault="00D76901">
      <w:pPr>
        <w:pStyle w:val="PlainText"/>
        <w:numPr>
          <w:ilvl w:val="0"/>
          <w:numId w:val="3"/>
        </w:numPr>
        <w:rPr>
          <w:rFonts w:ascii="Times New Roman" w:eastAsia="MS Mincho" w:hAnsi="Times New Roman" w:cs="Times New Roman"/>
        </w:rPr>
      </w:pPr>
      <w:r>
        <w:rPr>
          <w:rFonts w:ascii="Times New Roman" w:eastAsia="MS Mincho" w:hAnsi="Times New Roman" w:cs="Times New Roman"/>
        </w:rPr>
        <w:t>Audits will be performed on a regular basis by authorized organizations within &lt;Co</w:t>
      </w:r>
      <w:r>
        <w:rPr>
          <w:rFonts w:ascii="Times New Roman" w:eastAsia="MS Mincho" w:hAnsi="Times New Roman" w:cs="Times New Roman"/>
        </w:rPr>
        <w:t xml:space="preserve">mpany Name&gt;. </w:t>
      </w:r>
    </w:p>
    <w:p w:rsidR="00EA59F1" w:rsidRDefault="00D76901">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Audits will be managed by the internal audit group or InfoSec, in accordance with the </w:t>
      </w:r>
      <w:r>
        <w:rPr>
          <w:rFonts w:ascii="Times New Roman" w:eastAsia="MS Mincho" w:hAnsi="Times New Roman" w:cs="Times New Roman"/>
          <w:i/>
          <w:iCs/>
        </w:rPr>
        <w:t>Audit Policy</w:t>
      </w:r>
      <w:r>
        <w:rPr>
          <w:rFonts w:ascii="Times New Roman" w:eastAsia="MS Mincho" w:hAnsi="Times New Roman" w:cs="Times New Roman"/>
        </w:rPr>
        <w:t>. InfoSec will filter findings not related to a specific operational group and then present the findings to the appropriate support staff for re</w:t>
      </w:r>
      <w:r>
        <w:rPr>
          <w:rFonts w:ascii="Times New Roman" w:eastAsia="MS Mincho" w:hAnsi="Times New Roman" w:cs="Times New Roman"/>
        </w:rPr>
        <w:t xml:space="preserve">mediation or justification. </w:t>
      </w:r>
    </w:p>
    <w:p w:rsidR="00EA59F1" w:rsidRDefault="00D76901">
      <w:pPr>
        <w:pStyle w:val="PlainText"/>
        <w:numPr>
          <w:ilvl w:val="0"/>
          <w:numId w:val="3"/>
        </w:numPr>
        <w:rPr>
          <w:rFonts w:ascii="Times New Roman" w:eastAsia="MS Mincho" w:hAnsi="Times New Roman" w:cs="Times New Roman"/>
        </w:rPr>
      </w:pPr>
      <w:r>
        <w:rPr>
          <w:rFonts w:ascii="Times New Roman" w:eastAsia="MS Mincho" w:hAnsi="Times New Roman" w:cs="Times New Roman"/>
        </w:rPr>
        <w:t xml:space="preserve">Every effort will be made to prevent audits from causing operational failures or disruptions. </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 xml:space="preserve">4.0 Enforcement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Any employee found to have violated this policy may be subject to disciplinary action, up to and including termina</w:t>
      </w:r>
      <w:r>
        <w:rPr>
          <w:rFonts w:ascii="Times New Roman" w:eastAsia="MS Mincho" w:hAnsi="Times New Roman" w:cs="Times New Roman"/>
        </w:rPr>
        <w:t xml:space="preserve">tion of employment.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 xml:space="preserve">5.0 Definitions </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b/>
          <w:bCs/>
        </w:rPr>
        <w:t>Term</w:t>
      </w:r>
      <w:r>
        <w:rPr>
          <w:rFonts w:ascii="Times New Roman" w:eastAsia="MS Mincho" w:hAnsi="Times New Roman" w:cs="Times New Roman"/>
        </w:rPr>
        <w:tab/>
      </w:r>
      <w:r>
        <w:rPr>
          <w:rFonts w:ascii="Times New Roman" w:eastAsia="MS Mincho" w:hAnsi="Times New Roman" w:cs="Times New Roman"/>
        </w:rPr>
        <w:tab/>
      </w:r>
      <w:r>
        <w:rPr>
          <w:rFonts w:ascii="Times New Roman" w:eastAsia="MS Mincho" w:hAnsi="Times New Roman" w:cs="Times New Roman"/>
          <w:b/>
          <w:bCs/>
        </w:rPr>
        <w:t>Definition</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DMZ</w:t>
      </w:r>
      <w:r>
        <w:rPr>
          <w:rFonts w:ascii="Times New Roman" w:eastAsia="MS Mincho" w:hAnsi="Times New Roman" w:cs="Times New Roman"/>
        </w:rPr>
        <w:tab/>
      </w:r>
      <w:r>
        <w:rPr>
          <w:rFonts w:ascii="Times New Roman" w:eastAsia="MS Mincho" w:hAnsi="Times New Roman" w:cs="Times New Roman"/>
        </w:rPr>
        <w:tab/>
        <w:t>De-militariezed Zone. A network segment external to the corporate production network.</w:t>
      </w:r>
    </w:p>
    <w:p w:rsidR="00EA59F1" w:rsidRDefault="00D76901">
      <w:pPr>
        <w:pStyle w:val="PlainText"/>
        <w:rPr>
          <w:rFonts w:ascii="Times New Roman" w:eastAsia="MS Mincho" w:hAnsi="Times New Roman" w:cs="Times New Roman"/>
        </w:rPr>
      </w:pPr>
    </w:p>
    <w:p w:rsidR="00EA59F1" w:rsidRDefault="00D76901">
      <w:pPr>
        <w:pStyle w:val="PlainText"/>
        <w:ind w:left="1440" w:hanging="1440"/>
        <w:rPr>
          <w:rFonts w:ascii="Times New Roman" w:eastAsia="MS Mincho" w:hAnsi="Times New Roman" w:cs="Times New Roman"/>
        </w:rPr>
      </w:pPr>
      <w:r>
        <w:rPr>
          <w:rFonts w:ascii="Times New Roman" w:eastAsia="MS Mincho" w:hAnsi="Times New Roman" w:cs="Times New Roman"/>
        </w:rPr>
        <w:t>Server</w:t>
      </w:r>
      <w:r>
        <w:rPr>
          <w:rFonts w:ascii="Times New Roman" w:eastAsia="MS Mincho" w:hAnsi="Times New Roman" w:cs="Times New Roman"/>
        </w:rPr>
        <w:tab/>
        <w:t xml:space="preserve">For purposes of this policy, a Server is defined as an internal &lt;Company Name&gt; Server. </w:t>
      </w:r>
      <w:r>
        <w:rPr>
          <w:rFonts w:ascii="Times New Roman" w:eastAsia="MS Mincho" w:hAnsi="Times New Roman" w:cs="Times New Roman"/>
        </w:rPr>
        <w:t xml:space="preserve">Desktop </w:t>
      </w:r>
      <w:r>
        <w:rPr>
          <w:rFonts w:ascii="Times New Roman" w:eastAsia="MS Mincho" w:hAnsi="Times New Roman" w:cs="Times New Roman"/>
        </w:rPr>
        <w:tab/>
        <w:t>machines and Lab equipment are not relevant to the scope of this policy.</w:t>
      </w:r>
    </w:p>
    <w:p w:rsidR="00EA59F1" w:rsidRDefault="00D76901">
      <w:pPr>
        <w:pStyle w:val="PlainText"/>
        <w:rPr>
          <w:rFonts w:ascii="Times New Roman" w:eastAsia="MS Mincho" w:hAnsi="Times New Roman" w:cs="Times New Roman"/>
        </w:rPr>
      </w:pP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pStyle w:val="PlainText"/>
        <w:rPr>
          <w:rFonts w:ascii="Times New Roman" w:eastAsia="MS Mincho" w:hAnsi="Times New Roman" w:cs="Times New Roman"/>
          <w:b/>
          <w:bCs/>
        </w:rPr>
      </w:pPr>
      <w:r>
        <w:rPr>
          <w:rFonts w:ascii="Times New Roman" w:eastAsia="MS Mincho" w:hAnsi="Times New Roman" w:cs="Times New Roman"/>
          <w:b/>
          <w:bCs/>
        </w:rPr>
        <w:t>6.0 Revision History</w:t>
      </w:r>
    </w:p>
    <w:p w:rsidR="00EA59F1" w:rsidRDefault="00D76901">
      <w:pPr>
        <w:pStyle w:val="PlainText"/>
        <w:rPr>
          <w:rFonts w:ascii="Times New Roman" w:eastAsia="MS Mincho" w:hAnsi="Times New Roman" w:cs="Times New Roman"/>
        </w:rPr>
      </w:pPr>
      <w:r>
        <w:rPr>
          <w:rFonts w:ascii="Times New Roman" w:eastAsia="MS Mincho" w:hAnsi="Times New Roman" w:cs="Times New Roman"/>
        </w:rPr>
        <w:t xml:space="preserve">                  </w:t>
      </w:r>
    </w:p>
    <w:p w:rsidR="00EA59F1" w:rsidRDefault="00D76901">
      <w:pPr>
        <w:rPr>
          <w:sz w:val="20"/>
        </w:rPr>
      </w:pPr>
    </w:p>
    <w:sectPr w:rsidR="00EA59F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9F1" w:rsidRDefault="00D76901">
      <w:r>
        <w:separator/>
      </w:r>
    </w:p>
  </w:endnote>
  <w:endnote w:type="continuationSeparator" w:id="0">
    <w:p w:rsidR="00EA59F1" w:rsidRDefault="00D769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9F1" w:rsidRDefault="00D76901">
      <w:r>
        <w:separator/>
      </w:r>
    </w:p>
  </w:footnote>
  <w:footnote w:type="continuationSeparator" w:id="0">
    <w:p w:rsidR="00EA59F1" w:rsidRDefault="00D76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7pt;z-index:251657728;mso-position-horizontal:center;mso-position-horizontal-relative:margin;mso-position-vertical:center;mso-position-vertical-relative:margin">
          <v:imagedata r:id="rId1" o:title="2006_Key_All_Rights"/>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9F1" w:rsidRDefault="00D769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B22C6"/>
    <w:multiLevelType w:val="hybridMultilevel"/>
    <w:tmpl w:val="8CC007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F7013"/>
    <w:rsid w:val="00D76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B81D08"/>
    <w:pPr>
      <w:tabs>
        <w:tab w:val="center" w:pos="4320"/>
        <w:tab w:val="right" w:pos="8640"/>
      </w:tabs>
    </w:pPr>
  </w:style>
  <w:style w:type="paragraph" w:styleId="Footer">
    <w:name w:val="footer"/>
    <w:basedOn w:val="Normal"/>
    <w:rsid w:val="00B81D0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746</Words>
  <Characters>4257</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InfoSec Server Security Policy</vt:lpstr>
    </vt:vector>
  </TitlesOfParts>
  <Company>Cisco Systems, Inc.</Company>
  <LinksUpToDate>false</LinksUpToDate>
  <CharactersWithSpaces>4994</CharactersWithSpaces>
  <SharedDoc>false</SharedDoc>
  <HLinks>
    <vt:vector size="6" baseType="variant">
      <vt:variant>
        <vt:i4>2490488</vt:i4>
      </vt:variant>
      <vt:variant>
        <vt:i4>-1</vt:i4>
      </vt:variant>
      <vt:variant>
        <vt:i4>2049</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Server Security Policy</dc:title>
  <dc:subject/>
  <dc:creator>Cisco User</dc:creator>
  <cp:keywords/>
  <dc:description/>
  <cp:lastModifiedBy>SEK</cp:lastModifiedBy>
  <cp:revision>2</cp:revision>
  <dcterms:created xsi:type="dcterms:W3CDTF">2010-11-15T18:37:00Z</dcterms:created>
  <dcterms:modified xsi:type="dcterms:W3CDTF">2010-11-15T18:37:00Z</dcterms:modified>
</cp:coreProperties>
</file>