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263" w:rsidRPr="00270957" w:rsidRDefault="00150546" w:rsidP="00FC2263">
      <w:pPr>
        <w:pStyle w:val="Heading1"/>
        <w:ind w:left="720"/>
      </w:pPr>
      <w:r>
        <w:t>Wireless Communication Standard</w:t>
      </w:r>
    </w:p>
    <w:p w:rsidR="00FC2263" w:rsidRDefault="00150546" w:rsidP="00FC2263">
      <w:pPr>
        <w:ind w:left="720"/>
      </w:pPr>
    </w:p>
    <w:p w:rsidR="00FC2263" w:rsidRDefault="00150546" w:rsidP="00FC2263">
      <w:pPr>
        <w:pStyle w:val="Heading2"/>
      </w:pPr>
      <w:r>
        <w:t>Overview</w:t>
      </w:r>
    </w:p>
    <w:p w:rsidR="00FC2263" w:rsidRDefault="00150546" w:rsidP="00FC2263">
      <w:pPr>
        <w:pStyle w:val="NormalIndent"/>
      </w:pPr>
      <w:r w:rsidRPr="00AD105E">
        <w:t>The purpose of this standard is to secure and protect the information as</w:t>
      </w:r>
      <w:r>
        <w:t>sets owned by &lt;Company Name&gt;</w:t>
      </w:r>
      <w:proofErr w:type="gramStart"/>
      <w:r>
        <w:t xml:space="preserve">. </w:t>
      </w:r>
      <w:proofErr w:type="gramEnd"/>
      <w:r>
        <w:t>&lt;Company Name&gt;</w:t>
      </w:r>
      <w:r w:rsidRPr="002E2CC7">
        <w:t xml:space="preserve"> provides computer devices, networks, and other electronic information systems to meet missions, g</w:t>
      </w:r>
      <w:r w:rsidRPr="002E2CC7">
        <w:t>oals, and initiatives</w:t>
      </w:r>
      <w:proofErr w:type="gramStart"/>
      <w:r w:rsidRPr="002E2CC7">
        <w:t xml:space="preserve">. </w:t>
      </w:r>
      <w:proofErr w:type="gramEnd"/>
      <w:r>
        <w:t>&lt;Company Name&gt;</w:t>
      </w:r>
      <w:r w:rsidRPr="002E2CC7">
        <w:t xml:space="preserve"> grants access to these resources as a privilege and must manage them responsibly to maintain the confidentiality, integrity, and availability of all information assets.</w:t>
      </w:r>
      <w:r>
        <w:t xml:space="preserve"> </w:t>
      </w:r>
    </w:p>
    <w:p w:rsidR="00FC2263" w:rsidRDefault="00150546" w:rsidP="00FC2263">
      <w:pPr>
        <w:pStyle w:val="NormalIndent"/>
      </w:pPr>
    </w:p>
    <w:p w:rsidR="00FC2263" w:rsidRPr="005B4943" w:rsidRDefault="00150546" w:rsidP="00FC2263">
      <w:pPr>
        <w:pStyle w:val="NormalIndent"/>
      </w:pPr>
      <w:r w:rsidRPr="00AD105E">
        <w:t>This standard specifies the technical requireme</w:t>
      </w:r>
      <w:r w:rsidRPr="00AD105E">
        <w:t xml:space="preserve">nts </w:t>
      </w:r>
      <w:r>
        <w:t>that</w:t>
      </w:r>
      <w:r w:rsidRPr="00AD105E">
        <w:t xml:space="preserve"> </w:t>
      </w:r>
      <w:r>
        <w:t xml:space="preserve">wireless infrastructure </w:t>
      </w:r>
      <w:r w:rsidRPr="00AD105E">
        <w:t>devices mus</w:t>
      </w:r>
      <w:r>
        <w:t xml:space="preserve">t satisfy to connect to a &lt;Company Name&gt; </w:t>
      </w:r>
      <w:r w:rsidRPr="00AD105E">
        <w:t>network</w:t>
      </w:r>
      <w:proofErr w:type="gramStart"/>
      <w:r>
        <w:t xml:space="preserve">. </w:t>
      </w:r>
      <w:proofErr w:type="gramEnd"/>
      <w:r w:rsidRPr="00AD105E">
        <w:t xml:space="preserve">Only </w:t>
      </w:r>
      <w:r w:rsidRPr="00AD105E">
        <w:rPr>
          <w:bCs/>
        </w:rPr>
        <w:t>those</w:t>
      </w:r>
      <w:r w:rsidRPr="00AD105E">
        <w:t xml:space="preserve"> wireless </w:t>
      </w:r>
      <w:r>
        <w:t xml:space="preserve">infrastructure </w:t>
      </w:r>
      <w:r w:rsidRPr="00AD105E">
        <w:t xml:space="preserve">devices that meet the requirements </w:t>
      </w:r>
      <w:r w:rsidRPr="00AD105E">
        <w:rPr>
          <w:bCs/>
        </w:rPr>
        <w:t>specified in</w:t>
      </w:r>
      <w:r w:rsidRPr="00AD105E">
        <w:t xml:space="preserve"> this standard or </w:t>
      </w:r>
      <w:r>
        <w:t xml:space="preserve">are </w:t>
      </w:r>
      <w:r w:rsidRPr="00C41C38">
        <w:t>grante</w:t>
      </w:r>
      <w:r>
        <w:t xml:space="preserve">d an exception by the Information Security Team are </w:t>
      </w:r>
      <w:r>
        <w:t xml:space="preserve">approved </w:t>
      </w:r>
      <w:r w:rsidRPr="00AD105E">
        <w:t xml:space="preserve">for connectivity to a </w:t>
      </w:r>
      <w:r>
        <w:t>&lt;Company Name&gt;</w:t>
      </w:r>
      <w:r w:rsidRPr="00AD105E">
        <w:t xml:space="preserve"> network.</w:t>
      </w:r>
    </w:p>
    <w:p w:rsidR="00FC2263" w:rsidRDefault="00150546" w:rsidP="00FC2263">
      <w:pPr>
        <w:pStyle w:val="Heading2"/>
      </w:pPr>
      <w:r>
        <w:t>Scope</w:t>
      </w:r>
    </w:p>
    <w:p w:rsidR="00FC2263" w:rsidRDefault="00150546" w:rsidP="00FC2263">
      <w:pPr>
        <w:pStyle w:val="NormalIndent"/>
      </w:pPr>
      <w:r>
        <w:rPr>
          <w:lang/>
        </w:rPr>
        <w:t xml:space="preserve">All </w:t>
      </w:r>
      <w:r w:rsidRPr="00C41C38">
        <w:rPr>
          <w:lang/>
        </w:rPr>
        <w:t xml:space="preserve">employees, contractors, consultants, temporary and other workers at </w:t>
      </w:r>
      <w:r>
        <w:rPr>
          <w:lang/>
        </w:rPr>
        <w:t>&lt;Company Name&gt;</w:t>
      </w:r>
      <w:r w:rsidRPr="00C41C38">
        <w:rPr>
          <w:lang/>
        </w:rPr>
        <w:t>, including all personnel affiliated with third parties</w:t>
      </w:r>
      <w:r>
        <w:rPr>
          <w:lang/>
        </w:rPr>
        <w:t xml:space="preserve"> that maintain a wireless infrastructure device on beh</w:t>
      </w:r>
      <w:r>
        <w:rPr>
          <w:lang/>
        </w:rPr>
        <w:t>alf of &lt;Company Name&gt; must adhere to this standard</w:t>
      </w:r>
      <w:proofErr w:type="gramStart"/>
      <w:r>
        <w:rPr>
          <w:lang/>
        </w:rPr>
        <w:t xml:space="preserve">. </w:t>
      </w:r>
      <w:proofErr w:type="gramEnd"/>
      <w:r>
        <w:rPr>
          <w:lang/>
        </w:rPr>
        <w:t>This standard</w:t>
      </w:r>
      <w:r w:rsidRPr="00C41C38">
        <w:rPr>
          <w:lang/>
        </w:rPr>
        <w:t xml:space="preserve"> applies to all </w:t>
      </w:r>
      <w:r w:rsidRPr="00C41C38">
        <w:t>wireless infrast</w:t>
      </w:r>
      <w:r>
        <w:t xml:space="preserve">ructure devices that connect to a &lt;Company Name&gt; </w:t>
      </w:r>
      <w:r w:rsidRPr="00C41C38">
        <w:t>network</w:t>
      </w:r>
      <w:r>
        <w:t xml:space="preserve"> or reside on a &lt;Company Name&gt; site that provide</w:t>
      </w:r>
      <w:r w:rsidRPr="00C41C38">
        <w:t xml:space="preserve"> wireless connectivity to endpoint devices including, b</w:t>
      </w:r>
      <w:r w:rsidRPr="00C41C38">
        <w:t>ut not limited to, laptops, desktops, cellular phones, and personal digital assistants (PDAs)</w:t>
      </w:r>
      <w:proofErr w:type="gramStart"/>
      <w:r w:rsidRPr="00C41C38">
        <w:t xml:space="preserve">. </w:t>
      </w:r>
      <w:proofErr w:type="gramEnd"/>
      <w:r w:rsidRPr="00C41C38">
        <w:t>This includes any form of wireless communication device capable of t</w:t>
      </w:r>
      <w:r>
        <w:t xml:space="preserve">ransmitting packet data. </w:t>
      </w:r>
    </w:p>
    <w:p w:rsidR="00FC2263" w:rsidRPr="00AD105E" w:rsidRDefault="00150546" w:rsidP="00FC2263">
      <w:pPr>
        <w:pStyle w:val="NormalIndent"/>
      </w:pPr>
    </w:p>
    <w:p w:rsidR="00FC2263" w:rsidRPr="00A268C7" w:rsidRDefault="00150546" w:rsidP="00FC2263">
      <w:pPr>
        <w:pStyle w:val="NormalIndent"/>
      </w:pPr>
      <w:r>
        <w:t>The &lt;Company Name&gt; Information Security Team must approve exceptio</w:t>
      </w:r>
      <w:r>
        <w:t>ns to this policy in advance</w:t>
      </w:r>
      <w:r w:rsidRPr="0024190E">
        <w:t>.</w:t>
      </w:r>
    </w:p>
    <w:p w:rsidR="00FC2263" w:rsidRDefault="00150546" w:rsidP="00FC2263">
      <w:pPr>
        <w:pStyle w:val="Heading2"/>
      </w:pPr>
      <w:r>
        <w:t>Statement of Requirements</w:t>
      </w:r>
    </w:p>
    <w:p w:rsidR="00FC2263" w:rsidRDefault="00150546" w:rsidP="00FC2263">
      <w:pPr>
        <w:pStyle w:val="Heading3"/>
      </w:pPr>
      <w:r>
        <w:t>General Requirements</w:t>
      </w:r>
    </w:p>
    <w:p w:rsidR="00FC2263" w:rsidRPr="008E6221" w:rsidRDefault="00150546" w:rsidP="00FC2263">
      <w:pPr>
        <w:pStyle w:val="NormalIndent"/>
      </w:pPr>
      <w:r w:rsidRPr="008E6221">
        <w:t xml:space="preserve">All wireless infrastructure devices </w:t>
      </w:r>
      <w:r>
        <w:t xml:space="preserve">that connect to a &lt;Company Name&gt; network </w:t>
      </w:r>
      <w:r w:rsidRPr="002E2CC7">
        <w:t xml:space="preserve">or provide access to </w:t>
      </w:r>
      <w:r w:rsidRPr="00FF4FCC">
        <w:t>&lt;Company Name&gt; Confidential, &lt;Company Name&gt; Highly Confidential, or &lt;Company Name</w:t>
      </w:r>
      <w:r w:rsidRPr="00FF4FCC">
        <w:t>&gt; Restricted</w:t>
      </w:r>
      <w:r w:rsidRPr="002E2CC7">
        <w:t xml:space="preserve"> information </w:t>
      </w:r>
      <w:r w:rsidRPr="008E6221">
        <w:t>must:</w:t>
      </w:r>
    </w:p>
    <w:p w:rsidR="00FC2263" w:rsidRDefault="00150546" w:rsidP="00FC2263">
      <w:pPr>
        <w:pStyle w:val="Heading4"/>
        <w:keepNext/>
      </w:pPr>
      <w:r>
        <w:t>Use Extensible Authentication Protocol-Fast Authentication via Secure Tunneling (EAP-FAST), Protected Extensible Authentication Protocol (PEAP), or Extensible Authentication Protocol-Translation Layer Security (EAP-TLS) as th</w:t>
      </w:r>
      <w:r>
        <w:t xml:space="preserve">e </w:t>
      </w:r>
      <w:r w:rsidRPr="008E6221">
        <w:t>authentication protocol</w:t>
      </w:r>
      <w:r>
        <w:t>.</w:t>
      </w:r>
    </w:p>
    <w:p w:rsidR="00FC2263" w:rsidRDefault="00150546" w:rsidP="00FC2263">
      <w:pPr>
        <w:pStyle w:val="Heading4"/>
      </w:pPr>
      <w:r>
        <w:t>Use Temporal Key Integrity Protocol (TKIP) or Advanced Encryption System (AES) protocols with a minimum key length of 128 bits.</w:t>
      </w:r>
    </w:p>
    <w:p w:rsidR="00FC2263" w:rsidRDefault="00150546" w:rsidP="00FC2263">
      <w:pPr>
        <w:pStyle w:val="NormalIndent"/>
        <w:ind w:left="0"/>
      </w:pPr>
    </w:p>
    <w:p w:rsidR="00FC2263" w:rsidRDefault="00150546" w:rsidP="00FC2263">
      <w:pPr>
        <w:pStyle w:val="Heading3"/>
      </w:pPr>
      <w:r>
        <w:t>Lab and Isolated Wireless Device Requirements</w:t>
      </w:r>
    </w:p>
    <w:p w:rsidR="00FC2263" w:rsidRDefault="00150546" w:rsidP="00FC2263">
      <w:pPr>
        <w:pStyle w:val="Heading4"/>
      </w:pPr>
      <w:r w:rsidRPr="008E6221">
        <w:t xml:space="preserve">Lab </w:t>
      </w:r>
      <w:r>
        <w:t>device Service Set I</w:t>
      </w:r>
      <w:r w:rsidRPr="008E6221">
        <w:t>dentifier (SSID) must be diffe</w:t>
      </w:r>
      <w:r w:rsidRPr="008E6221">
        <w:t xml:space="preserve">rent from </w:t>
      </w:r>
      <w:r>
        <w:t>&lt;Company Name&gt;</w:t>
      </w:r>
      <w:r w:rsidRPr="008E6221">
        <w:t xml:space="preserve"> production device SSID</w:t>
      </w:r>
      <w:r>
        <w:t>.</w:t>
      </w:r>
    </w:p>
    <w:p w:rsidR="00FC2263" w:rsidRPr="00FE4FED" w:rsidRDefault="00150546" w:rsidP="00FC2263">
      <w:pPr>
        <w:pStyle w:val="Heading4"/>
        <w:keepNext/>
      </w:pPr>
      <w:r w:rsidRPr="008E6221">
        <w:t>Br</w:t>
      </w:r>
      <w:r>
        <w:t>oadcast of l</w:t>
      </w:r>
      <w:r w:rsidRPr="008E6221">
        <w:t>ab device SSID must be disabled.</w:t>
      </w:r>
    </w:p>
    <w:p w:rsidR="00FC2263" w:rsidRDefault="00150546" w:rsidP="00FC2263">
      <w:pPr>
        <w:pStyle w:val="Heading3"/>
      </w:pPr>
      <w:bookmarkStart w:id="0" w:name="OLE_LINK1"/>
      <w:bookmarkStart w:id="1" w:name="OLE_LINK2"/>
      <w:r>
        <w:t>Home Wireless Device Requirements</w:t>
      </w:r>
    </w:p>
    <w:p w:rsidR="00FC2263" w:rsidRPr="00FE4FED" w:rsidRDefault="00150546" w:rsidP="00FC2263">
      <w:pPr>
        <w:pStyle w:val="NormalIndent"/>
      </w:pPr>
      <w:r>
        <w:t>All home wireless infrastructure devices that provide direct access to a &lt;Company Name&gt; network, such as those behind Enterpri</w:t>
      </w:r>
      <w:r>
        <w:t xml:space="preserve">se Teleworker (ECT) or hardware VPN, must adhere to the following: </w:t>
      </w:r>
    </w:p>
    <w:p w:rsidR="00FC2263" w:rsidRDefault="00150546" w:rsidP="00FC2263">
      <w:pPr>
        <w:pStyle w:val="Heading4"/>
        <w:keepNext/>
      </w:pPr>
      <w:r>
        <w:t>Enable WiFi Protected Access Pre-shared Key (WPA-PSK), EAP-FAST, PEAP, or EAP-TLS</w:t>
      </w:r>
    </w:p>
    <w:p w:rsidR="00FC2263" w:rsidRDefault="00150546" w:rsidP="00FC2263">
      <w:pPr>
        <w:pStyle w:val="Heading4"/>
        <w:keepNext/>
      </w:pPr>
      <w:r>
        <w:t>When enabling WPA-PSK, configure a complex shared secret key (at least 20 characters) on the wireless clie</w:t>
      </w:r>
      <w:r>
        <w:t>nt and the wireless access point</w:t>
      </w:r>
    </w:p>
    <w:p w:rsidR="00FC2263" w:rsidRDefault="00150546" w:rsidP="00FC2263">
      <w:pPr>
        <w:pStyle w:val="Heading4"/>
        <w:keepNext/>
      </w:pPr>
      <w:r>
        <w:t>Disable broadcast of SSID</w:t>
      </w:r>
    </w:p>
    <w:p w:rsidR="00FC2263" w:rsidRDefault="00150546" w:rsidP="00FC2263">
      <w:pPr>
        <w:pStyle w:val="Heading4"/>
        <w:keepNext/>
      </w:pPr>
      <w:r>
        <w:t>Change the default SSID name</w:t>
      </w:r>
    </w:p>
    <w:p w:rsidR="00FC2263" w:rsidRPr="00CD1667" w:rsidRDefault="00150546" w:rsidP="00FC2263">
      <w:pPr>
        <w:pStyle w:val="Heading4"/>
        <w:keepNext/>
      </w:pPr>
      <w:r>
        <w:t>Change the default login and password</w:t>
      </w:r>
    </w:p>
    <w:p w:rsidR="00FC2263" w:rsidRPr="008E6221" w:rsidRDefault="00150546" w:rsidP="00FC2263">
      <w:pPr>
        <w:pStyle w:val="NormalIndent"/>
      </w:pPr>
    </w:p>
    <w:bookmarkEnd w:id="0"/>
    <w:bookmarkEnd w:id="1"/>
    <w:p w:rsidR="00FC2263" w:rsidRPr="007F0437" w:rsidRDefault="00150546" w:rsidP="00FC2263">
      <w:pPr>
        <w:pStyle w:val="Heading2"/>
      </w:pPr>
      <w:r>
        <w:t>References</w:t>
      </w:r>
    </w:p>
    <w:p w:rsidR="00FC2263" w:rsidRDefault="00150546" w:rsidP="00FC2263">
      <w:pPr>
        <w:pStyle w:val="NormalIndent"/>
      </w:pPr>
      <w:r>
        <w:t>In support of this standard</w:t>
      </w:r>
      <w:r w:rsidRPr="005C2C2B">
        <w:t xml:space="preserve">, the following </w:t>
      </w:r>
      <w:r>
        <w:t>policies, guidelines, and resources are included:</w:t>
      </w:r>
    </w:p>
    <w:p w:rsidR="00FC2263" w:rsidRPr="00FC2263" w:rsidRDefault="00150546" w:rsidP="00FC2263">
      <w:pPr>
        <w:pStyle w:val="NormalIndent"/>
        <w:numPr>
          <w:ilvl w:val="0"/>
          <w:numId w:val="16"/>
        </w:numPr>
        <w:rPr>
          <w:rStyle w:val="Hyperlink"/>
          <w:sz w:val="20"/>
          <w:szCs w:val="20"/>
        </w:rPr>
      </w:pPr>
      <w:r w:rsidRPr="00FC2263">
        <w:rPr>
          <w:u w:val="single"/>
        </w:rPr>
        <w:fldChar w:fldCharType="begin"/>
      </w:r>
      <w:r w:rsidRPr="00FC2263">
        <w:rPr>
          <w:u w:val="single"/>
        </w:rPr>
        <w:instrText xml:space="preserve"> HYPERLINK "http://www.s</w:instrText>
      </w:r>
      <w:r w:rsidRPr="00FC2263">
        <w:rPr>
          <w:u w:val="single"/>
        </w:rPr>
        <w:instrText xml:space="preserve">ans.org/resources/policies/Information_Sensitivity_Policy.pdf" </w:instrText>
      </w:r>
      <w:r w:rsidRPr="00FC2263">
        <w:rPr>
          <w:u w:val="single"/>
        </w:rPr>
      </w:r>
      <w:r w:rsidRPr="00FC2263">
        <w:rPr>
          <w:u w:val="single"/>
        </w:rPr>
        <w:fldChar w:fldCharType="separate"/>
      </w:r>
      <w:r w:rsidRPr="00FC2263">
        <w:rPr>
          <w:rStyle w:val="Hyperlink"/>
        </w:rPr>
        <w:t>Information Sensitivity Policy</w:t>
      </w:r>
    </w:p>
    <w:p w:rsidR="00FC2263" w:rsidRPr="00982B23" w:rsidRDefault="00150546" w:rsidP="00FC2263">
      <w:pPr>
        <w:pStyle w:val="NormalIndent"/>
        <w:numPr>
          <w:ilvl w:val="0"/>
          <w:numId w:val="16"/>
        </w:numPr>
        <w:rPr>
          <w:sz w:val="20"/>
          <w:szCs w:val="20"/>
        </w:rPr>
      </w:pPr>
      <w:r w:rsidRPr="00FC2263">
        <w:rPr>
          <w:u w:val="single"/>
        </w:rPr>
        <w:fldChar w:fldCharType="end"/>
      </w:r>
      <w:hyperlink r:id="rId7" w:history="1">
        <w:r w:rsidRPr="00FC2263">
          <w:rPr>
            <w:rStyle w:val="Hyperlink"/>
          </w:rPr>
          <w:t>Wireless Communication Policy</w:t>
        </w:r>
      </w:hyperlink>
      <w:r>
        <w:rPr>
          <w:sz w:val="20"/>
          <w:szCs w:val="20"/>
        </w:rPr>
        <w:tab/>
      </w:r>
    </w:p>
    <w:p w:rsidR="00FC2263" w:rsidRDefault="00150546" w:rsidP="00FC2263">
      <w:pPr>
        <w:pStyle w:val="Heading2"/>
      </w:pPr>
      <w:r>
        <w:t>Enforcement</w:t>
      </w:r>
    </w:p>
    <w:p w:rsidR="00FC2263" w:rsidRDefault="00150546" w:rsidP="00FC2263">
      <w:pPr>
        <w:pStyle w:val="NormalIndent"/>
        <w:rPr>
          <w:lang/>
        </w:rPr>
      </w:pPr>
      <w:r>
        <w:t>This standard is part of t</w:t>
      </w:r>
      <w:r>
        <w:t xml:space="preserve">he </w:t>
      </w:r>
      <w:hyperlink r:id="rId8" w:history="1">
        <w:r w:rsidRPr="00FC2263">
          <w:rPr>
            <w:rStyle w:val="Hyperlink"/>
          </w:rPr>
          <w:t>Wireless Communication Policy</w:t>
        </w:r>
      </w:hyperlink>
      <w:r>
        <w:t xml:space="preserve"> and failure to conform to the standard is a violation of the policy</w:t>
      </w:r>
      <w:proofErr w:type="gramStart"/>
      <w:r>
        <w:t xml:space="preserve">. </w:t>
      </w:r>
      <w:proofErr w:type="gramEnd"/>
      <w:r w:rsidRPr="00A92E13">
        <w:rPr>
          <w:lang/>
        </w:rPr>
        <w:t>Any empl</w:t>
      </w:r>
      <w:r>
        <w:rPr>
          <w:lang/>
        </w:rPr>
        <w:t>oyee found to have violated the</w:t>
      </w:r>
      <w:r w:rsidRPr="00A92E13">
        <w:rPr>
          <w:lang/>
        </w:rPr>
        <w:t xml:space="preserve"> policy may be subject to</w:t>
      </w:r>
      <w:r w:rsidRPr="00A92E13">
        <w:rPr>
          <w:lang/>
        </w:rPr>
        <w:t xml:space="preserve"> </w:t>
      </w:r>
      <w:r w:rsidRPr="00FF4FCC">
        <w:rPr>
          <w:lang/>
        </w:rPr>
        <w:t>disciplinary</w:t>
      </w:r>
      <w:r w:rsidRPr="00FF4FCC">
        <w:rPr>
          <w:lang/>
        </w:rPr>
        <w:t xml:space="preserve"> </w:t>
      </w:r>
      <w:r w:rsidRPr="00FF4FCC">
        <w:rPr>
          <w:lang/>
        </w:rPr>
        <w:t>action</w:t>
      </w:r>
      <w:r w:rsidRPr="00A92E13">
        <w:rPr>
          <w:lang/>
        </w:rPr>
        <w:t>, up to and including termination of e</w:t>
      </w:r>
      <w:r>
        <w:rPr>
          <w:lang/>
        </w:rPr>
        <w:t>mployment</w:t>
      </w:r>
      <w:proofErr w:type="gramStart"/>
      <w:r>
        <w:rPr>
          <w:lang/>
        </w:rPr>
        <w:t xml:space="preserve">. </w:t>
      </w:r>
      <w:proofErr w:type="gramEnd"/>
      <w:r>
        <w:rPr>
          <w:lang/>
        </w:rPr>
        <w:t>Any violation of the</w:t>
      </w:r>
      <w:r w:rsidRPr="00A92E13">
        <w:rPr>
          <w:lang/>
        </w:rPr>
        <w:t xml:space="preserve"> policy by a temporary worker, </w:t>
      </w:r>
      <w:proofErr w:type="gramStart"/>
      <w:r w:rsidRPr="00A92E13">
        <w:rPr>
          <w:lang/>
        </w:rPr>
        <w:t>contractor</w:t>
      </w:r>
      <w:proofErr w:type="gramEnd"/>
      <w:r w:rsidRPr="00A92E13">
        <w:rPr>
          <w:lang/>
        </w:rPr>
        <w:t xml:space="preserve"> or vendor may result in the termination of their contract or assignment with </w:t>
      </w:r>
      <w:r>
        <w:rPr>
          <w:lang/>
        </w:rPr>
        <w:t>&lt;Company Name&gt;.</w:t>
      </w:r>
    </w:p>
    <w:p w:rsidR="00FC2263" w:rsidRPr="004B4234" w:rsidRDefault="00150546" w:rsidP="00FC2263">
      <w:pPr>
        <w:pStyle w:val="NormalIndent"/>
      </w:pPr>
    </w:p>
    <w:p w:rsidR="00FC2263" w:rsidRDefault="00150546" w:rsidP="00FC2263">
      <w:pPr>
        <w:pStyle w:val="Heading2"/>
      </w:pPr>
      <w:r>
        <w:t>Definitions</w:t>
      </w:r>
    </w:p>
    <w:p w:rsidR="00FC2263" w:rsidRDefault="00150546" w:rsidP="00FC2263">
      <w:pPr>
        <w:pStyle w:val="NormalIndent"/>
      </w:pPr>
    </w:p>
    <w:tbl>
      <w:tblPr>
        <w:tblStyle w:val="TableGrid"/>
        <w:tblW w:w="0" w:type="auto"/>
        <w:tblLook w:val="01E0"/>
      </w:tblPr>
      <w:tblGrid>
        <w:gridCol w:w="2603"/>
        <w:gridCol w:w="6153"/>
      </w:tblGrid>
      <w:tr w:rsidR="00FC2263">
        <w:tc>
          <w:tcPr>
            <w:tcW w:w="2603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FC2263" w:rsidRPr="00C970EC" w:rsidRDefault="00150546" w:rsidP="00FC2263">
            <w:pPr>
              <w:jc w:val="center"/>
              <w:rPr>
                <w:rFonts w:ascii="Arial" w:hAnsi="Arial" w:cs="Arial"/>
                <w:b/>
              </w:rPr>
            </w:pPr>
            <w:r w:rsidRPr="00C970EC">
              <w:rPr>
                <w:rFonts w:ascii="Arial" w:hAnsi="Arial" w:cs="Arial"/>
                <w:b/>
              </w:rPr>
              <w:t>Term</w:t>
            </w:r>
          </w:p>
        </w:tc>
        <w:tc>
          <w:tcPr>
            <w:tcW w:w="6153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FC2263" w:rsidRPr="00C970EC" w:rsidRDefault="00150546" w:rsidP="00FC2263">
            <w:pPr>
              <w:jc w:val="center"/>
              <w:rPr>
                <w:rFonts w:ascii="Arial" w:hAnsi="Arial" w:cs="Arial"/>
                <w:b/>
              </w:rPr>
            </w:pPr>
            <w:r w:rsidRPr="00C970EC">
              <w:rPr>
                <w:rFonts w:ascii="Arial" w:hAnsi="Arial" w:cs="Arial"/>
                <w:b/>
              </w:rPr>
              <w:t>Definition</w:t>
            </w:r>
          </w:p>
        </w:tc>
      </w:tr>
      <w:tr w:rsidR="00FC2263">
        <w:tc>
          <w:tcPr>
            <w:tcW w:w="2603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FC2263" w:rsidRDefault="00150546" w:rsidP="00FC2263">
            <w:pPr>
              <w:rPr>
                <w:b/>
              </w:rPr>
            </w:pPr>
            <w:r>
              <w:rPr>
                <w:b/>
              </w:rPr>
              <w:lastRenderedPageBreak/>
              <w:t>A</w:t>
            </w:r>
            <w:r>
              <w:rPr>
                <w:b/>
              </w:rPr>
              <w:t>ES</w:t>
            </w:r>
          </w:p>
        </w:tc>
        <w:tc>
          <w:tcPr>
            <w:tcW w:w="6153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FC2263" w:rsidRPr="008E7832" w:rsidRDefault="00150546" w:rsidP="00FC2263">
            <w:r>
              <w:t>Advanced Encryption System</w:t>
            </w:r>
          </w:p>
        </w:tc>
      </w:tr>
      <w:tr w:rsidR="00FC2263">
        <w:tc>
          <w:tcPr>
            <w:tcW w:w="2603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FC2263" w:rsidRPr="00797AC9" w:rsidRDefault="00150546" w:rsidP="00FC2263">
            <w:pPr>
              <w:rPr>
                <w:b/>
              </w:rPr>
            </w:pPr>
            <w:r>
              <w:rPr>
                <w:b/>
              </w:rPr>
              <w:t>&lt;Company Name&gt; network</w:t>
            </w:r>
          </w:p>
        </w:tc>
        <w:tc>
          <w:tcPr>
            <w:tcW w:w="6153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FC2263" w:rsidRDefault="00150546" w:rsidP="00FC2263">
            <w:proofErr w:type="gramStart"/>
            <w:r w:rsidRPr="008E7832">
              <w:t>A wired or wireless network including indoor, outdoor, and alpha networks that provide connectivity to corporate services.</w:t>
            </w:r>
            <w:proofErr w:type="gramEnd"/>
          </w:p>
        </w:tc>
      </w:tr>
      <w:tr w:rsidR="00FC2263">
        <w:tc>
          <w:tcPr>
            <w:tcW w:w="2603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FC2263" w:rsidRPr="00797AC9" w:rsidRDefault="00150546" w:rsidP="00FC2263">
            <w:pPr>
              <w:rPr>
                <w:b/>
              </w:rPr>
            </w:pPr>
            <w:r w:rsidRPr="00862AA8">
              <w:rPr>
                <w:b/>
              </w:rPr>
              <w:t>Corporate connectivity</w:t>
            </w:r>
          </w:p>
        </w:tc>
        <w:tc>
          <w:tcPr>
            <w:tcW w:w="6153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FC2263" w:rsidRDefault="00150546" w:rsidP="00FC2263">
            <w:proofErr w:type="gramStart"/>
            <w:r w:rsidRPr="008E7832">
              <w:t xml:space="preserve">A connection that provides access to a </w:t>
            </w:r>
            <w:r>
              <w:t>&lt;Company Name&gt;</w:t>
            </w:r>
            <w:r w:rsidRPr="008E7832">
              <w:t xml:space="preserve"> n</w:t>
            </w:r>
            <w:r w:rsidRPr="008E7832">
              <w:t>etwork.</w:t>
            </w:r>
            <w:proofErr w:type="gramEnd"/>
          </w:p>
        </w:tc>
      </w:tr>
      <w:tr w:rsidR="00FC2263">
        <w:tc>
          <w:tcPr>
            <w:tcW w:w="2603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FC2263" w:rsidRPr="000052FA" w:rsidRDefault="00150546" w:rsidP="00FC2263">
            <w:pPr>
              <w:rPr>
                <w:b/>
              </w:rPr>
            </w:pPr>
            <w:r w:rsidRPr="00797AC9">
              <w:rPr>
                <w:b/>
              </w:rPr>
              <w:t>EA</w:t>
            </w:r>
            <w:r>
              <w:rPr>
                <w:b/>
              </w:rPr>
              <w:t>P-FAST</w:t>
            </w:r>
          </w:p>
        </w:tc>
        <w:tc>
          <w:tcPr>
            <w:tcW w:w="6153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FC2263" w:rsidRPr="000052FA" w:rsidRDefault="00150546" w:rsidP="00FC2263">
            <w:proofErr w:type="gramStart"/>
            <w:r>
              <w:t>Extensible Authentication Protocol-Fast Authentication via Secure Tunneling: authentication protocol for wireless networks.</w:t>
            </w:r>
            <w:proofErr w:type="gramEnd"/>
          </w:p>
        </w:tc>
      </w:tr>
      <w:tr w:rsidR="00FC2263">
        <w:tc>
          <w:tcPr>
            <w:tcW w:w="2603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FC2263" w:rsidRDefault="00150546" w:rsidP="00FC2263">
            <w:pPr>
              <w:rPr>
                <w:b/>
              </w:rPr>
            </w:pPr>
            <w:r>
              <w:rPr>
                <w:b/>
              </w:rPr>
              <w:t>EAP-TLS</w:t>
            </w:r>
          </w:p>
        </w:tc>
        <w:tc>
          <w:tcPr>
            <w:tcW w:w="6153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FC2263" w:rsidRPr="00C737F3" w:rsidRDefault="00150546" w:rsidP="00FC2263">
            <w:r w:rsidRPr="00797AC9">
              <w:t>Extensible Authentication Protocol-Translation Layer Security, used to create a secured connection for 80</w:t>
            </w:r>
            <w:r w:rsidRPr="00797AC9">
              <w:t>2.1X by pre-installing a digital certificate on the client computer</w:t>
            </w:r>
            <w:r>
              <w:t>.</w:t>
            </w:r>
          </w:p>
        </w:tc>
      </w:tr>
      <w:tr w:rsidR="00FC2263">
        <w:tc>
          <w:tcPr>
            <w:tcW w:w="2603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FC2263" w:rsidRDefault="00150546" w:rsidP="00FC2263">
            <w:pPr>
              <w:rPr>
                <w:b/>
              </w:rPr>
            </w:pPr>
            <w:r>
              <w:rPr>
                <w:b/>
              </w:rPr>
              <w:t>Enterprise Class Teleworker (ECT)</w:t>
            </w:r>
          </w:p>
        </w:tc>
        <w:tc>
          <w:tcPr>
            <w:tcW w:w="6153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FC2263" w:rsidRPr="008E7832" w:rsidRDefault="00150546" w:rsidP="00FC2263">
            <w:proofErr w:type="gramStart"/>
            <w:r w:rsidRPr="00973238">
              <w:rPr>
                <w:lang/>
              </w:rPr>
              <w:t xml:space="preserve">An end-to-end hardware VPN solution for teleworker access to the </w:t>
            </w:r>
            <w:r>
              <w:rPr>
                <w:lang/>
              </w:rPr>
              <w:t>&lt;Company Name&gt;</w:t>
            </w:r>
            <w:r w:rsidRPr="00973238">
              <w:rPr>
                <w:lang/>
              </w:rPr>
              <w:t xml:space="preserve"> network.</w:t>
            </w:r>
            <w:proofErr w:type="gramEnd"/>
          </w:p>
        </w:tc>
      </w:tr>
      <w:tr w:rsidR="00FC2263">
        <w:tc>
          <w:tcPr>
            <w:tcW w:w="2603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FC2263" w:rsidRDefault="00150546" w:rsidP="00FC2263">
            <w:pPr>
              <w:rPr>
                <w:b/>
              </w:rPr>
            </w:pPr>
            <w:r>
              <w:rPr>
                <w:b/>
              </w:rPr>
              <w:t>Information assets</w:t>
            </w:r>
          </w:p>
        </w:tc>
        <w:tc>
          <w:tcPr>
            <w:tcW w:w="6153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FC2263" w:rsidRPr="00C737F3" w:rsidRDefault="00150546" w:rsidP="00FC2263">
            <w:r w:rsidRPr="008E7832">
              <w:t>Information that is collected or produced a</w:t>
            </w:r>
            <w:r w:rsidRPr="008E7832">
              <w:t xml:space="preserve">nd the underlying hardware, software, services, systems, and technology that is necessary for obtaining, storing, using, and securing that information which is recognized as important and valuable to an organization.  </w:t>
            </w:r>
          </w:p>
        </w:tc>
      </w:tr>
      <w:tr w:rsidR="00FC2263">
        <w:tc>
          <w:tcPr>
            <w:tcW w:w="2603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FC2263" w:rsidRPr="000052FA" w:rsidRDefault="00150546" w:rsidP="00FC2263">
            <w:pPr>
              <w:rPr>
                <w:b/>
              </w:rPr>
            </w:pPr>
            <w:r>
              <w:rPr>
                <w:b/>
              </w:rPr>
              <w:t>PEAP</w:t>
            </w:r>
          </w:p>
        </w:tc>
        <w:tc>
          <w:tcPr>
            <w:tcW w:w="6153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FC2263" w:rsidRPr="000052FA" w:rsidRDefault="00150546" w:rsidP="00FC2263">
            <w:r w:rsidRPr="00C737F3">
              <w:t>Protected Extensible Authentica</w:t>
            </w:r>
            <w:r w:rsidRPr="00C737F3">
              <w:t>tion Protocol, a protocol used for transmitting authentication data, including passwords, over 802.11 wireless networks</w:t>
            </w:r>
          </w:p>
        </w:tc>
      </w:tr>
      <w:tr w:rsidR="00FC2263">
        <w:tc>
          <w:tcPr>
            <w:tcW w:w="2603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FC2263" w:rsidRPr="00C970EC" w:rsidRDefault="00150546" w:rsidP="00FC2263">
            <w:pPr>
              <w:rPr>
                <w:b/>
              </w:rPr>
            </w:pPr>
            <w:r>
              <w:rPr>
                <w:b/>
              </w:rPr>
              <w:t>Service Set Identifier (SSID)</w:t>
            </w:r>
          </w:p>
        </w:tc>
        <w:tc>
          <w:tcPr>
            <w:tcW w:w="6153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FC2263" w:rsidRDefault="00150546" w:rsidP="00FC2263">
            <w:proofErr w:type="gramStart"/>
            <w:r w:rsidRPr="008E7832">
              <w:t>A set of characters that give a unique name to a wireless local area network</w:t>
            </w:r>
            <w:r>
              <w:t>.</w:t>
            </w:r>
            <w:proofErr w:type="gramEnd"/>
          </w:p>
        </w:tc>
      </w:tr>
      <w:tr w:rsidR="00FC2263">
        <w:tc>
          <w:tcPr>
            <w:tcW w:w="2603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FC2263" w:rsidRDefault="00150546" w:rsidP="00FC2263">
            <w:pPr>
              <w:rPr>
                <w:b/>
              </w:rPr>
            </w:pPr>
            <w:r>
              <w:rPr>
                <w:b/>
              </w:rPr>
              <w:t>TKIP</w:t>
            </w:r>
          </w:p>
        </w:tc>
        <w:tc>
          <w:tcPr>
            <w:tcW w:w="6153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FC2263" w:rsidRDefault="00150546" w:rsidP="00FC2263">
            <w:proofErr w:type="gramStart"/>
            <w:r w:rsidRPr="00797AC9">
              <w:t>Temporal Key Integrit</w:t>
            </w:r>
            <w:r w:rsidRPr="00797AC9">
              <w:t>y Protocol, an encryption key that's part of WPA</w:t>
            </w:r>
            <w:r>
              <w:t>.</w:t>
            </w:r>
            <w:proofErr w:type="gramEnd"/>
          </w:p>
        </w:tc>
      </w:tr>
      <w:tr w:rsidR="00FC2263">
        <w:tc>
          <w:tcPr>
            <w:tcW w:w="2603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FC2263" w:rsidRDefault="00150546" w:rsidP="00FC2263">
            <w:pPr>
              <w:rPr>
                <w:b/>
              </w:rPr>
            </w:pPr>
            <w:r>
              <w:rPr>
                <w:b/>
              </w:rPr>
              <w:t>WPA-PSK</w:t>
            </w:r>
          </w:p>
        </w:tc>
        <w:tc>
          <w:tcPr>
            <w:tcW w:w="6153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FC2263" w:rsidRDefault="00150546" w:rsidP="00FC2263">
            <w:r>
              <w:t>WiFi Protected Access pre-shared key</w:t>
            </w:r>
          </w:p>
        </w:tc>
      </w:tr>
    </w:tbl>
    <w:p w:rsidR="00FC2263" w:rsidRDefault="00150546" w:rsidP="00FC2263"/>
    <w:p w:rsidR="00FC2263" w:rsidRDefault="00150546" w:rsidP="00FC2263">
      <w:pPr>
        <w:pStyle w:val="Heading2"/>
      </w:pPr>
      <w:r>
        <w:t>Revision History</w:t>
      </w:r>
    </w:p>
    <w:p w:rsidR="00FC2263" w:rsidRDefault="00150546" w:rsidP="00FC2263"/>
    <w:tbl>
      <w:tblPr>
        <w:tblStyle w:val="TableGrid"/>
        <w:tblW w:w="0" w:type="auto"/>
        <w:tblLook w:val="01E0"/>
      </w:tblPr>
      <w:tblGrid>
        <w:gridCol w:w="1858"/>
        <w:gridCol w:w="2160"/>
        <w:gridCol w:w="4738"/>
      </w:tblGrid>
      <w:tr w:rsidR="00FC2263">
        <w:tc>
          <w:tcPr>
            <w:tcW w:w="1858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FC2263" w:rsidRPr="00C970EC" w:rsidRDefault="00150546" w:rsidP="00FC226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of Change</w:t>
            </w:r>
          </w:p>
        </w:tc>
        <w:tc>
          <w:tcPr>
            <w:tcW w:w="2160" w:type="dxa"/>
            <w:vAlign w:val="center"/>
          </w:tcPr>
          <w:p w:rsidR="00FC2263" w:rsidRPr="00C970EC" w:rsidRDefault="00150546" w:rsidP="00FC2263">
            <w:pPr>
              <w:tabs>
                <w:tab w:val="left" w:pos="270"/>
                <w:tab w:val="center" w:pos="972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  <w:t>Responsible</w:t>
            </w:r>
          </w:p>
        </w:tc>
        <w:tc>
          <w:tcPr>
            <w:tcW w:w="4738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FC2263" w:rsidRPr="00C970EC" w:rsidRDefault="00150546" w:rsidP="00FC226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Summary of Change</w:t>
            </w:r>
          </w:p>
        </w:tc>
      </w:tr>
      <w:tr w:rsidR="00FC2263">
        <w:tc>
          <w:tcPr>
            <w:tcW w:w="1858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FC2263" w:rsidRPr="00A9635F" w:rsidRDefault="00150546" w:rsidP="00FC2263"/>
        </w:tc>
        <w:tc>
          <w:tcPr>
            <w:tcW w:w="2160" w:type="dxa"/>
            <w:vAlign w:val="center"/>
          </w:tcPr>
          <w:p w:rsidR="00FC2263" w:rsidRPr="000052FA" w:rsidRDefault="00150546" w:rsidP="00FC2263"/>
        </w:tc>
        <w:tc>
          <w:tcPr>
            <w:tcW w:w="4738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FC2263" w:rsidRPr="000052FA" w:rsidRDefault="00150546" w:rsidP="00FC2263"/>
        </w:tc>
      </w:tr>
      <w:tr w:rsidR="00FC2263">
        <w:tc>
          <w:tcPr>
            <w:tcW w:w="1858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FC2263" w:rsidRPr="00A9635F" w:rsidRDefault="00150546" w:rsidP="00FC2263"/>
        </w:tc>
        <w:tc>
          <w:tcPr>
            <w:tcW w:w="2160" w:type="dxa"/>
            <w:vAlign w:val="center"/>
          </w:tcPr>
          <w:p w:rsidR="00FC2263" w:rsidRDefault="00150546" w:rsidP="00FC2263"/>
        </w:tc>
        <w:tc>
          <w:tcPr>
            <w:tcW w:w="4738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FC2263" w:rsidRDefault="00150546" w:rsidP="00FC2263"/>
        </w:tc>
      </w:tr>
      <w:tr w:rsidR="00FC2263">
        <w:tc>
          <w:tcPr>
            <w:tcW w:w="1858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FC2263" w:rsidRDefault="00150546" w:rsidP="00FC2263"/>
        </w:tc>
        <w:tc>
          <w:tcPr>
            <w:tcW w:w="2160" w:type="dxa"/>
            <w:vAlign w:val="center"/>
          </w:tcPr>
          <w:p w:rsidR="00FC2263" w:rsidRDefault="00150546" w:rsidP="00FC2263"/>
        </w:tc>
        <w:tc>
          <w:tcPr>
            <w:tcW w:w="4738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FC2263" w:rsidRDefault="00150546" w:rsidP="00FC2263"/>
        </w:tc>
      </w:tr>
      <w:tr w:rsidR="00FC2263">
        <w:tc>
          <w:tcPr>
            <w:tcW w:w="1858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FC2263" w:rsidRDefault="00150546" w:rsidP="00FC2263"/>
        </w:tc>
        <w:tc>
          <w:tcPr>
            <w:tcW w:w="2160" w:type="dxa"/>
            <w:vAlign w:val="center"/>
          </w:tcPr>
          <w:p w:rsidR="00FC2263" w:rsidRDefault="00150546" w:rsidP="00FC2263"/>
        </w:tc>
        <w:tc>
          <w:tcPr>
            <w:tcW w:w="4738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FC2263" w:rsidRDefault="00150546" w:rsidP="00FC2263"/>
        </w:tc>
      </w:tr>
    </w:tbl>
    <w:p w:rsidR="00FC2263" w:rsidRDefault="00150546" w:rsidP="00FC2263"/>
    <w:sectPr w:rsidR="00FC2263" w:rsidSect="00FC2263">
      <w:footerReference w:type="even" r:id="rId9"/>
      <w:footerReference w:type="default" r:id="rId10"/>
      <w:pgSz w:w="12240" w:h="15840" w:code="1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2263" w:rsidRDefault="00150546">
      <w:r>
        <w:separator/>
      </w:r>
    </w:p>
  </w:endnote>
  <w:endnote w:type="continuationSeparator" w:id="0">
    <w:p w:rsidR="00FC2263" w:rsidRDefault="001505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263" w:rsidRDefault="00150546" w:rsidP="00FC226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C2263" w:rsidRDefault="00150546" w:rsidP="00FC226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263" w:rsidRDefault="00150546" w:rsidP="00FC226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FC2263" w:rsidRPr="00F605F3" w:rsidRDefault="00150546" w:rsidP="00FC2263">
    <w:pPr>
      <w:pStyle w:val="Footer"/>
      <w:tabs>
        <w:tab w:val="clear" w:pos="4320"/>
      </w:tabs>
      <w:ind w:right="360"/>
      <w:rPr>
        <w:rFonts w:ascii="Arial" w:hAnsi="Arial" w:cs="Arial"/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2263" w:rsidRDefault="00150546">
      <w:r>
        <w:separator/>
      </w:r>
    </w:p>
  </w:footnote>
  <w:footnote w:type="continuationSeparator" w:id="0">
    <w:p w:rsidR="00FC2263" w:rsidRDefault="001505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AD2AC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4B2184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7DA8D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B9A5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2049E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61410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CC40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D48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4E0C4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FB81E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A4A3F0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229F5E51"/>
    <w:multiLevelType w:val="hybridMultilevel"/>
    <w:tmpl w:val="4E22E88C"/>
    <w:lvl w:ilvl="0" w:tplc="04090005">
      <w:start w:val="1"/>
      <w:numFmt w:val="bullet"/>
      <w:lvlText w:val="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2">
    <w:nsid w:val="2FB60C02"/>
    <w:multiLevelType w:val="hybridMultilevel"/>
    <w:tmpl w:val="C8A63E86"/>
    <w:name w:val="PolicyOutline2"/>
    <w:lvl w:ilvl="0" w:tplc="04090005">
      <w:start w:val="1"/>
      <w:numFmt w:val="bullet"/>
      <w:lvlText w:val="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3">
    <w:nsid w:val="45260C65"/>
    <w:multiLevelType w:val="hybridMultilevel"/>
    <w:tmpl w:val="7EAACF1A"/>
    <w:lvl w:ilvl="0" w:tplc="04090005">
      <w:start w:val="1"/>
      <w:numFmt w:val="bullet"/>
      <w:lvlText w:val="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4">
    <w:nsid w:val="46A55C8B"/>
    <w:multiLevelType w:val="hybridMultilevel"/>
    <w:tmpl w:val="03CC113A"/>
    <w:name w:val="PolicyOutline22"/>
    <w:lvl w:ilvl="0" w:tplc="04090005">
      <w:start w:val="1"/>
      <w:numFmt w:val="bullet"/>
      <w:lvlText w:val="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5">
    <w:nsid w:val="484D636B"/>
    <w:multiLevelType w:val="hybridMultilevel"/>
    <w:tmpl w:val="065A180A"/>
    <w:lvl w:ilvl="0" w:tplc="04090005">
      <w:start w:val="1"/>
      <w:numFmt w:val="bullet"/>
      <w:lvlText w:val="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922571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4B4C63CA"/>
    <w:multiLevelType w:val="multilevel"/>
    <w:tmpl w:val="CEFE6FCC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8">
    <w:nsid w:val="609A2FBB"/>
    <w:multiLevelType w:val="multilevel"/>
    <w:tmpl w:val="A23A238A"/>
    <w:name w:val="PolicyOutline"/>
    <w:lvl w:ilvl="0">
      <w:start w:val="1"/>
      <w:numFmt w:val="decimal"/>
      <w:pStyle w:val="Heading2"/>
      <w:lvlText w:val="%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tabs>
          <w:tab w:val="num" w:pos="360"/>
        </w:tabs>
        <w:ind w:left="936" w:hanging="576"/>
      </w:pPr>
      <w:rPr>
        <w:rFonts w:hint="default"/>
      </w:rPr>
    </w:lvl>
    <w:lvl w:ilvl="2">
      <w:start w:val="1"/>
      <w:numFmt w:val="decimal"/>
      <w:pStyle w:val="Heading4"/>
      <w:lvlText w:val="%1.%2.%3"/>
      <w:lvlJc w:val="left"/>
      <w:pPr>
        <w:tabs>
          <w:tab w:val="num" w:pos="432"/>
        </w:tabs>
        <w:ind w:left="1224" w:hanging="792"/>
      </w:pPr>
      <w:rPr>
        <w:rFonts w:hint="default"/>
      </w:rPr>
    </w:lvl>
    <w:lvl w:ilvl="3">
      <w:start w:val="1"/>
      <w:numFmt w:val="decimal"/>
      <w:pStyle w:val="Heading5"/>
      <w:lvlText w:val="%1.%2.%3.%4"/>
      <w:lvlJc w:val="left"/>
      <w:pPr>
        <w:tabs>
          <w:tab w:val="num" w:pos="648"/>
        </w:tabs>
        <w:ind w:left="1728" w:hanging="1080"/>
      </w:pPr>
      <w:rPr>
        <w:rFonts w:hint="default"/>
      </w:rPr>
    </w:lvl>
    <w:lvl w:ilvl="4">
      <w:start w:val="1"/>
      <w:numFmt w:val="decimal"/>
      <w:pStyle w:val="Heading6"/>
      <w:lvlText w:val="%1.%2.%3.%4.%5"/>
      <w:lvlJc w:val="left"/>
      <w:pPr>
        <w:tabs>
          <w:tab w:val="num" w:pos="864"/>
        </w:tabs>
        <w:ind w:left="2232" w:hanging="1368"/>
      </w:pPr>
      <w:rPr>
        <w:rFonts w:hint="default"/>
      </w:rPr>
    </w:lvl>
    <w:lvl w:ilvl="5">
      <w:start w:val="1"/>
      <w:numFmt w:val="decimal"/>
      <w:pStyle w:val="Heading7"/>
      <w:lvlText w:val="%1.%2.%3.%4.%5.%6"/>
      <w:lvlJc w:val="left"/>
      <w:pPr>
        <w:tabs>
          <w:tab w:val="num" w:pos="1080"/>
        </w:tabs>
        <w:ind w:left="2736" w:hanging="1656"/>
      </w:pPr>
      <w:rPr>
        <w:rFonts w:hint="default"/>
      </w:rPr>
    </w:lvl>
    <w:lvl w:ilvl="6">
      <w:start w:val="1"/>
      <w:numFmt w:val="decimal"/>
      <w:pStyle w:val="Heading8"/>
      <w:lvlText w:val="%1.%2.%3.%4.%5.%6.%7"/>
      <w:lvlJc w:val="left"/>
      <w:pPr>
        <w:tabs>
          <w:tab w:val="num" w:pos="1296"/>
        </w:tabs>
        <w:ind w:left="3240" w:hanging="1944"/>
      </w:pPr>
      <w:rPr>
        <w:rFonts w:hint="default"/>
      </w:rPr>
    </w:lvl>
    <w:lvl w:ilvl="7">
      <w:start w:val="1"/>
      <w:numFmt w:val="decimal"/>
      <w:pStyle w:val="Heading9"/>
      <w:lvlText w:val="%1.%2.%3.%4.%5.%6.%7.%8"/>
      <w:lvlJc w:val="left"/>
      <w:pPr>
        <w:tabs>
          <w:tab w:val="num" w:pos="1512"/>
        </w:tabs>
        <w:ind w:left="3744" w:hanging="223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4320" w:hanging="2592"/>
      </w:pPr>
      <w:rPr>
        <w:rFonts w:hint="default"/>
      </w:rPr>
    </w:lvl>
  </w:abstractNum>
  <w:abstractNum w:abstractNumId="19">
    <w:nsid w:val="75005D31"/>
    <w:multiLevelType w:val="hybridMultilevel"/>
    <w:tmpl w:val="52260D0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275FD6"/>
    <w:multiLevelType w:val="hybridMultilevel"/>
    <w:tmpl w:val="C10808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8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0"/>
  </w:num>
  <w:num w:numId="16">
    <w:abstractNumId w:val="12"/>
  </w:num>
  <w:num w:numId="17">
    <w:abstractNumId w:val="14"/>
  </w:num>
  <w:num w:numId="18">
    <w:abstractNumId w:val="11"/>
  </w:num>
  <w:num w:numId="19">
    <w:abstractNumId w:val="19"/>
  </w:num>
  <w:num w:numId="20">
    <w:abstractNumId w:val="20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attachedTemplate r:id="rId1"/>
  <w:stylePaneFormatFilter w:val="30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4FED"/>
    <w:rsid w:val="00150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bbe0e3,#62b7be,#38828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2E1"/>
    <w:rPr>
      <w:sz w:val="24"/>
      <w:szCs w:val="24"/>
    </w:rPr>
  </w:style>
  <w:style w:type="paragraph" w:styleId="Heading1">
    <w:name w:val="heading 1"/>
    <w:next w:val="Normal"/>
    <w:qFormat/>
    <w:rsid w:val="00230844"/>
    <w:pPr>
      <w:keepNext/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NormalIndent"/>
    <w:qFormat/>
    <w:rsid w:val="00821235"/>
    <w:pPr>
      <w:numPr>
        <w:numId w:val="3"/>
      </w:numPr>
      <w:outlineLvl w:val="1"/>
    </w:pPr>
    <w:rPr>
      <w:bCs w:val="0"/>
      <w:iCs/>
      <w:sz w:val="32"/>
      <w:szCs w:val="28"/>
    </w:rPr>
  </w:style>
  <w:style w:type="paragraph" w:styleId="Heading3">
    <w:name w:val="heading 3"/>
    <w:basedOn w:val="Heading2"/>
    <w:next w:val="NormalIndent"/>
    <w:qFormat/>
    <w:rsid w:val="0019376A"/>
    <w:pPr>
      <w:numPr>
        <w:ilvl w:val="1"/>
      </w:numPr>
      <w:outlineLvl w:val="2"/>
    </w:pPr>
    <w:rPr>
      <w:bCs/>
      <w:color w:val="000080"/>
      <w:sz w:val="28"/>
      <w:szCs w:val="26"/>
    </w:rPr>
  </w:style>
  <w:style w:type="paragraph" w:styleId="Heading4">
    <w:name w:val="heading 4"/>
    <w:basedOn w:val="Heading3"/>
    <w:next w:val="NormalIndent"/>
    <w:qFormat/>
    <w:rsid w:val="0075047E"/>
    <w:pPr>
      <w:keepNext w:val="0"/>
      <w:numPr>
        <w:ilvl w:val="2"/>
      </w:numPr>
      <w:outlineLvl w:val="3"/>
    </w:pPr>
    <w:rPr>
      <w:rFonts w:ascii="Times New Roman" w:hAnsi="Times New Roman"/>
      <w:b w:val="0"/>
      <w:bCs w:val="0"/>
      <w:color w:val="auto"/>
      <w:sz w:val="24"/>
      <w:szCs w:val="28"/>
    </w:rPr>
  </w:style>
  <w:style w:type="paragraph" w:styleId="Heading5">
    <w:name w:val="heading 5"/>
    <w:basedOn w:val="Heading4"/>
    <w:next w:val="NormalIndent"/>
    <w:qFormat/>
    <w:rsid w:val="000B5500"/>
    <w:pPr>
      <w:numPr>
        <w:ilvl w:val="3"/>
      </w:numPr>
      <w:outlineLvl w:val="4"/>
    </w:pPr>
    <w:rPr>
      <w:b/>
      <w:bCs/>
      <w:i/>
      <w:iCs w:val="0"/>
      <w:szCs w:val="26"/>
    </w:rPr>
  </w:style>
  <w:style w:type="paragraph" w:styleId="Heading6">
    <w:name w:val="heading 6"/>
    <w:basedOn w:val="Normal"/>
    <w:next w:val="Normal"/>
    <w:qFormat/>
    <w:rsid w:val="00230844"/>
    <w:pPr>
      <w:numPr>
        <w:ilvl w:val="4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30844"/>
    <w:pPr>
      <w:numPr>
        <w:ilvl w:val="5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30844"/>
    <w:pPr>
      <w:numPr>
        <w:ilvl w:val="6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30844"/>
    <w:pPr>
      <w:numPr>
        <w:ilvl w:val="7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aliases w:val="Code Text"/>
    <w:basedOn w:val="Normal"/>
    <w:rsid w:val="002F3632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sid w:val="00270957"/>
    <w:rPr>
      <w:color w:val="0000FF"/>
      <w:u w:val="single"/>
    </w:rPr>
  </w:style>
  <w:style w:type="paragraph" w:customStyle="1" w:styleId="H2">
    <w:name w:val="H2"/>
    <w:next w:val="NormalIndent"/>
    <w:rsid w:val="002B19EC"/>
    <w:rPr>
      <w:rFonts w:ascii="Arial" w:hAnsi="Arial" w:cs="Arial"/>
      <w:b/>
      <w:iCs/>
      <w:kern w:val="32"/>
      <w:sz w:val="32"/>
      <w:szCs w:val="28"/>
    </w:rPr>
  </w:style>
  <w:style w:type="paragraph" w:styleId="Title">
    <w:name w:val="Title"/>
    <w:basedOn w:val="Normal"/>
    <w:qFormat/>
    <w:rsid w:val="007227D6"/>
    <w:pPr>
      <w:spacing w:before="240" w:after="60"/>
      <w:outlineLvl w:val="0"/>
    </w:pPr>
    <w:rPr>
      <w:rFonts w:ascii="Arial" w:hAnsi="Arial" w:cs="Arial"/>
      <w:b/>
      <w:bCs/>
      <w:kern w:val="28"/>
      <w:sz w:val="36"/>
      <w:szCs w:val="32"/>
    </w:rPr>
  </w:style>
  <w:style w:type="paragraph" w:customStyle="1" w:styleId="H3">
    <w:name w:val="H3"/>
    <w:next w:val="NormalIndent"/>
    <w:rsid w:val="0019376A"/>
    <w:pPr>
      <w:ind w:left="216"/>
    </w:pPr>
    <w:rPr>
      <w:rFonts w:ascii="Arial" w:hAnsi="Arial" w:cs="Arial"/>
      <w:b/>
      <w:bCs/>
      <w:iCs/>
      <w:color w:val="000080"/>
      <w:kern w:val="32"/>
      <w:sz w:val="28"/>
      <w:szCs w:val="26"/>
    </w:rPr>
  </w:style>
  <w:style w:type="paragraph" w:customStyle="1" w:styleId="H4">
    <w:name w:val="H4"/>
    <w:next w:val="NormalIndent"/>
    <w:rsid w:val="002B19EC"/>
    <w:pPr>
      <w:ind w:left="432"/>
    </w:pPr>
    <w:rPr>
      <w:rFonts w:ascii="Arial" w:hAnsi="Arial" w:cs="Arial"/>
      <w:b/>
      <w:iCs/>
      <w:kern w:val="32"/>
      <w:sz w:val="24"/>
      <w:szCs w:val="28"/>
    </w:rPr>
  </w:style>
  <w:style w:type="paragraph" w:customStyle="1" w:styleId="H5">
    <w:name w:val="H5"/>
    <w:next w:val="NormalIndent"/>
    <w:rsid w:val="00425E77"/>
    <w:pPr>
      <w:ind w:left="648"/>
    </w:pPr>
    <w:rPr>
      <w:rFonts w:ascii="Arial" w:hAnsi="Arial" w:cs="Arial"/>
      <w:bCs/>
      <w:i/>
      <w:kern w:val="32"/>
      <w:sz w:val="24"/>
      <w:szCs w:val="26"/>
    </w:rPr>
  </w:style>
  <w:style w:type="paragraph" w:styleId="BodyText3">
    <w:name w:val="Body Text 3"/>
    <w:basedOn w:val="Normal"/>
    <w:semiHidden/>
    <w:rsid w:val="00FD665A"/>
    <w:pPr>
      <w:spacing w:after="120"/>
    </w:pPr>
    <w:rPr>
      <w:sz w:val="16"/>
      <w:szCs w:val="16"/>
    </w:rPr>
  </w:style>
  <w:style w:type="paragraph" w:styleId="NormalWeb">
    <w:name w:val="Normal (Web)"/>
    <w:basedOn w:val="Normal"/>
    <w:semiHidden/>
    <w:rsid w:val="005B4943"/>
  </w:style>
  <w:style w:type="table" w:styleId="TableGrid">
    <w:name w:val="Table Grid"/>
    <w:basedOn w:val="TableNormal"/>
    <w:rsid w:val="00F330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semiHidden/>
    <w:rsid w:val="00186FE7"/>
    <w:pPr>
      <w:spacing w:after="120"/>
    </w:pPr>
  </w:style>
  <w:style w:type="paragraph" w:styleId="NormalIndent">
    <w:name w:val="Normal Indent"/>
    <w:basedOn w:val="Normal"/>
    <w:link w:val="NormalIndentChar"/>
    <w:rsid w:val="002712E1"/>
    <w:pPr>
      <w:tabs>
        <w:tab w:val="left" w:pos="432"/>
      </w:tabs>
      <w:ind w:left="432"/>
    </w:pPr>
  </w:style>
  <w:style w:type="paragraph" w:styleId="BodyText2">
    <w:name w:val="Body Text 2"/>
    <w:basedOn w:val="Normal"/>
    <w:semiHidden/>
    <w:rsid w:val="00186FE7"/>
    <w:pPr>
      <w:spacing w:after="120" w:line="480" w:lineRule="auto"/>
    </w:pPr>
  </w:style>
  <w:style w:type="paragraph" w:styleId="BodyTextIndent">
    <w:name w:val="Body Text Indent"/>
    <w:basedOn w:val="Normal"/>
    <w:semiHidden/>
    <w:rsid w:val="00186FE7"/>
    <w:pPr>
      <w:spacing w:after="120"/>
      <w:ind w:left="360"/>
    </w:pPr>
  </w:style>
  <w:style w:type="character" w:styleId="FollowedHyperlink">
    <w:name w:val="FollowedHyperlink"/>
    <w:basedOn w:val="DefaultParagraphFont"/>
    <w:rsid w:val="00EB2565"/>
    <w:rPr>
      <w:color w:val="800080"/>
      <w:u w:val="single"/>
    </w:rPr>
  </w:style>
  <w:style w:type="paragraph" w:styleId="ListNumber4">
    <w:name w:val="List Number 4"/>
    <w:basedOn w:val="Normal"/>
    <w:semiHidden/>
    <w:rsid w:val="00A268C7"/>
    <w:pPr>
      <w:numPr>
        <w:numId w:val="12"/>
      </w:numPr>
    </w:pPr>
  </w:style>
  <w:style w:type="paragraph" w:styleId="Header">
    <w:name w:val="header"/>
    <w:basedOn w:val="Normal"/>
    <w:rsid w:val="003D31F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D31F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D31F8"/>
  </w:style>
  <w:style w:type="character" w:customStyle="1" w:styleId="NormalIndentChar">
    <w:name w:val="Normal Indent Char"/>
    <w:basedOn w:val="DefaultParagraphFont"/>
    <w:link w:val="NormalIndent"/>
    <w:rsid w:val="002712E1"/>
    <w:rPr>
      <w:sz w:val="24"/>
      <w:szCs w:val="24"/>
      <w:lang w:val="en-US" w:eastAsia="en-US" w:bidi="ar-SA"/>
    </w:rPr>
  </w:style>
  <w:style w:type="paragraph" w:styleId="FootnoteText">
    <w:name w:val="footnote text"/>
    <w:basedOn w:val="Normal"/>
    <w:semiHidden/>
    <w:rsid w:val="002E2CC7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E2CC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ns.org/resources/policies/Wireless_Communication_Policy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ans.org/resources/policies/Wireless_Communication_Policy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hilldal\Application%20Data\Microsoft\Templates\standa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standard.dot</Template>
  <TotalTime>2</TotalTime>
  <Pages>3</Pages>
  <Words>791</Words>
  <Characters>4510</Characters>
  <Application>Microsoft Office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Wireless Communication Standard</vt:lpstr>
    </vt:vector>
  </TitlesOfParts>
  <Company/>
  <LinksUpToDate>false</LinksUpToDate>
  <CharactersWithSpaces>5291</CharactersWithSpaces>
  <SharedDoc>false</SharedDoc>
  <HLinks>
    <vt:vector size="18" baseType="variant">
      <vt:variant>
        <vt:i4>4194316</vt:i4>
      </vt:variant>
      <vt:variant>
        <vt:i4>6</vt:i4>
      </vt:variant>
      <vt:variant>
        <vt:i4>0</vt:i4>
      </vt:variant>
      <vt:variant>
        <vt:i4>5</vt:i4>
      </vt:variant>
      <vt:variant>
        <vt:lpwstr>http://www.sans.org/resources/policies/Wireless_Communication_Policy.pdf</vt:lpwstr>
      </vt:variant>
      <vt:variant>
        <vt:lpwstr/>
      </vt:variant>
      <vt:variant>
        <vt:i4>4194316</vt:i4>
      </vt:variant>
      <vt:variant>
        <vt:i4>3</vt:i4>
      </vt:variant>
      <vt:variant>
        <vt:i4>0</vt:i4>
      </vt:variant>
      <vt:variant>
        <vt:i4>5</vt:i4>
      </vt:variant>
      <vt:variant>
        <vt:lpwstr>http://www.sans.org/resources/policies/Wireless_Communication_Policy.pdf</vt:lpwstr>
      </vt:variant>
      <vt:variant>
        <vt:lpwstr/>
      </vt:variant>
      <vt:variant>
        <vt:i4>6619208</vt:i4>
      </vt:variant>
      <vt:variant>
        <vt:i4>0</vt:i4>
      </vt:variant>
      <vt:variant>
        <vt:i4>0</vt:i4>
      </vt:variant>
      <vt:variant>
        <vt:i4>5</vt:i4>
      </vt:variant>
      <vt:variant>
        <vt:lpwstr>http://www.sans.org/resources/policies/Information_Sensitivity_Policy.pdf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Wireless Communication Standard</dc:title>
  <dc:subject/>
  <dc:creator>SEK</dc:creator>
  <cp:keywords/>
  <dc:description/>
  <cp:lastModifiedBy>SEK</cp:lastModifiedBy>
  <cp:revision>2</cp:revision>
  <cp:lastPrinted>2009-04-22T19:24:48Z</cp:lastPrinted>
  <dcterms:created xsi:type="dcterms:W3CDTF">2010-11-15T21:32:00Z</dcterms:created>
  <dcterms:modified xsi:type="dcterms:W3CDTF">2010-11-15T21:32:00Z</dcterms:modified>
</cp:coreProperties>
</file>