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0D" w:rsidRPr="00270957" w:rsidRDefault="00993143" w:rsidP="0079170D">
      <w:pPr>
        <w:pStyle w:val="Title"/>
        <w:ind w:left="72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6177280</wp:posOffset>
            </wp:positionH>
            <wp:positionV relativeFrom="paragraph">
              <wp:posOffset>9258300</wp:posOffset>
            </wp:positionV>
            <wp:extent cx="457200" cy="457200"/>
            <wp:effectExtent l="19050" t="0" r="0" b="0"/>
            <wp:wrapNone/>
            <wp:docPr id="2" name="Picture 2" descr="books_sq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ks_sq30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Wireless Communication Policy</w:t>
      </w:r>
    </w:p>
    <w:p w:rsidR="0079170D" w:rsidRDefault="00993143" w:rsidP="0079170D">
      <w:pPr>
        <w:ind w:left="720"/>
      </w:pPr>
    </w:p>
    <w:p w:rsidR="0079170D" w:rsidRDefault="00993143" w:rsidP="0079170D">
      <w:pPr>
        <w:rPr>
          <w:rFonts w:ascii="Arial" w:hAnsi="Arial" w:cs="Arial"/>
        </w:rPr>
      </w:pPr>
      <w:r>
        <w:rPr>
          <w:noProof/>
        </w:rPr>
        <w:pict>
          <v:line id="_x0000_s1044" style="position:absolute;z-index:251658240" from="36pt,20.55pt" to="423pt,20.55pt" strokeweight="2pt"/>
        </w:pict>
      </w:r>
    </w:p>
    <w:p w:rsidR="0079170D" w:rsidRDefault="00993143" w:rsidP="0079170D">
      <w:pPr>
        <w:rPr>
          <w:rFonts w:ascii="Arial" w:hAnsi="Arial" w:cs="Arial"/>
        </w:rPr>
      </w:pPr>
    </w:p>
    <w:p w:rsidR="0079170D" w:rsidRDefault="00993143" w:rsidP="0079170D">
      <w:pPr>
        <w:rPr>
          <w:rFonts w:ascii="Arial" w:hAnsi="Arial" w:cs="Arial"/>
        </w:rPr>
      </w:pPr>
    </w:p>
    <w:p w:rsidR="0079170D" w:rsidRDefault="00993143" w:rsidP="0079170D">
      <w:pPr>
        <w:rPr>
          <w:rFonts w:ascii="Arial" w:hAnsi="Arial" w:cs="Arial"/>
        </w:rPr>
      </w:pPr>
    </w:p>
    <w:p w:rsidR="0079170D" w:rsidRDefault="00993143" w:rsidP="0079170D">
      <w:pPr>
        <w:pStyle w:val="Heading2"/>
      </w:pPr>
      <w:r>
        <w:t>Overview</w:t>
      </w:r>
    </w:p>
    <w:p w:rsidR="0079170D" w:rsidRPr="00C41C38" w:rsidRDefault="00993143" w:rsidP="0079170D">
      <w:pPr>
        <w:pStyle w:val="NormalIndent"/>
      </w:pPr>
      <w:r w:rsidRPr="005B4943">
        <w:t>The purpose of this policy is to secure and protect the information assets</w:t>
      </w:r>
      <w:r>
        <w:t xml:space="preserve"> owned by &lt;Company Name&gt;</w:t>
      </w:r>
      <w:bookmarkStart w:id="0" w:name="user"/>
      <w:r>
        <w:t>. &lt;Company Name&gt; provides c</w:t>
      </w:r>
      <w:r w:rsidRPr="00C41C38">
        <w:t>omputer devices, networks, and other electronic information</w:t>
      </w:r>
      <w:r>
        <w:t xml:space="preserve"> systems to meet </w:t>
      </w:r>
      <w:r w:rsidRPr="00C41C38">
        <w:t>mission</w:t>
      </w:r>
      <w:r>
        <w:t>s,</w:t>
      </w:r>
      <w:r>
        <w:t xml:space="preserve"> goals, and initiatives. &lt;Company Name&gt; grants</w:t>
      </w:r>
      <w:r w:rsidRPr="00C41C38">
        <w:t xml:space="preserve"> access to thes</w:t>
      </w:r>
      <w:r>
        <w:t xml:space="preserve">e resources as a privilege and must manage them responsibly to </w:t>
      </w:r>
      <w:r w:rsidRPr="00C41C38">
        <w:t>maintain the confidentiality, integrity, and availability of all information assets.</w:t>
      </w:r>
    </w:p>
    <w:p w:rsidR="0079170D" w:rsidRPr="00C41C38" w:rsidRDefault="00993143" w:rsidP="0079170D">
      <w:pPr>
        <w:pStyle w:val="NormalIndent"/>
      </w:pPr>
    </w:p>
    <w:p w:rsidR="0079170D" w:rsidRDefault="00993143" w:rsidP="0079170D">
      <w:pPr>
        <w:pStyle w:val="NormalIndent"/>
      </w:pPr>
      <w:r w:rsidRPr="00C41C38">
        <w:t xml:space="preserve">This policy specifies the conditions </w:t>
      </w:r>
      <w:r>
        <w:t>that wire</w:t>
      </w:r>
      <w:r>
        <w:t xml:space="preserve">less infrastructure devices must satisfy to connect to  &lt;Company Name&gt; </w:t>
      </w:r>
      <w:r w:rsidRPr="00C41C38">
        <w:t>network</w:t>
      </w:r>
      <w:r>
        <w:t xml:space="preserve">. </w:t>
      </w:r>
      <w:r w:rsidRPr="00C41C38">
        <w:t xml:space="preserve">Only </w:t>
      </w:r>
      <w:r w:rsidRPr="00C41C38">
        <w:rPr>
          <w:rStyle w:val="Strong"/>
          <w:b w:val="0"/>
        </w:rPr>
        <w:t>those</w:t>
      </w:r>
      <w:r w:rsidRPr="00C41C38">
        <w:t xml:space="preserve"> wireless </w:t>
      </w:r>
      <w:r>
        <w:t xml:space="preserve">infrastructure </w:t>
      </w:r>
      <w:r w:rsidRPr="00C41C38">
        <w:t xml:space="preserve">devices that meet the standards </w:t>
      </w:r>
      <w:r w:rsidRPr="00C41C38">
        <w:rPr>
          <w:rStyle w:val="Strong"/>
          <w:b w:val="0"/>
        </w:rPr>
        <w:t>specified in</w:t>
      </w:r>
      <w:r w:rsidRPr="00C41C38">
        <w:t> thi</w:t>
      </w:r>
      <w:r>
        <w:t xml:space="preserve">s policy or are </w:t>
      </w:r>
      <w:r w:rsidRPr="00C41C38">
        <w:t xml:space="preserve">granted an exception by the </w:t>
      </w:r>
      <w:r>
        <w:t>Information Security Department</w:t>
      </w:r>
      <w:r w:rsidRPr="00C41C38">
        <w:t xml:space="preserve"> are approved for </w:t>
      </w:r>
      <w:r w:rsidRPr="00C41C38">
        <w:t xml:space="preserve">connectivity to a </w:t>
      </w:r>
      <w:r>
        <w:t>&lt;Company Name&gt;</w:t>
      </w:r>
      <w:r w:rsidRPr="00C41C38">
        <w:t xml:space="preserve"> network.</w:t>
      </w:r>
    </w:p>
    <w:bookmarkEnd w:id="0"/>
    <w:p w:rsidR="0079170D" w:rsidRDefault="00993143" w:rsidP="0079170D">
      <w:pPr>
        <w:pStyle w:val="Heading2"/>
      </w:pPr>
      <w:r>
        <w:t>Scope</w:t>
      </w:r>
    </w:p>
    <w:p w:rsidR="0079170D" w:rsidRPr="00C41C38" w:rsidRDefault="00993143" w:rsidP="0079170D">
      <w:pPr>
        <w:pStyle w:val="NormalIndent"/>
      </w:pPr>
      <w:r>
        <w:rPr>
          <w:lang/>
        </w:rPr>
        <w:t xml:space="preserve">All </w:t>
      </w:r>
      <w:r w:rsidRPr="00C41C38">
        <w:rPr>
          <w:lang/>
        </w:rPr>
        <w:t xml:space="preserve">employees, contractors, consultants, temporary and other workers at </w:t>
      </w:r>
      <w:r>
        <w:rPr>
          <w:lang/>
        </w:rPr>
        <w:t>&lt;Company Name&gt;</w:t>
      </w:r>
      <w:r w:rsidRPr="00C41C38">
        <w:rPr>
          <w:lang/>
        </w:rPr>
        <w:t>, including all personnel affiliated with third parties</w:t>
      </w:r>
      <w:r>
        <w:rPr>
          <w:lang/>
        </w:rPr>
        <w:t xml:space="preserve"> that maintain a wireless infrastructure device on behalf of &lt;Compa</w:t>
      </w:r>
      <w:r>
        <w:rPr>
          <w:lang/>
        </w:rPr>
        <w:t>ny Name&gt; must adhere to this policy</w:t>
      </w:r>
      <w:r w:rsidRPr="00C41C38">
        <w:rPr>
          <w:lang/>
        </w:rPr>
        <w:t xml:space="preserve">. This policy applies to all </w:t>
      </w:r>
      <w:r w:rsidRPr="00C41C38">
        <w:t>wireless infrast</w:t>
      </w:r>
      <w:r>
        <w:t xml:space="preserve">ructure devices that connect to a &lt;Company Name&gt; </w:t>
      </w:r>
      <w:r w:rsidRPr="00C41C38">
        <w:t xml:space="preserve">network </w:t>
      </w:r>
      <w:r>
        <w:t>or reside on a &lt;Company Name&gt; site that provide</w:t>
      </w:r>
      <w:r w:rsidRPr="00C41C38">
        <w:t xml:space="preserve"> wireless connectivity to endpoint devices including, but not limited to</w:t>
      </w:r>
      <w:r w:rsidRPr="00C41C38">
        <w:t>, laptops, desktops, cellular phones, and personal digital assistants (PDAs). This includes any form of wireless communication device capable of t</w:t>
      </w:r>
      <w:r>
        <w:t xml:space="preserve">ransmitting packet data. </w:t>
      </w:r>
    </w:p>
    <w:p w:rsidR="0079170D" w:rsidRPr="00C41C38" w:rsidRDefault="00993143" w:rsidP="0079170D">
      <w:pPr>
        <w:pStyle w:val="NormalIndent"/>
      </w:pPr>
    </w:p>
    <w:p w:rsidR="0079170D" w:rsidRPr="0071145D" w:rsidRDefault="00993143" w:rsidP="0079170D">
      <w:pPr>
        <w:pStyle w:val="NormalIndent"/>
      </w:pPr>
      <w:r>
        <w:t>The Information Security Department must approve exceptions to this policy in advan</w:t>
      </w:r>
      <w:r>
        <w:t>ce</w:t>
      </w:r>
      <w:r w:rsidRPr="0024190E">
        <w:t>.</w:t>
      </w:r>
    </w:p>
    <w:p w:rsidR="0079170D" w:rsidRPr="0071145D" w:rsidRDefault="00993143" w:rsidP="0079170D">
      <w:pPr>
        <w:pStyle w:val="Heading2"/>
      </w:pPr>
      <w:r>
        <w:t>Policy Statement</w:t>
      </w:r>
    </w:p>
    <w:p w:rsidR="0079170D" w:rsidRPr="00867352" w:rsidRDefault="00993143" w:rsidP="0079170D">
      <w:pPr>
        <w:pStyle w:val="Heading3"/>
        <w:rPr>
          <w:color w:val="auto"/>
        </w:rPr>
      </w:pPr>
      <w:bookmarkStart w:id="1" w:name="_Ref134951197"/>
      <w:r w:rsidRPr="00867352">
        <w:rPr>
          <w:color w:val="auto"/>
        </w:rPr>
        <w:t>General Network Access Requirements</w:t>
      </w:r>
      <w:bookmarkEnd w:id="1"/>
    </w:p>
    <w:p w:rsidR="0079170D" w:rsidRDefault="00993143" w:rsidP="0079170D">
      <w:pPr>
        <w:pStyle w:val="NormalIndent"/>
      </w:pPr>
      <w:r>
        <w:t xml:space="preserve">All wireless infrastructure devices that </w:t>
      </w:r>
      <w:r>
        <w:rPr>
          <w:bCs/>
        </w:rPr>
        <w:t>reside at</w:t>
      </w:r>
      <w:r w:rsidRPr="003155D3">
        <w:rPr>
          <w:bCs/>
        </w:rPr>
        <w:t xml:space="preserve"> </w:t>
      </w:r>
      <w:r>
        <w:rPr>
          <w:bCs/>
        </w:rPr>
        <w:t>a &lt;Company Name&gt;</w:t>
      </w:r>
      <w:r w:rsidRPr="003155D3">
        <w:rPr>
          <w:bCs/>
        </w:rPr>
        <w:t xml:space="preserve"> </w:t>
      </w:r>
      <w:r>
        <w:rPr>
          <w:bCs/>
        </w:rPr>
        <w:t>site</w:t>
      </w:r>
      <w:r w:rsidRPr="003155D3">
        <w:rPr>
          <w:bCs/>
        </w:rPr>
        <w:t xml:space="preserve"> and</w:t>
      </w:r>
      <w:r w:rsidRPr="003155D3">
        <w:rPr>
          <w:b/>
          <w:bCs/>
        </w:rPr>
        <w:t xml:space="preserve"> </w:t>
      </w:r>
      <w:r>
        <w:t xml:space="preserve">connect to a &lt;Company Name&gt; network, or </w:t>
      </w:r>
      <w:r w:rsidRPr="00393F02">
        <w:t xml:space="preserve">provide access to information classified as </w:t>
      </w:r>
      <w:r w:rsidRPr="003B470E">
        <w:t xml:space="preserve">&lt;Company Name&gt; Confidential, &lt;Company </w:t>
      </w:r>
      <w:r w:rsidRPr="003B470E">
        <w:t>Name&gt; Highly Confidential, or &lt;Company Name&gt; Restricted</w:t>
      </w:r>
      <w:r>
        <w:t xml:space="preserve"> must: </w:t>
      </w:r>
    </w:p>
    <w:p w:rsidR="0079170D" w:rsidRDefault="00993143" w:rsidP="0079170D">
      <w:pPr>
        <w:pStyle w:val="Heading4"/>
      </w:pPr>
      <w:r>
        <w:t xml:space="preserve">Abide by the standards specified in the </w:t>
      </w:r>
      <w:hyperlink r:id="rId8" w:history="1">
        <w:r w:rsidRPr="0079170D">
          <w:rPr>
            <w:rStyle w:val="Hyperlink"/>
          </w:rPr>
          <w:t>Wireless Communication Standard</w:t>
        </w:r>
      </w:hyperlink>
      <w:r>
        <w:t xml:space="preserve">. </w:t>
      </w:r>
    </w:p>
    <w:p w:rsidR="0079170D" w:rsidRDefault="00993143" w:rsidP="0079170D">
      <w:pPr>
        <w:pStyle w:val="Heading4"/>
      </w:pPr>
      <w:r>
        <w:lastRenderedPageBreak/>
        <w:t>Be installed, supported, an</w:t>
      </w:r>
      <w:r>
        <w:t xml:space="preserve">d maintained by a </w:t>
      </w:r>
      <w:r w:rsidRPr="003B470E">
        <w:t>approved support team</w:t>
      </w:r>
      <w:r>
        <w:t>.</w:t>
      </w:r>
    </w:p>
    <w:p w:rsidR="0079170D" w:rsidRDefault="00993143" w:rsidP="0079170D">
      <w:pPr>
        <w:pStyle w:val="Heading4"/>
      </w:pPr>
      <w:r>
        <w:t>Use &lt;Company Name&gt; approved authentication protocols and infrastructure.</w:t>
      </w:r>
    </w:p>
    <w:p w:rsidR="0079170D" w:rsidRDefault="00993143" w:rsidP="0079170D">
      <w:pPr>
        <w:pStyle w:val="Heading4"/>
      </w:pPr>
      <w:r>
        <w:t xml:space="preserve">Use </w:t>
      </w:r>
      <w:r w:rsidRPr="003B470E">
        <w:t xml:space="preserve"> </w:t>
      </w:r>
      <w:r>
        <w:t xml:space="preserve">&lt;Company Name&gt; </w:t>
      </w:r>
      <w:r w:rsidRPr="003B470E">
        <w:t>approved encryption protocols</w:t>
      </w:r>
      <w:r>
        <w:t>.</w:t>
      </w:r>
    </w:p>
    <w:p w:rsidR="0079170D" w:rsidRDefault="00993143" w:rsidP="0079170D">
      <w:pPr>
        <w:pStyle w:val="Heading4"/>
      </w:pPr>
      <w:r>
        <w:t xml:space="preserve">Maintain a hardware address (MAC address) that can be registered and tracked. </w:t>
      </w:r>
    </w:p>
    <w:p w:rsidR="0079170D" w:rsidRPr="007051A1" w:rsidRDefault="00993143" w:rsidP="0079170D">
      <w:pPr>
        <w:pStyle w:val="Heading4"/>
        <w:keepNext/>
      </w:pPr>
      <w:r>
        <w:t>Not interfer</w:t>
      </w:r>
      <w:r>
        <w:t>e with wireless access deployments maintained by other support organizations.</w:t>
      </w:r>
    </w:p>
    <w:p w:rsidR="0079170D" w:rsidRPr="00867352" w:rsidRDefault="00993143" w:rsidP="0079170D">
      <w:pPr>
        <w:pStyle w:val="Heading3"/>
        <w:rPr>
          <w:color w:val="auto"/>
        </w:rPr>
      </w:pPr>
      <w:r w:rsidRPr="00867352">
        <w:rPr>
          <w:color w:val="auto"/>
        </w:rPr>
        <w:t>Lab and Isolated Wireless Device Requirements</w:t>
      </w:r>
    </w:p>
    <w:p w:rsidR="0079170D" w:rsidRPr="00350293" w:rsidRDefault="00993143" w:rsidP="0079170D">
      <w:pPr>
        <w:pStyle w:val="NormalIndent"/>
      </w:pPr>
      <w:r w:rsidRPr="00A4177E">
        <w:t xml:space="preserve">All </w:t>
      </w:r>
      <w:r>
        <w:t xml:space="preserve">lab wireless infrastructure devices that provide access to </w:t>
      </w:r>
      <w:r w:rsidRPr="00867352">
        <w:t>&lt;Company Name&gt; Confidential, &lt;Company Name&gt; Highly Confidential, or &lt;</w:t>
      </w:r>
      <w:r w:rsidRPr="00867352">
        <w:t>Company Name&gt; Restricted</w:t>
      </w:r>
      <w:r>
        <w:t xml:space="preserve"> information must adhere to section </w:t>
      </w:r>
      <w:r>
        <w:fldChar w:fldCharType="begin"/>
      </w:r>
      <w:r>
        <w:instrText xml:space="preserve"> REF _Ref134951197 \r \h </w:instrText>
      </w:r>
      <w:r>
        <w:fldChar w:fldCharType="separate"/>
      </w:r>
      <w:r>
        <w:t>3.1</w:t>
      </w:r>
      <w:r>
        <w:fldChar w:fldCharType="end"/>
      </w:r>
      <w:r>
        <w:t xml:space="preserve">. Lab and isolated wireless devices that do not provide general network connectivity to the &lt;Company Name&gt; network must:  </w:t>
      </w:r>
    </w:p>
    <w:p w:rsidR="0079170D" w:rsidRDefault="00993143" w:rsidP="0079170D">
      <w:pPr>
        <w:pStyle w:val="Heading4"/>
        <w:keepNext/>
      </w:pPr>
      <w:r>
        <w:t>Be isolated from the corporate network (t</w:t>
      </w:r>
      <w:r>
        <w:t>hat is it must not provide any corporate connectivity)</w:t>
      </w:r>
      <w:r w:rsidRPr="00ED15AC">
        <w:t xml:space="preserve"> </w:t>
      </w:r>
      <w:r>
        <w:t xml:space="preserve">and comply with </w:t>
      </w:r>
      <w:r w:rsidRPr="00951F01">
        <w:t xml:space="preserve">the </w:t>
      </w:r>
      <w:hyperlink r:id="rId9" w:history="1">
        <w:r w:rsidRPr="0079170D">
          <w:rPr>
            <w:rStyle w:val="Hyperlink"/>
          </w:rPr>
          <w:t>DMZ Lab Security Policy</w:t>
        </w:r>
      </w:hyperlink>
      <w:r w:rsidRPr="00951F01">
        <w:t xml:space="preserve"> or</w:t>
      </w:r>
      <w:r>
        <w:t xml:space="preserve"> the</w:t>
      </w:r>
      <w:r w:rsidRPr="00951F01">
        <w:t xml:space="preserve"> </w:t>
      </w:r>
      <w:hyperlink r:id="rId10" w:history="1">
        <w:r w:rsidRPr="0079170D">
          <w:rPr>
            <w:rStyle w:val="Hyperlink"/>
          </w:rPr>
          <w:t>Internal Lab Security Policy</w:t>
        </w:r>
      </w:hyperlink>
      <w:r w:rsidRPr="00F87A0C">
        <w:t>.</w:t>
      </w:r>
      <w:r>
        <w:t xml:space="preserve"> </w:t>
      </w:r>
    </w:p>
    <w:p w:rsidR="0079170D" w:rsidRDefault="00993143" w:rsidP="0079170D">
      <w:pPr>
        <w:pStyle w:val="Heading4"/>
      </w:pPr>
      <w:r>
        <w:t xml:space="preserve">Not interfere with wireless access deployments maintained by other support organizations. </w:t>
      </w:r>
    </w:p>
    <w:p w:rsidR="0079170D" w:rsidRPr="00867352" w:rsidRDefault="00993143" w:rsidP="0079170D">
      <w:pPr>
        <w:pStyle w:val="Heading3"/>
        <w:rPr>
          <w:color w:val="auto"/>
        </w:rPr>
      </w:pPr>
      <w:r w:rsidRPr="00867352">
        <w:rPr>
          <w:color w:val="auto"/>
        </w:rPr>
        <w:t>Home Wireless Device Requirements</w:t>
      </w:r>
    </w:p>
    <w:p w:rsidR="0079170D" w:rsidRDefault="00993143" w:rsidP="0079170D">
      <w:pPr>
        <w:pStyle w:val="Heading4"/>
      </w:pPr>
      <w:r>
        <w:t>Wireless</w:t>
      </w:r>
      <w:r w:rsidRPr="00535693">
        <w:t xml:space="preserve"> infrastructure device</w:t>
      </w:r>
      <w:r>
        <w:t>s that provide direct access to the &lt;Company Na</w:t>
      </w:r>
      <w:r>
        <w:t xml:space="preserve">me&gt; corporate network, must conform to the Home Wireless Device Requirements as detailed in the Wireless Communication Standard. </w:t>
      </w:r>
    </w:p>
    <w:p w:rsidR="0079170D" w:rsidRDefault="00993143" w:rsidP="0079170D">
      <w:pPr>
        <w:pStyle w:val="Heading4"/>
      </w:pPr>
      <w:r>
        <w:t>Wireless infrastructure devices that fail to conform to the Home Wireless Device Requirements must be installed in a manner th</w:t>
      </w:r>
      <w:r>
        <w:t>at prohibits direct access to the &lt;Company Name&gt; corporate network. Access to the &lt;Company Name&gt; corporate network through this device must use standard remote access authentication.</w:t>
      </w:r>
    </w:p>
    <w:p w:rsidR="0079170D" w:rsidRDefault="00993143" w:rsidP="0079170D">
      <w:pPr>
        <w:pStyle w:val="Heading2"/>
      </w:pPr>
      <w:r>
        <w:t>Enforcement</w:t>
      </w:r>
    </w:p>
    <w:p w:rsidR="0079170D" w:rsidRPr="00AE3FF9" w:rsidRDefault="00993143" w:rsidP="0079170D">
      <w:pPr>
        <w:pStyle w:val="NormalIndent"/>
        <w:rPr>
          <w:lang/>
        </w:rPr>
      </w:pPr>
      <w:r>
        <w:rPr>
          <w:lang/>
        </w:rPr>
        <w:t>An</w:t>
      </w:r>
      <w:r w:rsidRPr="00A92E13">
        <w:rPr>
          <w:lang/>
        </w:rPr>
        <w:t xml:space="preserve"> employee found to have violated this policy may be subject</w:t>
      </w:r>
      <w:r w:rsidRPr="00A92E13">
        <w:rPr>
          <w:lang/>
        </w:rPr>
        <w:t xml:space="preserve"> to </w:t>
      </w:r>
      <w:r w:rsidRPr="00B40D08">
        <w:rPr>
          <w:lang/>
        </w:rPr>
        <w:t>disciplinary action</w:t>
      </w:r>
      <w:r>
        <w:t>,</w:t>
      </w:r>
      <w:r w:rsidRPr="00A92E13">
        <w:rPr>
          <w:lang/>
        </w:rPr>
        <w:t xml:space="preserve"> up to and including</w:t>
      </w:r>
      <w:r>
        <w:rPr>
          <w:lang/>
        </w:rPr>
        <w:t xml:space="preserve"> termination of employment. A </w:t>
      </w:r>
      <w:r w:rsidRPr="00A92E13">
        <w:rPr>
          <w:lang/>
        </w:rPr>
        <w:t xml:space="preserve">violation of this policy by a temporary worker, contractor or vendor may result in the termination of their contract or assignment with </w:t>
      </w:r>
      <w:r>
        <w:rPr>
          <w:lang/>
        </w:rPr>
        <w:t>&lt;Company Name&gt;.</w:t>
      </w:r>
    </w:p>
    <w:p w:rsidR="0079170D" w:rsidRDefault="00993143" w:rsidP="0079170D">
      <w:pPr>
        <w:pStyle w:val="Heading2"/>
      </w:pPr>
      <w:r>
        <w:t>Definitions</w:t>
      </w:r>
    </w:p>
    <w:p w:rsidR="0079170D" w:rsidRDefault="00993143" w:rsidP="0079170D">
      <w:pPr>
        <w:pStyle w:val="NormalIndent"/>
      </w:pPr>
    </w:p>
    <w:tbl>
      <w:tblPr>
        <w:tblStyle w:val="TableGrid"/>
        <w:tblW w:w="0" w:type="auto"/>
        <w:tblLook w:val="01E0"/>
      </w:tblPr>
      <w:tblGrid>
        <w:gridCol w:w="2603"/>
        <w:gridCol w:w="6153"/>
      </w:tblGrid>
      <w:tr w:rsidR="0079170D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C970EC" w:rsidRDefault="00993143" w:rsidP="0079170D">
            <w:pPr>
              <w:jc w:val="center"/>
              <w:rPr>
                <w:rFonts w:ascii="Arial" w:hAnsi="Arial" w:cs="Arial"/>
                <w:b/>
              </w:rPr>
            </w:pPr>
            <w:r w:rsidRPr="00C970EC">
              <w:rPr>
                <w:rFonts w:ascii="Arial" w:hAnsi="Arial" w:cs="Arial"/>
                <w:b/>
              </w:rPr>
              <w:lastRenderedPageBreak/>
              <w:t>Term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C970EC" w:rsidRDefault="00993143" w:rsidP="0079170D">
            <w:pPr>
              <w:jc w:val="center"/>
              <w:rPr>
                <w:rFonts w:ascii="Arial" w:hAnsi="Arial" w:cs="Arial"/>
                <w:b/>
              </w:rPr>
            </w:pPr>
            <w:r w:rsidRPr="00C970EC">
              <w:rPr>
                <w:rFonts w:ascii="Arial" w:hAnsi="Arial" w:cs="Arial"/>
                <w:b/>
              </w:rPr>
              <w:t>Definition</w:t>
            </w:r>
          </w:p>
        </w:tc>
      </w:tr>
      <w:tr w:rsidR="0079170D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862AA8" w:rsidRDefault="00993143" w:rsidP="0079170D">
            <w:pPr>
              <w:rPr>
                <w:b/>
              </w:rPr>
            </w:pPr>
            <w:r>
              <w:rPr>
                <w:b/>
              </w:rPr>
              <w:t>&lt;Company Name&gt; network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Default="00993143" w:rsidP="0079170D">
            <w:r>
              <w:t>A wired or</w:t>
            </w:r>
            <w:r w:rsidRPr="00192251">
              <w:t xml:space="preserve"> wireless</w:t>
            </w:r>
            <w:r>
              <w:t xml:space="preserve"> network</w:t>
            </w:r>
            <w:r w:rsidRPr="00192251">
              <w:t xml:space="preserve"> </w:t>
            </w:r>
            <w:r>
              <w:t>including indoor, outdoor, and alpha networks that provide</w:t>
            </w:r>
            <w:r w:rsidRPr="00192251">
              <w:t xml:space="preserve"> con</w:t>
            </w:r>
            <w:r>
              <w:t>nectivity to corporate services</w:t>
            </w:r>
            <w:r w:rsidRPr="00192251">
              <w:t>.</w:t>
            </w:r>
          </w:p>
        </w:tc>
      </w:tr>
      <w:tr w:rsidR="0079170D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0052FA" w:rsidRDefault="00993143" w:rsidP="0079170D">
            <w:pPr>
              <w:rPr>
                <w:b/>
              </w:rPr>
            </w:pPr>
            <w:r w:rsidRPr="00862AA8">
              <w:rPr>
                <w:b/>
              </w:rPr>
              <w:t>Corporate connectivity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0052FA" w:rsidRDefault="00993143" w:rsidP="0079170D">
            <w:r>
              <w:t>A connection that provides access to a &lt;Company Name&gt; network.</w:t>
            </w:r>
          </w:p>
        </w:tc>
      </w:tr>
      <w:tr w:rsidR="0079170D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862AA8" w:rsidRDefault="00993143" w:rsidP="0079170D">
            <w:pPr>
              <w:rPr>
                <w:b/>
              </w:rPr>
            </w:pPr>
            <w:r>
              <w:rPr>
                <w:b/>
              </w:rPr>
              <w:t>Enterprise Class Telew</w:t>
            </w:r>
            <w:r>
              <w:rPr>
                <w:b/>
              </w:rPr>
              <w:t>orker (ECT)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Default="00993143" w:rsidP="0079170D">
            <w:r w:rsidRPr="00335465">
              <w:rPr>
                <w:lang/>
              </w:rPr>
              <w:t>An end-to-end hardware VPN solution for teleworke</w:t>
            </w:r>
            <w:r>
              <w:rPr>
                <w:lang/>
              </w:rPr>
              <w:t xml:space="preserve">r access to the &lt;Company Name&gt; </w:t>
            </w:r>
            <w:r w:rsidRPr="00335465">
              <w:rPr>
                <w:lang/>
              </w:rPr>
              <w:t>network.</w:t>
            </w:r>
          </w:p>
        </w:tc>
      </w:tr>
      <w:tr w:rsidR="0079170D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862AA8" w:rsidRDefault="00993143" w:rsidP="0079170D">
            <w:pPr>
              <w:rPr>
                <w:b/>
              </w:rPr>
            </w:pPr>
            <w:r>
              <w:rPr>
                <w:b/>
              </w:rPr>
              <w:t>Information assets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Default="00993143" w:rsidP="0079170D">
            <w:r>
              <w:t>Information that is collected or produced and the underlying hardware, software, services, systems, and technology that is necessary fo</w:t>
            </w:r>
            <w:r>
              <w:t xml:space="preserve">r obtaining, storing, using, and securing that information which is recognized as important and valuable to an organization.  </w:t>
            </w:r>
          </w:p>
        </w:tc>
      </w:tr>
      <w:tr w:rsidR="0079170D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862AA8" w:rsidRDefault="00993143" w:rsidP="0079170D">
            <w:pPr>
              <w:rPr>
                <w:b/>
              </w:rPr>
            </w:pPr>
            <w:r>
              <w:rPr>
                <w:b/>
              </w:rPr>
              <w:t>MAC address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Default="00993143" w:rsidP="0079170D">
            <w:r>
              <w:t xml:space="preserve">The MAC address is a hardware number that uniquely identifies each node on a network and is required for every port </w:t>
            </w:r>
            <w:r>
              <w:t xml:space="preserve">or device that connects to the network. </w:t>
            </w:r>
          </w:p>
        </w:tc>
      </w:tr>
    </w:tbl>
    <w:p w:rsidR="0079170D" w:rsidRDefault="00993143" w:rsidP="0079170D"/>
    <w:p w:rsidR="0079170D" w:rsidRDefault="00993143" w:rsidP="0079170D"/>
    <w:p w:rsidR="0079170D" w:rsidRDefault="00993143" w:rsidP="0079170D"/>
    <w:p w:rsidR="0079170D" w:rsidRDefault="00993143" w:rsidP="0079170D">
      <w:pPr>
        <w:pStyle w:val="Heading2"/>
      </w:pPr>
      <w:r>
        <w:t>Revision History</w:t>
      </w:r>
    </w:p>
    <w:p w:rsidR="0079170D" w:rsidRDefault="00993143" w:rsidP="0079170D"/>
    <w:tbl>
      <w:tblPr>
        <w:tblStyle w:val="TableGrid"/>
        <w:tblW w:w="0" w:type="auto"/>
        <w:tblLook w:val="01E0"/>
      </w:tblPr>
      <w:tblGrid>
        <w:gridCol w:w="1858"/>
        <w:gridCol w:w="2160"/>
        <w:gridCol w:w="4738"/>
      </w:tblGrid>
      <w:tr w:rsidR="0079170D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C970EC" w:rsidRDefault="00993143" w:rsidP="007917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Change</w:t>
            </w:r>
          </w:p>
        </w:tc>
        <w:tc>
          <w:tcPr>
            <w:tcW w:w="2160" w:type="dxa"/>
            <w:vAlign w:val="center"/>
          </w:tcPr>
          <w:p w:rsidR="0079170D" w:rsidRPr="00C970EC" w:rsidRDefault="00993143" w:rsidP="0079170D">
            <w:pPr>
              <w:tabs>
                <w:tab w:val="left" w:pos="270"/>
                <w:tab w:val="center" w:pos="97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>Responsible</w:t>
            </w:r>
          </w:p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C970EC" w:rsidRDefault="00993143" w:rsidP="007917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Change</w:t>
            </w:r>
          </w:p>
        </w:tc>
      </w:tr>
      <w:tr w:rsidR="0079170D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A9635F" w:rsidRDefault="00993143" w:rsidP="0079170D"/>
        </w:tc>
        <w:tc>
          <w:tcPr>
            <w:tcW w:w="2160" w:type="dxa"/>
            <w:vAlign w:val="center"/>
          </w:tcPr>
          <w:p w:rsidR="0079170D" w:rsidRPr="000052FA" w:rsidRDefault="00993143" w:rsidP="0079170D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0052FA" w:rsidRDefault="00993143" w:rsidP="0079170D"/>
        </w:tc>
      </w:tr>
      <w:tr w:rsidR="0079170D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A9635F" w:rsidRDefault="00993143" w:rsidP="0079170D"/>
        </w:tc>
        <w:tc>
          <w:tcPr>
            <w:tcW w:w="2160" w:type="dxa"/>
            <w:vAlign w:val="center"/>
          </w:tcPr>
          <w:p w:rsidR="0079170D" w:rsidRDefault="00993143" w:rsidP="0079170D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Pr="000052FA" w:rsidRDefault="00993143" w:rsidP="0079170D"/>
        </w:tc>
      </w:tr>
      <w:tr w:rsidR="0079170D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Default="00993143" w:rsidP="0079170D"/>
        </w:tc>
        <w:tc>
          <w:tcPr>
            <w:tcW w:w="2160" w:type="dxa"/>
            <w:vAlign w:val="center"/>
          </w:tcPr>
          <w:p w:rsidR="0079170D" w:rsidRDefault="00993143" w:rsidP="0079170D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9170D" w:rsidRDefault="00993143" w:rsidP="0079170D"/>
        </w:tc>
      </w:tr>
    </w:tbl>
    <w:p w:rsidR="0079170D" w:rsidRDefault="00993143" w:rsidP="0079170D"/>
    <w:sectPr w:rsidR="0079170D" w:rsidSect="00791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70D" w:rsidRDefault="00993143">
      <w:r>
        <w:separator/>
      </w:r>
    </w:p>
  </w:endnote>
  <w:endnote w:type="continuationSeparator" w:id="0">
    <w:p w:rsidR="0079170D" w:rsidRDefault="00993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0D" w:rsidRDefault="009931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0D" w:rsidRPr="00F605F3" w:rsidRDefault="00993143" w:rsidP="0079170D">
    <w:pPr>
      <w:pStyle w:val="Footer"/>
      <w:tabs>
        <w:tab w:val="clear" w:pos="4320"/>
      </w:tabs>
      <w:rPr>
        <w:rFonts w:ascii="Arial" w:hAnsi="Arial" w:cs="Arial"/>
        <w:b/>
      </w:rPr>
    </w:pPr>
    <w:r w:rsidRPr="00F605F3">
      <w:rPr>
        <w:rStyle w:val="PageNumber"/>
        <w:rFonts w:ascii="Arial" w:hAnsi="Arial" w:cs="Arial"/>
        <w:b/>
      </w:rPr>
      <w:fldChar w:fldCharType="begin"/>
    </w:r>
    <w:r w:rsidRPr="00F605F3">
      <w:rPr>
        <w:rStyle w:val="PageNumber"/>
        <w:rFonts w:ascii="Arial" w:hAnsi="Arial" w:cs="Arial"/>
        <w:b/>
      </w:rPr>
      <w:instrText xml:space="preserve"> PAGE </w:instrText>
    </w:r>
    <w:r w:rsidRPr="00F605F3">
      <w:rPr>
        <w:rStyle w:val="PageNumber"/>
        <w:rFonts w:ascii="Arial" w:hAnsi="Arial" w:cs="Arial"/>
        <w:b/>
      </w:rPr>
      <w:fldChar w:fldCharType="separate"/>
    </w:r>
    <w:r>
      <w:rPr>
        <w:rStyle w:val="PageNumber"/>
        <w:rFonts w:ascii="Arial" w:hAnsi="Arial" w:cs="Arial"/>
        <w:b/>
        <w:noProof/>
      </w:rPr>
      <w:t>2</w:t>
    </w:r>
    <w:r w:rsidRPr="00F605F3">
      <w:rPr>
        <w:rStyle w:val="PageNumber"/>
        <w:rFonts w:ascii="Arial" w:hAnsi="Arial" w:cs="Arial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0D" w:rsidRDefault="009931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70D" w:rsidRDefault="00993143">
      <w:r>
        <w:separator/>
      </w:r>
    </w:p>
  </w:footnote>
  <w:footnote w:type="continuationSeparator" w:id="0">
    <w:p w:rsidR="0079170D" w:rsidRDefault="009931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0D" w:rsidRDefault="009931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0D" w:rsidRDefault="009931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0D" w:rsidRDefault="009931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23061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4B218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6A77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4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37E6E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0E2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2096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C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1A8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0A8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4A3F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29F5E51"/>
    <w:multiLevelType w:val="hybridMultilevel"/>
    <w:tmpl w:val="4E22E88C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2FB60C02"/>
    <w:multiLevelType w:val="hybridMultilevel"/>
    <w:tmpl w:val="C8A63E86"/>
    <w:name w:val="PolicyOutline2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45260C65"/>
    <w:multiLevelType w:val="hybridMultilevel"/>
    <w:tmpl w:val="7EAACF1A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>
    <w:nsid w:val="46A55C8B"/>
    <w:multiLevelType w:val="hybridMultilevel"/>
    <w:tmpl w:val="03CC113A"/>
    <w:name w:val="PolicyOutline22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5">
    <w:nsid w:val="484D636B"/>
    <w:multiLevelType w:val="hybridMultilevel"/>
    <w:tmpl w:val="065A180A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22571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B4C63CA"/>
    <w:multiLevelType w:val="multilevel"/>
    <w:tmpl w:val="CEFE6FCC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609A2FBB"/>
    <w:multiLevelType w:val="multilevel"/>
    <w:tmpl w:val="F7400CA6"/>
    <w:name w:val="PolicyOutline"/>
    <w:lvl w:ilvl="0">
      <w:start w:val="1"/>
      <w:numFmt w:val="decimal"/>
      <w:pStyle w:val="Heading2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432"/>
        </w:tabs>
        <w:ind w:left="1224" w:hanging="792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5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19">
    <w:nsid w:val="75005D31"/>
    <w:multiLevelType w:val="hybridMultilevel"/>
    <w:tmpl w:val="52260D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275FD6"/>
    <w:multiLevelType w:val="hybridMultilevel"/>
    <w:tmpl w:val="C1080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4"/>
  </w:num>
  <w:num w:numId="18">
    <w:abstractNumId w:val="11"/>
  </w:num>
  <w:num w:numId="19">
    <w:abstractNumId w:val="19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0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957"/>
    <w:rsid w:val="0099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be0e3,#62b7be,#38828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77"/>
    <w:rPr>
      <w:sz w:val="24"/>
      <w:szCs w:val="24"/>
    </w:rPr>
  </w:style>
  <w:style w:type="paragraph" w:styleId="Heading1">
    <w:name w:val="heading 1"/>
    <w:next w:val="Normal"/>
    <w:qFormat/>
    <w:rsid w:val="002308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Indent"/>
    <w:qFormat/>
    <w:rsid w:val="00821235"/>
    <w:pPr>
      <w:numPr>
        <w:numId w:val="3"/>
      </w:num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Indent"/>
    <w:qFormat/>
    <w:rsid w:val="0019376A"/>
    <w:pPr>
      <w:numPr>
        <w:ilvl w:val="1"/>
      </w:numPr>
      <w:outlineLvl w:val="2"/>
    </w:pPr>
    <w:rPr>
      <w:bCs/>
      <w:color w:val="000080"/>
      <w:sz w:val="28"/>
      <w:szCs w:val="26"/>
    </w:rPr>
  </w:style>
  <w:style w:type="paragraph" w:styleId="Heading4">
    <w:name w:val="heading 4"/>
    <w:basedOn w:val="Heading3"/>
    <w:next w:val="NormalIndent"/>
    <w:qFormat/>
    <w:rsid w:val="00540DB6"/>
    <w:pPr>
      <w:keepNext w:val="0"/>
      <w:numPr>
        <w:ilvl w:val="2"/>
      </w:numPr>
      <w:outlineLvl w:val="3"/>
    </w:pPr>
    <w:rPr>
      <w:rFonts w:ascii="Times New Roman" w:hAnsi="Times New Roman"/>
      <w:b w:val="0"/>
      <w:bCs w:val="0"/>
      <w:color w:val="auto"/>
      <w:sz w:val="24"/>
      <w:szCs w:val="28"/>
    </w:rPr>
  </w:style>
  <w:style w:type="paragraph" w:styleId="Heading5">
    <w:name w:val="heading 5"/>
    <w:basedOn w:val="Heading4"/>
    <w:next w:val="NormalIndent"/>
    <w:qFormat/>
    <w:rsid w:val="008A150C"/>
    <w:pPr>
      <w:numPr>
        <w:ilvl w:val="3"/>
      </w:numPr>
      <w:outlineLvl w:val="4"/>
    </w:pPr>
    <w:rPr>
      <w:b/>
      <w:bCs/>
      <w:i/>
      <w:iCs w:val="0"/>
      <w:szCs w:val="26"/>
    </w:rPr>
  </w:style>
  <w:style w:type="paragraph" w:styleId="Heading6">
    <w:name w:val="heading 6"/>
    <w:basedOn w:val="Normal"/>
    <w:next w:val="Normal"/>
    <w:qFormat/>
    <w:rsid w:val="00230844"/>
    <w:pPr>
      <w:numPr>
        <w:ilvl w:val="4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0844"/>
    <w:pPr>
      <w:numPr>
        <w:ilvl w:val="5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0844"/>
    <w:pPr>
      <w:numPr>
        <w:ilvl w:val="6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0844"/>
    <w:pPr>
      <w:numPr>
        <w:ilvl w:val="7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aliases w:val="Code Text"/>
    <w:basedOn w:val="Normal"/>
    <w:rsid w:val="002F363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270957"/>
    <w:rPr>
      <w:color w:val="0000FF"/>
      <w:u w:val="single"/>
    </w:rPr>
  </w:style>
  <w:style w:type="paragraph" w:customStyle="1" w:styleId="H2">
    <w:name w:val="H2"/>
    <w:next w:val="NormalIndent"/>
    <w:rsid w:val="002B19EC"/>
    <w:rPr>
      <w:rFonts w:ascii="Arial" w:hAnsi="Arial" w:cs="Arial"/>
      <w:b/>
      <w:iCs/>
      <w:kern w:val="32"/>
      <w:sz w:val="32"/>
      <w:szCs w:val="28"/>
    </w:rPr>
  </w:style>
  <w:style w:type="paragraph" w:styleId="Title">
    <w:name w:val="Title"/>
    <w:basedOn w:val="Normal"/>
    <w:qFormat/>
    <w:rsid w:val="007227D6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customStyle="1" w:styleId="H3">
    <w:name w:val="H3"/>
    <w:next w:val="NormalIndent"/>
    <w:rsid w:val="0019376A"/>
    <w:pPr>
      <w:ind w:left="216"/>
    </w:pPr>
    <w:rPr>
      <w:rFonts w:ascii="Arial" w:hAnsi="Arial" w:cs="Arial"/>
      <w:b/>
      <w:bCs/>
      <w:iCs/>
      <w:color w:val="000080"/>
      <w:kern w:val="32"/>
      <w:sz w:val="28"/>
      <w:szCs w:val="26"/>
    </w:rPr>
  </w:style>
  <w:style w:type="paragraph" w:customStyle="1" w:styleId="H4">
    <w:name w:val="H4"/>
    <w:next w:val="NormalIndent"/>
    <w:rsid w:val="002B19EC"/>
    <w:pPr>
      <w:ind w:left="432"/>
    </w:pPr>
    <w:rPr>
      <w:rFonts w:ascii="Arial" w:hAnsi="Arial" w:cs="Arial"/>
      <w:b/>
      <w:iCs/>
      <w:kern w:val="32"/>
      <w:sz w:val="24"/>
      <w:szCs w:val="28"/>
    </w:rPr>
  </w:style>
  <w:style w:type="paragraph" w:customStyle="1" w:styleId="H5">
    <w:name w:val="H5"/>
    <w:next w:val="NormalIndent"/>
    <w:rsid w:val="00425E77"/>
    <w:pPr>
      <w:ind w:left="648"/>
    </w:pPr>
    <w:rPr>
      <w:rFonts w:ascii="Arial" w:hAnsi="Arial" w:cs="Arial"/>
      <w:bCs/>
      <w:i/>
      <w:kern w:val="32"/>
      <w:sz w:val="24"/>
      <w:szCs w:val="26"/>
    </w:rPr>
  </w:style>
  <w:style w:type="paragraph" w:styleId="BodyText3">
    <w:name w:val="Body Text 3"/>
    <w:basedOn w:val="Normal"/>
    <w:semiHidden/>
    <w:rsid w:val="00FD66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semiHidden/>
    <w:rsid w:val="005B4943"/>
  </w:style>
  <w:style w:type="table" w:styleId="TableGrid">
    <w:name w:val="Table Grid"/>
    <w:basedOn w:val="TableNormal"/>
    <w:rsid w:val="00F33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semiHidden/>
    <w:rsid w:val="00186FE7"/>
    <w:pPr>
      <w:spacing w:after="120"/>
    </w:pPr>
  </w:style>
  <w:style w:type="paragraph" w:styleId="NormalIndent">
    <w:name w:val="Normal Indent"/>
    <w:basedOn w:val="Normal"/>
    <w:link w:val="NormalIndentChar"/>
    <w:rsid w:val="00101ED5"/>
    <w:pPr>
      <w:tabs>
        <w:tab w:val="left" w:pos="432"/>
      </w:tabs>
      <w:ind w:left="432"/>
    </w:pPr>
  </w:style>
  <w:style w:type="paragraph" w:styleId="BodyText2">
    <w:name w:val="Body Text 2"/>
    <w:basedOn w:val="Normal"/>
    <w:semiHidden/>
    <w:rsid w:val="00186FE7"/>
    <w:pPr>
      <w:spacing w:after="120" w:line="480" w:lineRule="auto"/>
    </w:pPr>
  </w:style>
  <w:style w:type="paragraph" w:styleId="BodyTextIndent">
    <w:name w:val="Body Text Indent"/>
    <w:basedOn w:val="Normal"/>
    <w:semiHidden/>
    <w:rsid w:val="00186FE7"/>
    <w:pPr>
      <w:spacing w:after="120"/>
      <w:ind w:left="360"/>
    </w:pPr>
  </w:style>
  <w:style w:type="character" w:styleId="FollowedHyperlink">
    <w:name w:val="FollowedHyperlink"/>
    <w:basedOn w:val="DefaultParagraphFont"/>
    <w:rsid w:val="00EB2565"/>
    <w:rPr>
      <w:color w:val="800080"/>
      <w:u w:val="single"/>
    </w:rPr>
  </w:style>
  <w:style w:type="paragraph" w:styleId="ListNumber4">
    <w:name w:val="List Number 4"/>
    <w:basedOn w:val="Normal"/>
    <w:semiHidden/>
    <w:rsid w:val="00A268C7"/>
    <w:pPr>
      <w:numPr>
        <w:numId w:val="12"/>
      </w:numPr>
    </w:pPr>
  </w:style>
  <w:style w:type="paragraph" w:styleId="Header">
    <w:name w:val="header"/>
    <w:basedOn w:val="Normal"/>
    <w:rsid w:val="003D31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31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31F8"/>
  </w:style>
  <w:style w:type="character" w:customStyle="1" w:styleId="NormalIndentChar">
    <w:name w:val="Normal Indent Char"/>
    <w:basedOn w:val="DefaultParagraphFont"/>
    <w:link w:val="NormalIndent"/>
    <w:rsid w:val="00101ED5"/>
    <w:rPr>
      <w:sz w:val="24"/>
      <w:szCs w:val="24"/>
      <w:lang w:val="en-US" w:eastAsia="en-US" w:bidi="ar-SA"/>
    </w:rPr>
  </w:style>
  <w:style w:type="character" w:styleId="Strong">
    <w:name w:val="Strong"/>
    <w:basedOn w:val="DefaultParagraphFont"/>
    <w:qFormat/>
    <w:rsid w:val="0071145D"/>
    <w:rPr>
      <w:b/>
      <w:bCs/>
    </w:rPr>
  </w:style>
  <w:style w:type="paragraph" w:styleId="FootnoteText">
    <w:name w:val="footnote text"/>
    <w:basedOn w:val="Normal"/>
    <w:semiHidden/>
    <w:rsid w:val="001D2A2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D2A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s.org/resources/policies/Wireless_Communication_Standard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ans.org/resources/policies/Internal_Lab_Security_Polic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ns.org/resources/policies/DMZ_Lab_Security_Policy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744</Words>
  <Characters>4244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Communication Policy</vt:lpstr>
    </vt:vector>
  </TitlesOfParts>
  <Company/>
  <LinksUpToDate>false</LinksUpToDate>
  <CharactersWithSpaces>4979</CharactersWithSpaces>
  <SharedDoc>false</SharedDoc>
  <HLinks>
    <vt:vector size="24" baseType="variant">
      <vt:variant>
        <vt:i4>3932209</vt:i4>
      </vt:variant>
      <vt:variant>
        <vt:i4>9</vt:i4>
      </vt:variant>
      <vt:variant>
        <vt:i4>0</vt:i4>
      </vt:variant>
      <vt:variant>
        <vt:i4>5</vt:i4>
      </vt:variant>
      <vt:variant>
        <vt:lpwstr>http://www.sans.org/resources/policies/Internal_Lab_Security_Policy.pdf</vt:lpwstr>
      </vt:variant>
      <vt:variant>
        <vt:lpwstr/>
      </vt:variant>
      <vt:variant>
        <vt:i4>2228315</vt:i4>
      </vt:variant>
      <vt:variant>
        <vt:i4>6</vt:i4>
      </vt:variant>
      <vt:variant>
        <vt:i4>0</vt:i4>
      </vt:variant>
      <vt:variant>
        <vt:i4>5</vt:i4>
      </vt:variant>
      <vt:variant>
        <vt:lpwstr>http://www.sans.org/resources/policies/DMZ_Lab_Security_Policy.pdf</vt:lpwstr>
      </vt:variant>
      <vt:variant>
        <vt:lpwstr/>
      </vt:variant>
      <vt:variant>
        <vt:i4>3866732</vt:i4>
      </vt:variant>
      <vt:variant>
        <vt:i4>0</vt:i4>
      </vt:variant>
      <vt:variant>
        <vt:i4>0</vt:i4>
      </vt:variant>
      <vt:variant>
        <vt:i4>5</vt:i4>
      </vt:variant>
      <vt:variant>
        <vt:lpwstr>http://www.sans.org/resources/policies/Wireless_Communication_Standard.pdf</vt:lpwstr>
      </vt:variant>
      <vt:variant>
        <vt:lpwstr/>
      </vt:variant>
      <vt:variant>
        <vt:i4>852015</vt:i4>
      </vt:variant>
      <vt:variant>
        <vt:i4>-1</vt:i4>
      </vt:variant>
      <vt:variant>
        <vt:i4>1026</vt:i4>
      </vt:variant>
      <vt:variant>
        <vt:i4>1</vt:i4>
      </vt:variant>
      <vt:variant>
        <vt:lpwstr>books_sq3035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Communication Policy</dc:title>
  <dc:subject/>
  <dc:creator>SEK</dc:creator>
  <cp:keywords/>
  <dc:description/>
  <cp:lastModifiedBy>SEK</cp:lastModifiedBy>
  <cp:revision>2</cp:revision>
  <cp:lastPrinted>2007-08-27T17:55:00Z</cp:lastPrinted>
  <dcterms:created xsi:type="dcterms:W3CDTF">2010-11-15T21:29:00Z</dcterms:created>
  <dcterms:modified xsi:type="dcterms:W3CDTF">2010-11-15T21:29:00Z</dcterms:modified>
</cp:coreProperties>
</file>