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ПРАКТИЧНІ ЗАНЯТТЯ 4–5</w:t>
      </w:r>
    </w:p>
    <w:p>
      <w:pPr>
        <w:spacing w:after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Візуалізація концепції наукового дослідження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дослідження:</w:t>
      </w:r>
    </w:p>
    <w:p>
      <w:pPr>
        <w:spacing w:after="4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«Методична система використання цифрових інструментів GeoGLTF + GeoGebra + Desmos для розвитку просторового та логічного мислення учнів у шкільному курсі математики»</w:t>
      </w:r>
    </w:p>
    <w:p>
      <w:pPr>
        <w:pBdr>
          <w:bottom w:val="single" w:color="BBBBBB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РОЗДІЛ 1. ВІЗУАЛІЗАЦІЯ КЛЮЧОВИХ КОМПОНЕНТІВ ДОСЛІДЖЕННЯ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цьому розділі представлено п'ять різних типів візуалізації, що розкривають теоретичну та практичну основу магістерського дослідження: термінологічний апарат, історичну ретроспективу, структуру предмета, порівняльний аналіз цифрових інструментів та системні взаємозв'язки компонентів методичної системи. Кожна візуалізація супроводжується контекстом з основного тексту роботи та активним посиланням на її інтерактивну версію.</w:t>
      </w:r>
    </w:p>
    <w:p>
      <w:pPr>
        <w:spacing w:after="2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1.1. Хмара слів — термінологічний апарат дослідження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Контекст з роботи (Розділ І):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Просторове мислення — це здатність людини створювати, зберігати, перетворювати і відтворювати у свідомості образи об'єктів у тривимірному просторі. Логічне мислення у математичному контексті — це здатність аналізувати умови задачі, виділяти суттєві зв'язки і відношення, будувати несуперечливі міркування. Методична система спирається на три цифрові інструменти — GeoGLTF, GeoGebra та Desmos — і теоретично обґрунтована моделлю ван Гіле, теорією когнітивного навантаження, семіотичними репрезентаціями Дюваля та концепцією інструментального генезису. Хмара слів унаочнює ключові поняття та терміни, що утворюють термінологічний апарат дослідження.</w:t>
      </w:r>
    </w:p>
    <w:p>
      <w:pPr>
        <w:spacing w:after="80" w:before="80" w:line="3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Посилання на інтерактивну версію: </w:t>
      </w:r>
      <w:hyperlink w:history="1" r:id="rIdk_fhwmxvcazargcfpjn_z">
        <w:r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 w:color="0563C1"/>
          </w:rPr>
          <w:t xml:space="preserve">https://wordart.com/create</w:t>
        </w:r>
      </w:hyperlink>
    </w:p>
    <w:p>
      <w:pPr>
        <w:spacing w:after="200" w:before="60" w:line="30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⚠ Замініть посилання вище на ваше після створення хмари слів на wordart.com / wordcloud.com / wordclouds.com та збереження у хмарі.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1.1. Хмара слів — ключові поняття та термінологічний апарат дослідження</w:t>
      </w:r>
    </w:p>
    <w:p>
      <w:pPr>
        <w:spacing w:after="2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1.2. Хронологічна шкала — еволюція цифрових інструментів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Контекст з роботи (підрозділи 1.2 та 2.3):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Розвиток методики навчання просторовому й логічному мисленню засобами цифрових технологій має тривалу історію. Модель рівнів геометричного мислення, сформульована П. та Д. ван Гіле у 1957 році, досі залишається теоретичною основою для добору навчальних завдань. Появу динамічної геометрії як окремого напряму поклав Cabri Géomètre (1988), згодом — GeoGebra (2001), Desmos (2011) і, нарешті, авторський інструмент GeoGLTF (2024), розроблений у межах цього дослідження. Часова шкала охоплює ключові події у розвитку як теоретичних засад, так і конкретних цифрових інструментів навчання математики.</w:t>
      </w:r>
    </w:p>
    <w:p>
      <w:pPr>
        <w:spacing w:after="80" w:before="80" w:line="3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Посилання на інтерактивну версію: </w:t>
      </w:r>
      <w:hyperlink w:history="1" r:id="rIdna9iculv1gyenmhdsi6hv">
        <w:r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 w:color="0563C1"/>
          </w:rPr>
          <w:t xml:space="preserve">https://time.graphics/</w:t>
        </w:r>
      </w:hyperlink>
    </w:p>
    <w:p>
      <w:pPr>
        <w:spacing w:after="200" w:before="60" w:line="30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⚠ Замініть посилання вище на ваше після створення часової шкали на time.graphics / sutori.com / tline.io.</w:t>
      </w:r>
    </w:p>
    <w:p>
      <w:pPr>
        <w:spacing w:after="80" w:before="120"/>
        <w:jc w:val="center"/>
      </w:pPr>
      <w:r>
        <w:drawing>
          <wp:inline distT="0" distB="0" distL="0" distR="0">
            <wp:extent cx="61245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1.2. Хронологічна шкала еволюції цифрових інструментів і теоретичних засад навчання просторовому й логічному мисленню</w:t>
      </w:r>
    </w:p>
    <w:p>
      <w:pPr>
        <w:spacing w:after="2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1.3. Інтелект-карта — структура предмета дослідження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Контекст з роботи (Вступ, Розділ ІІ):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 дослідження — методична система використання інформаційних технологій для розвитку просторового та логічного мислення учнів. Цю систему утворюють шість взаємопов’язаних компонентів: теоретичні засади (модель ван Гіле, когнітивне навантаження, семіотичні репрезентації, інструментальний генезис, TPACK), цифрові інструменти (GeoGLTF, GeoGebra, Desmos), пріоритетні види мислення (просторове, логічне), педагогічний експеримент у 10–11 класах, чотиривимірна типологія завдань та очікувані результати впровадження. Інтелект-карта візуалізує цю структуру як радіальну схему з центральним поняттям.</w:t>
      </w:r>
    </w:p>
    <w:p>
      <w:pPr>
        <w:spacing w:after="80" w:before="80" w:line="3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Посилання на інтерактивну версію: </w:t>
      </w:r>
      <w:hyperlink w:history="1" r:id="rIdpx2_jxceok1ov13wu7tpm">
        <w:r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 w:color="0563C1"/>
          </w:rPr>
          <w:t xml:space="preserve">https://coggle.it/</w:t>
        </w:r>
      </w:hyperlink>
    </w:p>
    <w:p>
      <w:pPr>
        <w:spacing w:after="200" w:before="60" w:line="30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⚠ Замініть посилання вище на ваше після побудови ментальної карти на coggle.it / mindomo.com / mindmeister.com.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1.3. Інтелект-карта предмета дослідження</w:t>
      </w:r>
    </w:p>
    <w:p>
      <w:pPr>
        <w:spacing w:after="2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1.4. Інфографіка — порівняння трьох цифрових інструментів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Контекст з роботи (підрозділ 2.3 та 3.2):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Критеріальний аналіз трьох обраних інструментів, проведений у підрозділі 2.3, засвідчив, що GeoGLTF, GeoGebra і Desmos утворюють методично взаємодоповнювальну тріаду з чітким розподілом дидактичних ролей. GeoGLTF забезпечує первинне спостереження тривимірних об’єктів з нульовим порогом входу; GeoGebra — динамічне дослідження властивостей многогранників і тіл обертання; Desmos — логічний аналіз числових і функціональних залежностей (обчислення об’ємів і площ поверхонь). Інфографіка унаочнює переваги, обмеження та конкретне застосування кожного інструменту в системі вправ зі стереометрії для 10–11 класів.</w:t>
      </w:r>
    </w:p>
    <w:p>
      <w:pPr>
        <w:spacing w:after="80" w:before="80" w:line="3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Посилання на інтерактивну версію: </w:t>
      </w:r>
      <w:hyperlink w:history="1" r:id="rIdezscmacd3-mvvzo7uwbhz">
        <w:r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 w:color="0563C1"/>
          </w:rPr>
          <w:t xml:space="preserve">https://www.canva.com/</w:t>
        </w:r>
      </w:hyperlink>
    </w:p>
    <w:p>
      <w:pPr>
        <w:spacing w:after="200" w:before="60" w:line="30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⚠ Замініть посилання вище на ваше після створення інфографіки на canva.com / genially.com та публікації для перегляду.</w:t>
      </w:r>
    </w:p>
    <w:p>
      <w:pPr>
        <w:spacing w:after="80" w:before="120"/>
        <w:jc w:val="center"/>
      </w:pPr>
      <w:r>
        <w:drawing>
          <wp:inline distT="0" distB="0" distL="0" distR="0">
            <wp:extent cx="5762625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1.4. Інфографіка — порівняльний аналіз цифрових інструментів методичної системи</w:t>
      </w:r>
    </w:p>
    <w:p>
      <w:pPr>
        <w:spacing w:after="2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1.5. Діаграма — взаємозв'язки компонентів методичної системи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Контекст з роботи (підрозділ 2.4):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Методична система побудована як ланцюг взаємозалежних рівнів: теоретична основа задає критерії добору інструментів; критерії визначають місце кожного з трьох інструментів (GeoGLTF, GeoGebra, Desmos) у системі; інструменти, у поєднанні з чотиривимірною типологією завдань, реалізують чотири етапи дослідницької діяльності — спостереження, гіпотезу, перевірку, аргументацію; ці етапи розвивають два пріоритетні види мислення — просторове і логічне; підсумковим результатом є перехід учнів на вищі рівні геометричного мислення за моделлю ван Гіле. Діаграма унаочнює цю причинно-наслідкову структуру.</w:t>
      </w:r>
    </w:p>
    <w:p>
      <w:pPr>
        <w:spacing w:after="80" w:before="80" w:line="3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Посилання на інтерактивну версію: </w:t>
      </w:r>
      <w:hyperlink w:history="1" r:id="rIdayhbkpr23l0vpzgxfb1wt">
        <w:r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 w:color="0563C1"/>
          </w:rPr>
          <w:t xml:space="preserve">https://app.diagrams.net/</w:t>
        </w:r>
      </w:hyperlink>
    </w:p>
    <w:p>
      <w:pPr>
        <w:spacing w:after="200" w:before="60" w:line="30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⚠ Замініть посилання вище на ваше після створення діаграми на app.diagrams.net (draw.io) / lucid.app / canva.com та публікації.</w:t>
      </w:r>
    </w:p>
    <w:p>
      <w:pPr>
        <w:spacing w:after="80" w:before="120"/>
        <w:jc w:val="center"/>
      </w:pPr>
      <w:r>
        <w:drawing>
          <wp:inline distT="0" distB="0" distL="0" distR="0">
            <wp:extent cx="43243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1.5. Діаграма взаємозв'язків компонентів методичної системи GeoGLTF + GeoGebra + Desmos</w:t>
      </w:r>
    </w:p>
    <w:p>
      <w:pPr>
        <w:pBdr>
          <w:bottom w:val="single" w:color="BBBBBB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РОЗДІЛ 2. SWOT-АНАЛІЗ НАУКОВОГО ДОСЛІДЖЕННЯ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SWOT-аналіз (Strengths, Weaknesses, Opportunities, Threats) — це метод стратегічного оцінювання, який дозволяє системно розглянути внутрішні (сильні та слабкі сторони) і зовнішні (можливості й загрози) фактори, що впливають на реалізацію наукового дослідження. У контексті магістерської роботи SWOT-аналіз слугує інструментом критичної рефлексії над запропонованою методичною системою: він допомагає чесно зафіксувати її сильні сторони, усвідомити обмеження, окреслити перспективи розвитку та передбачити можливі ризики впровадження.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Сильні сторони (S):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Авторський інструмент GeoGLTF з нульовим порогом входу; системне поєднання трьох інструментів з чітким розподілом ролей; теоретична обґрунтованість (ван Гіле, TPACK, когнітивне навантаження); чотиривимірна типологія завдань як проєктна рамка для 9–11 класів; готова система вправ та робочих аркушів зі стереометрії; доступність через браузер без реєстрації.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Слабкі сторони (W):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Обмежена бібліотека 3D-моделей у GeoGLTF (куб, паралелепіпед, піраміда, призма); відсутність функцій вимірювання; залежність від інтернету та пристроїв; експеримент проведено у 10–11 класах (для 9 класу — проєкція); невелика вибірка груп; високі вимоги до TPACK-компетентності вчителя.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Можливості (O):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Розширення бібліотеки GeoGLTF (тіла обертання, перерізи, складні многогранники); адаптація системи для 9 класу (початки стереометрії) та профільних класів; інтеграція AI-помічника як когнітивного тренажера; створення офлайн-версії GeoGLTF; підготовка учнів до НМТ і ДПА засобами цифрової стереометрії; поширення у межах НУШ через методичні центри; кросплатформне використання.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Загрози (T):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Низький рівень цифрової грамотності частини вчителів; брак часу на уроці; перевага механічних дій з ПЗ замість дослідницької діяльності; опір з боку прихильників традиційного навчання; технічні бар'єри (пристрої, інтернет, блокування); розпорошення уваги учнів і ризик надмірного когнітивного навантаження.</w:t>
      </w:r>
    </w:p>
    <w:p>
      <w:pPr>
        <w:spacing w:after="80" w:before="80" w:line="3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Посилання на інтерактивну версію: </w:t>
      </w:r>
      <w:hyperlink w:history="1" r:id="rIdqbnmcwxc_bsrm_ufyyqvq">
        <w:r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 w:color="0563C1"/>
          </w:rPr>
          <w:t xml:space="preserve">https://www.canva.com/</w:t>
        </w:r>
      </w:hyperlink>
    </w:p>
    <w:p>
      <w:pPr>
        <w:spacing w:after="200" w:before="60" w:line="300"/>
        <w:jc w:val="left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⚠ Замініть посилання вище на ваше після створення SWOT-таблиці на canva.com / miro.com / lucid.app та публікації.</w:t>
      </w:r>
    </w:p>
    <w:p>
      <w:pPr>
        <w:spacing w:after="80" w:before="120"/>
        <w:jc w:val="center"/>
      </w:pPr>
      <w:r>
        <w:drawing>
          <wp:inline distT="0" distB="0" distL="0" distR="0">
            <wp:extent cx="6124575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2.1. SWOT-аналіз наукового дослідження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Висновок до Розділу 2: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Проведений SWOT-аналіз показує, що сильні сторони дослідження (теоретична обґрунтованість, авторський інструмент, готова система вправ) переважають над його обмеженнями, а зовнішні можливості (адаптація для 9 класу, підготовка до НМТ і ДПА, інтеграція AI, поширення в межах НУШ) створюють реальні перспективи розвитку запропонованої методичної системи. Виявлені загрози вимагають додаткової роботи з підготовки вчителів та методичного супроводу, що окреслює напрям подальших досліджень.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_fhwmxvcazargcfpjn_z" Type="http://schemas.openxmlformats.org/officeDocument/2006/relationships/hyperlink" Target="https://wordart.com/create" TargetMode="External"/><Relationship Id="rIdna9iculv1gyenmhdsi6hv" Type="http://schemas.openxmlformats.org/officeDocument/2006/relationships/hyperlink" Target="https://time.graphics/" TargetMode="External"/><Relationship Id="rIdpx2_jxceok1ov13wu7tpm" Type="http://schemas.openxmlformats.org/officeDocument/2006/relationships/hyperlink" Target="https://coggle.it/" TargetMode="External"/><Relationship Id="rIdezscmacd3-mvvzo7uwbhz" Type="http://schemas.openxmlformats.org/officeDocument/2006/relationships/hyperlink" Target="https://www.canva.com/" TargetMode="External"/><Relationship Id="rIdayhbkpr23l0vpzgxfb1wt" Type="http://schemas.openxmlformats.org/officeDocument/2006/relationships/hyperlink" Target="https://app.diagrams.net/" TargetMode="External"/><Relationship Id="rIdqbnmcwxc_bsrm_ufyyqvq" Type="http://schemas.openxmlformats.org/officeDocument/2006/relationships/hyperlink" Target="https://www.canva.com/" TargetMode="External"/><Relationship Id="rId7" Type="http://schemas.openxmlformats.org/officeDocument/2006/relationships/image" Target="media/e5a3429e81781d75db143e7b08942e5d61714362.png"/><Relationship Id="rId8" Type="http://schemas.openxmlformats.org/officeDocument/2006/relationships/image" Target="media/efb840ff13130f89e68e8c6e8f5f7cd1c2b50711.png"/><Relationship Id="rId9" Type="http://schemas.openxmlformats.org/officeDocument/2006/relationships/image" Target="media/bf608a01265b9bea3571503a466db2b57bacfa14.png"/><Relationship Id="rId10" Type="http://schemas.openxmlformats.org/officeDocument/2006/relationships/image" Target="media/236401fc6a007849f876376a580a12cb1cd4c302.png"/><Relationship Id="rId11" Type="http://schemas.openxmlformats.org/officeDocument/2006/relationships/image" Target="media/7a3762bb4e8bb0c17867d234027dfb9dc14bb716.png"/><Relationship Id="rId12" Type="http://schemas.openxmlformats.org/officeDocument/2006/relationships/image" Target="media/f0c45cc27a8e4b38c814bc38ff55efb5b933bb5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Практичні 4-5. Візуалізація дослідження</dc:title>
  <dc:creator>Magistar Thesis</dc:creator>
  <dc:description>Візуалізація концепції магістерського дослідження</dc:description>
  <cp:lastModifiedBy>Un-named</cp:lastModifiedBy>
  <cp:revision>1</cp:revision>
  <dcterms:created xsi:type="dcterms:W3CDTF">2026-05-19T07:20:56.653Z</dcterms:created>
  <dcterms:modified xsi:type="dcterms:W3CDTF">2026-05-19T07:20:56.653Z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