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Технології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 - коротка історія та розвиток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 файл, tags, attributes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&lt;head&gt; - всім голова!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Ми оформляємо текст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Додаємо посилання і картинки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DOCTYPE, режими браузерів, кодування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Блокові і рядкові елементи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&lt;div&gt; і &lt;span&gt;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Семантичні теги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Таблиці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Форми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контролю версій GIT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Знайомство з CSS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Типи стилів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Синтаксес властивостей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Селектори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Специфічність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Спадкування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Знайомство з CSS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Типи стилів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Синтаксис властивостей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селектори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Специфічність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Спадкування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Знайомство з CSS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Типи стилів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Синтаксис властивостей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селектори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Специфічність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Спадкування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Знайомство з CSS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Типи стилів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Синтаксис властивостей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селектори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Специфічність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Спадкування• Знайомство з CSS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Типи стилів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Синтаксис властивостей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селектори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Специфічність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Спадкування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Знайомство з CSS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Типи стилів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Синтаксис властивостей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селектори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>
          <w:rFonts w:ascii="Comfortaa" w:cs="Comfortaa" w:eastAsia="Comfortaa" w:hAnsi="Comfortaa"/>
          <w:b w:val="1"/>
          <w:color w:val="ffffff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Специфічність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8"/>
          <w:szCs w:val="48"/>
          <w:rtl w:val="0"/>
        </w:rPr>
        <w:t xml:space="preserve">• Спадкування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