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Структура уроків по JS (факультатив)</w:t>
      </w:r>
    </w:p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1. Введення в JavaScript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чому 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компіляція і інтерпретація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можливості 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чого js в браузері не може зробити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"аналоги" java і flash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Плани розвитку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Надбудови над js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 і консоль online редактори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У чому пишемо код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  <w:t xml:space="preserve">Консолі різних браузерів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основи JavaScript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Hello world!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тег скрипт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внутрішні і зовнішні скрипти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порядок виконання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синхронні / асинхронні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коду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Команди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коментарі в коді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use strict і ES-shim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Змінні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що це таке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правила іменування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 xml:space="preserve">директива 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константи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типи даних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bool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undefined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Object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typeof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Взаємодія з користувачем: alert, prompt, confirm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alert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promt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confirm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Довідники та специфікації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MDN, MSDN, SDL + неофіційні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специфікація ES, HTML, CSS, DOM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Can_i_use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література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2. Оператори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Основи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Бінарний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Унарний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Операнд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Приорітет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Присвоювання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залишок від ділення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++ --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побітові оператори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скорочений запис з присвоєнням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кома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Оператори порівняння і логічні операції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true / false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Порівняння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порівняння рядків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порівняння різних типів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суворе порівняння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null / undefined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Умовні оператори: if, '?'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перетворення до boolean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 else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тернарний оператор?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Логічні оператори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Перетворення типів для примітивів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Cтрочне перетворення.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Числове перетворення.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Перетворення до логічного значення.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3. Цикли , вибірка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Цикли while, for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... while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мітки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конструкція switch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угруповання case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Функції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Функції, return, параметри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функціональні вирази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4.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Функції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Рекурсія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Іменовані функціональні вирази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структури даних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Введення в методи і властивості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Числа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рядки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5. Структури даних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Об'єкти як асоціативні масиви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Об'єкти: перебір властивостей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Об'єкти: передача за посиланням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Масиви c числовими індексами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6. Масив , Функції , Дата,Час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Масиви: методи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методи для перебору масивів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Псевдомасив аргументів «arguments»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Дата і час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