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lang w:val="en-US"/>
        </w:rPr>
      </w:pPr>
      <w:r>
        <w:rPr>
          <w:rFonts w:ascii="Times New Roman" w:hAnsi="Times New Roman"/>
          <w:lang w:val="en-US"/>
        </w:rPr>
      </w:r>
    </w:p>
    <w:p>
      <w:pPr>
        <w:pStyle w:val="Heading1"/>
        <w:rPr>
          <w:lang w:val="en-US"/>
        </w:rPr>
      </w:pPr>
      <w:r>
        <w:rPr>
          <w:lang w:val="en-US"/>
        </w:rPr>
        <w:t>Introduction</w:t>
      </w:r>
    </w:p>
    <w:p>
      <w:pPr>
        <w:pStyle w:val="Normal"/>
        <w:ind w:firstLine="720"/>
        <w:jc w:val="both"/>
        <w:rPr/>
      </w:pPr>
      <w:r>
        <w:rPr>
          <w:rFonts w:ascii="Times New Roman" w:hAnsi="Times New Roman"/>
          <w:b/>
          <w:bCs/>
          <w:lang w:val="en-US"/>
        </w:rPr>
        <w:t xml:space="preserve">Juvenile idiopathic </w:t>
      </w:r>
      <w:r>
        <w:rPr>
          <w:rFonts w:ascii="Times New Roman" w:hAnsi="Times New Roman"/>
          <w:b/>
          <w:bCs/>
          <w:i/>
          <w:iCs/>
          <w:lang w:val="en-US"/>
        </w:rPr>
        <w:t>arthritis</w:t>
      </w:r>
      <w:r>
        <w:rPr>
          <w:rFonts w:ascii="Times New Roman" w:hAnsi="Times New Roman"/>
          <w:b/>
          <w:bCs/>
          <w:lang w:val="en-US"/>
        </w:rPr>
        <w:t xml:space="preserve"> (JIA)</w:t>
      </w:r>
      <w:r>
        <w:rPr>
          <w:rFonts w:ascii="Times New Roman" w:hAnsi="Times New Roman"/>
          <w:lang w:val="en-US"/>
        </w:rPr>
        <w:t xml:space="preserve"> </w:t>
      </w:r>
      <w:r>
        <w:rPr>
          <w:rFonts w:ascii="Times New Roman" w:hAnsi="Times New Roman"/>
          <w:vertAlign w:val="superscript"/>
          <w:lang w:val="en-US"/>
        </w:rPr>
        <w:t>often</w:t>
      </w:r>
      <w:r>
        <w:rPr>
          <w:rFonts w:ascii="Times New Roman" w:hAnsi="Times New Roman"/>
          <w:lang w:val="en-US"/>
        </w:rPr>
        <w:t xml:space="preserve"> causes </w:t>
      </w:r>
      <w:r>
        <w:rPr>
          <w:rFonts w:ascii="Times New Roman" w:hAnsi="Times New Roman"/>
          <w:vertAlign w:val="subscript"/>
          <w:lang w:val="en-US"/>
        </w:rPr>
        <w:t>significant</w:t>
      </w:r>
      <w:r>
        <w:rPr>
          <w:rFonts w:ascii="Times New Roman" w:hAnsi="Times New Roman"/>
          <w:lang w:val="en-US"/>
        </w:rPr>
        <w:t xml:space="preserve"> functional </w:t>
      </w:r>
      <w:r>
        <w:rPr>
          <w:rFonts w:ascii="Times New Roman" w:hAnsi="Times New Roman"/>
          <w:strike/>
          <w:lang w:val="en-US"/>
        </w:rPr>
        <w:t>impairment</w:t>
      </w:r>
      <w:r>
        <w:rPr>
          <w:rFonts w:ascii="Times New Roman" w:hAnsi="Times New Roman"/>
          <w:lang w:val="en-US"/>
        </w:rPr>
        <w:t xml:space="preserve"> throughout the lifespan [1,2]. Medical workers who are aware of the JIA’s clinical course specifics in adolescence can provide better assistance at the transition stage when a patient’s healthcare shifts from a pediatric to an adult health services [3, 4,5]. The patient's transmission is a multidimensional, interdisciplinary and active process, which addresses the medical, socio-psychological and educational/professional needs of adolescents with JIA [6,7,8]. Previous studies have shown that the use of specific questionnaires (CHQ, Peds-QL) don’t allow fully assess psychometric changes in young adults.</w:t>
      </w:r>
      <w:r>
        <w:rPr>
          <w:rFonts w:ascii="Times New Roman" w:hAnsi="Times New Roman"/>
          <w:lang w:val="uk-UA"/>
        </w:rPr>
        <w:t xml:space="preserve"> </w:t>
      </w:r>
      <w:r>
        <w:rPr>
          <w:rFonts w:ascii="Times New Roman" w:hAnsi="Times New Roman"/>
          <w:lang w:val="en-US"/>
        </w:rPr>
        <w:t>In particular, the interpretation of these studies’ results on Peds-QL is limited due to a small sample size [10]. On the contrary, when using HR-QOL, Haverman L. et al. (2011) found significant changes in the quality of life in children and adolescents with JIA [11].</w:t>
      </w:r>
    </w:p>
    <w:p>
      <w:pPr>
        <w:pStyle w:val="Heading2"/>
        <w:rPr/>
      </w:pPr>
      <w:r>
        <w:rPr/>
        <w:t>Heading 2</w:t>
      </w:r>
    </w:p>
    <w:p>
      <w:pPr>
        <w:pStyle w:val="Normal"/>
        <w:numPr>
          <w:ilvl w:val="0"/>
          <w:numId w:val="8"/>
        </w:numPr>
        <w:jc w:val="both"/>
        <w:rPr/>
      </w:pPr>
      <w:r>
        <w:rPr>
          <w:rFonts w:ascii="Times New Roman" w:hAnsi="Times New Roman"/>
          <w:lang w:val="en-US"/>
        </w:rPr>
        <w:t>First</w:t>
      </w:r>
    </w:p>
    <w:p>
      <w:pPr>
        <w:pStyle w:val="Normal"/>
        <w:numPr>
          <w:ilvl w:val="0"/>
          <w:numId w:val="8"/>
        </w:numPr>
        <w:jc w:val="both"/>
        <w:rPr/>
      </w:pPr>
      <w:r>
        <w:rPr>
          <w:rFonts w:ascii="Times New Roman" w:hAnsi="Times New Roman"/>
          <w:lang w:val="en-US"/>
        </w:rPr>
        <w:t>Second</w:t>
      </w:r>
    </w:p>
    <w:p>
      <w:pPr>
        <w:pStyle w:val="Normal"/>
        <w:numPr>
          <w:ilvl w:val="1"/>
          <w:numId w:val="8"/>
        </w:numPr>
        <w:jc w:val="both"/>
        <w:rPr/>
      </w:pPr>
      <w:r>
        <w:rPr>
          <w:rFonts w:ascii="Times New Roman" w:hAnsi="Times New Roman"/>
          <w:lang w:val="en-US"/>
        </w:rPr>
        <w:t>Level 2 First</w:t>
      </w:r>
    </w:p>
    <w:p>
      <w:pPr>
        <w:pStyle w:val="Normal"/>
        <w:numPr>
          <w:ilvl w:val="2"/>
          <w:numId w:val="8"/>
        </w:numPr>
        <w:jc w:val="both"/>
        <w:rPr/>
      </w:pPr>
      <w:r>
        <w:rPr>
          <w:rFonts w:ascii="Times New Roman" w:hAnsi="Times New Roman"/>
          <w:lang w:val="en-US"/>
        </w:rPr>
        <w:t>Level 3 First</w:t>
      </w:r>
    </w:p>
    <w:p>
      <w:pPr>
        <w:pStyle w:val="Normal"/>
        <w:numPr>
          <w:ilvl w:val="2"/>
          <w:numId w:val="8"/>
        </w:numPr>
        <w:jc w:val="both"/>
        <w:rPr/>
      </w:pPr>
      <w:r>
        <w:rPr>
          <w:rFonts w:ascii="Times New Roman" w:hAnsi="Times New Roman"/>
          <w:lang w:val="en-US"/>
        </w:rPr>
        <w:t>Level 3 Second</w:t>
      </w:r>
    </w:p>
    <w:p>
      <w:pPr>
        <w:pStyle w:val="Normal"/>
        <w:numPr>
          <w:ilvl w:val="1"/>
          <w:numId w:val="8"/>
        </w:numPr>
        <w:jc w:val="both"/>
        <w:rPr/>
      </w:pPr>
      <w:r>
        <w:rPr>
          <w:rFonts w:ascii="Times New Roman" w:hAnsi="Times New Roman"/>
          <w:lang w:val="en-US"/>
        </w:rPr>
        <w:t>Level 2 Second</w:t>
      </w:r>
    </w:p>
    <w:p>
      <w:pPr>
        <w:pStyle w:val="Normal"/>
        <w:numPr>
          <w:ilvl w:val="0"/>
          <w:numId w:val="8"/>
        </w:numPr>
        <w:jc w:val="both"/>
        <w:rPr/>
      </w:pPr>
      <w:r>
        <w:rPr>
          <w:rFonts w:ascii="Times New Roman" w:hAnsi="Times New Roman"/>
          <w:lang w:val="en-US"/>
        </w:rPr>
        <w:t>Third</w:t>
      </w:r>
    </w:p>
    <w:p>
      <w:pPr>
        <w:pStyle w:val="Normal"/>
        <w:numPr>
          <w:ilvl w:val="1"/>
          <w:numId w:val="8"/>
        </w:numPr>
        <w:jc w:val="both"/>
        <w:rPr/>
      </w:pPr>
      <w:r>
        <w:rPr>
          <w:rFonts w:ascii="Times New Roman" w:hAnsi="Times New Roman"/>
          <w:lang w:val="en-US"/>
        </w:rPr>
        <w:t>Level 2 Third</w:t>
      </w:r>
    </w:p>
    <w:p>
      <w:pPr>
        <w:pStyle w:val="Normal"/>
        <w:ind w:firstLine="720"/>
        <w:jc w:val="both"/>
        <w:rPr/>
      </w:pPr>
      <w:r>
        <w:rPr>
          <w:rFonts w:ascii="Times New Roman" w:hAnsi="Times New Roman"/>
          <w:lang w:val="en-US"/>
        </w:rPr>
        <w:t>The HAQ</w:t>
      </w:r>
      <w:sdt>
        <w:sdtPr>
          <w:citation/>
        </w:sdtPr>
        <w:sdtContent>
          <w:r>
            <w:rPr/>
            <w:fldChar w:fldCharType="begin"/>
          </w:r>
          <w:r>
            <w:rPr/>
            <w:instrText>CITATION Mor18 \l 1033</w:instrText>
          </w:r>
          <w:r>
            <w:rPr/>
            <w:fldChar w:fldCharType="separate"/>
          </w:r>
          <w:r>
            <w:rPr/>
            <w:t xml:space="preserve"> (Moroz &amp; Bezsheiko, 2018)</w:t>
          </w:r>
          <w:r>
            <w:rPr/>
            <w:fldChar w:fldCharType="end"/>
          </w:r>
        </w:sdtContent>
      </w:sdt>
      <w:r>
        <w:rPr>
          <w:rFonts w:ascii="Times New Roman" w:hAnsi="Times New Roman"/>
          <w:lang w:val="en-US"/>
        </w:rPr>
        <w:t xml:space="preserve"> questionnaire is widely used in clinical practice for the study rheumatic diseases in adults, particularly in rheumatoid arthritis [12]. This questionnaire is a useful tool for evaluation of functional status, its change during treatment </w:t>
      </w:r>
      <w:sdt>
        <w:sdtPr>
          <w:citation/>
        </w:sdtPr>
        <w:sdtContent>
          <w:r>
            <w:rPr/>
            <w:fldChar w:fldCharType="begin"/>
          </w:r>
          <w:r>
            <w:rPr/>
            <w:instrText>CITATION Fra14 \l 1033</w:instrText>
          </w:r>
          <w:r>
            <w:rPr/>
            <w:fldChar w:fldCharType="separate"/>
          </w:r>
          <w:r>
            <w:rPr/>
            <w:t>(Frankova &amp; Semenoga, 2014)</w:t>
          </w:r>
          <w:r>
            <w:rPr/>
            <w:fldChar w:fldCharType="end"/>
          </w:r>
        </w:sdtContent>
      </w:sdt>
      <w:r>
        <w:rPr>
          <w:rFonts w:ascii="Times New Roman" w:hAnsi="Times New Roman"/>
          <w:lang w:val="en-US"/>
        </w:rPr>
        <w:t>. HAQ score is also associated with disease activity, mortality, and need in joint replacement [12, 13]. Most often, for the quality of life (</w:t>
      </w:r>
      <w:r>
        <w:rPr>
          <w:rFonts w:ascii="Times New Roman" w:hAnsi="Times New Roman"/>
          <w:lang w:val="en-US"/>
        </w:rPr>
        <w:t>QoL) assessment in adult patients, the SF-36 questionnaire is used [13]. Indeed, QoL in adulthood may be influenced by sociological, economic, philosophical and ethical factors, which can be less informative in childhood. For patients in the transitional period from pediatric to adult medical care, it is necessary to investigate the effectiveness of various medical examination methods for measuring QoL.</w:t>
      </w:r>
    </w:p>
    <w:p>
      <w:pPr>
        <w:pStyle w:val="Normal"/>
        <w:ind w:firstLine="720"/>
        <w:jc w:val="both"/>
        <w:rPr>
          <w:rFonts w:ascii="Times New Roman" w:hAnsi="Times New Roman"/>
          <w:lang w:val="en-US"/>
        </w:rPr>
      </w:pPr>
      <w:r>
        <w:rPr>
          <w:rFonts w:ascii="Times New Roman" w:hAnsi="Times New Roman"/>
          <w:b/>
          <w:lang w:val="en-US"/>
        </w:rPr>
        <w:t>The study aimed</w:t>
      </w:r>
      <w:r>
        <w:rPr>
          <w:rFonts w:ascii="Times New Roman" w:hAnsi="Times New Roman"/>
          <w:lang w:val="en-US"/>
        </w:rPr>
        <w:t xml:space="preserve"> to determine the impact of the disease on the QoL in young adults with JIA during the transition from a pediatric to an adult healthcare service.  </w:t>
      </w:r>
    </w:p>
    <w:p>
      <w:pPr>
        <w:pStyle w:val="Heading1"/>
        <w:rPr>
          <w:lang w:val="en-US"/>
        </w:rPr>
      </w:pPr>
      <w:r>
        <w:rPr>
          <w:lang w:val="en-US"/>
        </w:rPr>
        <w:t>Materials and methods</w:t>
      </w:r>
    </w:p>
    <w:p>
      <w:pPr>
        <w:pStyle w:val="Heading2"/>
        <w:rPr>
          <w:lang w:val="en-US"/>
        </w:rPr>
      </w:pPr>
      <w:r>
        <w:rPr>
          <w:lang w:val="en-US"/>
        </w:rPr>
        <w:t>materials</w:t>
      </w:r>
    </w:p>
    <w:p>
      <w:pPr>
        <w:pStyle w:val="Normal"/>
        <w:rPr/>
      </w:pPr>
      <w:r>
        <w:rPr>
          <w:rFonts w:ascii="Times New Roman" w:hAnsi="Times New Roman"/>
          <w:lang w:val="en-US"/>
        </w:rPr>
        <w:t xml:space="preserve">A study sample included 89 young people aged 16 to 22 years old with a history of JIA, regardless </w:t>
      </w:r>
      <w:r>
        <w:fldChar w:fldCharType="begin"/>
      </w:r>
      <w:r>
        <w:rPr/>
        <w:instrText>ADDIN ZOTERO_ITEM CSL_CITATION {"citationID":"L0t60cNg","properties":{"formattedCitation":"(1)","plainCitation":"(1)","noteIndex":0},"citationItems":[{"id":2,"uris":["http://zotero.org/users/local/ZKJwPGhC/items/AGGYKWLT"],"uri":["http://zotero.org/users/local/ZKJwPGhC/items/AGGYKWLT"],"itemData":{"id":2,"type":"article-journal","title":"Google and suicides: what can we learn about the use of internet to prevent suicides?","container-title":"Public Health","page":"144-150","volume":"154","source":"ScienceDirect","abstract":"Objectives\nThis article studies the statistical relationship between the search propensity of suicide-related terms on Google and the number of suicides.\nStudy design\nSuicide mortality data from all American states from January 2006 to November 2014 (n = 5372) and data on Google search intensity for the same period was collected.\nMethods\nRegression analysis with dynamic components was performed to determine the relationship between search intensity and the number of suicides.\nResults\nFirst, this article finds a positive simultaneous correlation between search intensity and the number of suicides. The magnitude of this relationship has grown from 2006 to 2014 suggesting an increased reliance on the internet for suicide-related information. Second, search propensity is a significant predictor for the number of suicides for youth and for males.\nConclusions\nSuicide prevention websites should therefore be designed knowing that at-risk individuals in both groups are probably more prone to look for suicide-related information online.","DOI":"10.1016/j.puhe.2017.10.016","ISSN":"0033-3506","shortTitle":"Google and suicides","journalAbbreviation":"Public Health","author":[{"family":"Chandler","given":"V."}],"issued":{"date-parts":[["2018",1,1]]}}}],"schema":"https://github.com/citation-style-language/schema/raw/master/csl-citation.json"}</w:instrText>
      </w:r>
      <w:r>
        <w:rPr/>
        <w:fldChar w:fldCharType="separate"/>
      </w:r>
      <w:bookmarkStart w:id="0" w:name="__Fieldmark__39_3555270522"/>
      <w:r>
        <w:rPr/>
      </w:r>
      <w:r>
        <w:rPr>
          <w:rFonts w:ascii="Times New Roman" w:hAnsi="Times New Roman"/>
          <w:lang w:val="en-US"/>
        </w:rPr>
        <w:t>(</w:t>
      </w:r>
      <w:bookmarkStart w:id="1" w:name="__Fieldmark__39_712766526"/>
      <w:r>
        <w:rPr>
          <w:rFonts w:ascii="Times New Roman" w:hAnsi="Times New Roman"/>
          <w:lang w:val="en-US"/>
        </w:rPr>
        <w:t>1</w:t>
      </w:r>
      <w:bookmarkStart w:id="2" w:name="__Fieldmark__38_2241033896"/>
      <w:r>
        <w:rPr>
          <w:rFonts w:ascii="Times New Roman" w:hAnsi="Times New Roman"/>
          <w:lang w:val="en-US"/>
        </w:rPr>
        <w:t>)</w:t>
      </w:r>
      <w:bookmarkStart w:id="3" w:name="__Fieldmark__32_1225654907"/>
      <w:r>
        <w:rPr/>
      </w:r>
      <w:r>
        <w:rPr/>
        <w:fldChar w:fldCharType="end"/>
      </w:r>
      <w:bookmarkStart w:id="4" w:name="__Fieldmark__50_434484431"/>
      <w:bookmarkStart w:id="5" w:name="__Fieldmark__32_4279585507"/>
      <w:bookmarkEnd w:id="0"/>
      <w:bookmarkEnd w:id="1"/>
      <w:bookmarkEnd w:id="2"/>
      <w:bookmarkEnd w:id="3"/>
      <w:bookmarkEnd w:id="4"/>
      <w:bookmarkEnd w:id="5"/>
      <w:r>
        <w:rPr>
          <w:rFonts w:ascii="Times New Roman" w:hAnsi="Times New Roman"/>
          <w:lang w:val="en-US"/>
        </w:rPr>
        <w:t xml:space="preserve">  of the active inflammation severity at the time of examination and 25  healthy young volunteers that formed the control group. The experimental group comprised of patients from different Ukrainian who were diagnosed with the JIA according to the classification criteria of the International League of Associations for Rheumatology - ILAR [14] between 1984 and 2014 without severe concomitant pathology. Upon reaching adulthood, all patients with JIA were examined by an adult rheumatologist during outpatient visits or inpatient at the Oleksandrivka City Clinical Hospital in Kyiv between April 2015 and February 2017. In the study were analyzed demographic and clinical data, including age, gender, delayed diagnosis of JIA, disease duration, number of swollen joints, limitation of joint mobility, disease activity, erythrocyte sedimentation rate (ESR) and C-reactive protein (CRP). Pain and overall well-being were measured using the visual analogue scale (VAS). The functional status was evaluated using the HAQ questionnaire (Health Survey). Disease activity and the presence of remission were determined according to the American Association of Rheumatologists criteria [15].</w:t>
      </w:r>
    </w:p>
    <w:p>
      <w:pPr>
        <w:pStyle w:val="Heading2"/>
        <w:rPr/>
      </w:pPr>
      <w:r>
        <w:rPr>
          <w:lang w:val="en-US"/>
        </w:rPr>
        <w:t>methods</w:t>
      </w:r>
    </w:p>
    <w:p>
      <w:pPr>
        <w:pStyle w:val="Heading3"/>
        <w:numPr>
          <w:ilvl w:val="2"/>
          <w:numId w:val="3"/>
        </w:numPr>
        <w:rPr/>
      </w:pPr>
      <w:r>
        <w:rPr/>
        <w:t>First Method</w:t>
      </w:r>
    </w:p>
    <w:p>
      <w:pPr>
        <w:pStyle w:val="Normal"/>
        <w:rPr>
          <w:rFonts w:ascii="Times New Roman" w:hAnsi="Times New Roman"/>
          <w:lang w:val="en-US"/>
        </w:rPr>
      </w:pPr>
      <w:r>
        <w:rPr>
          <w:rFonts w:ascii="Times New Roman" w:hAnsi="Times New Roman"/>
          <w:lang w:val="en-US"/>
        </w:rPr>
        <w:t>Additionally, the data regarding current JIA treatment were analyzed, including the use of non-steroidal anti-inflammatory drugs (NSAIDs), glucocorticoids (GCs), methotrexate, leflunomide, hydroxychloroquine, azathioprine and biological therapy (IL-1Ra, anti-TNF agents (etanercept, adalimumab), abatacept and tocilizumab).</w:t>
      </w:r>
    </w:p>
    <w:p>
      <w:pPr>
        <w:pStyle w:val="Normal"/>
        <w:rPr/>
      </w:pPr>
      <w:r>
        <w:rPr>
          <w:rFonts w:ascii="Times New Roman" w:hAnsi="Times New Roman"/>
          <w:lang w:val="en-US"/>
        </w:rPr>
        <w:t>The QoL of patients with JIA and the control group was assessed using the Short-Form-36 questionnaire (SF-36). We used licensed access containing (license No. QM037587) for Non-Profit Academic Research from the Management of Scientific Grants and Research (OGSR) provided by OptumInsight Life Sciences, Inc..</w:t>
      </w:r>
    </w:p>
    <w:p>
      <w:pPr>
        <w:pStyle w:val="Heading3"/>
        <w:numPr>
          <w:ilvl w:val="2"/>
          <w:numId w:val="3"/>
        </w:numPr>
        <w:rPr/>
      </w:pPr>
      <w:r>
        <w:rPr/>
        <w:t>Second Method</w:t>
      </w:r>
    </w:p>
    <w:p>
      <w:pPr>
        <w:pStyle w:val="TextBody"/>
        <w:rPr/>
      </w:pPr>
      <w:r>
        <w:rPr/>
        <w:t>Praesent vitae pretium nisi. Vestibulum vitae nunc quis velit volutpat faucibus. Donec ultrices, enim sit amet maximus tincidunt, massa metus imperdiet mi, id finibus est nisl fermentum nibh. Donec blandit, nunc quis vestibulum fringilla, libero orci varius justo, sit amet malesuada felis elit id nisl. Mauris ornare sollicitudin tellus, in scelerisque ante pharetra a. Suspendisse non odio orci. Pellentesque sem metus, mattis eget vulputate eget, semper ac leo. Lorem ipsum dolor sit amet, consectetur adipiscing elit. Nullam mattis nibh porttitor elit blandit, at ullamcorper neque dapibus.</w:t>
      </w:r>
    </w:p>
    <w:p>
      <w:pPr>
        <w:pStyle w:val="Heading1"/>
        <w:rPr>
          <w:lang w:val="en-US"/>
        </w:rPr>
      </w:pPr>
      <w:r>
        <w:rPr>
          <w:lang w:val="en-US"/>
        </w:rPr>
        <w:t>Statistical analysis</w:t>
      </w:r>
    </w:p>
    <w:p>
      <w:pPr>
        <w:pStyle w:val="Normal"/>
        <w:rPr>
          <w:b/>
          <w:b/>
          <w:lang w:val="en-US"/>
        </w:rPr>
      </w:pPr>
      <w:r>
        <w:rPr>
          <w:lang w:val="en-US"/>
        </w:rPr>
        <w:t>Statistical analysis was performed using descriptive statistics, Student's criteria for unbound variables, and one-way ANOVA dispersion analysis. The data are presented as the mean ± standard deviation (SD) for continuous variables and numbers (percentages) for categorical variables. Statistically significant was the probability value p &lt;0,05. The correlation was determined by the Pearson method for a two-way mixed model. In the analysis, software packages "Statistica 6.0" was used by Copyright StatSoft, Inc. 1984-2001.</w:t>
      </w:r>
    </w:p>
    <w:p>
      <w:pPr>
        <w:pStyle w:val="Heading1"/>
        <w:rPr>
          <w:lang w:val="en-US"/>
        </w:rPr>
      </w:pPr>
      <w:r>
        <w:rPr>
          <w:lang w:val="en-US"/>
        </w:rPr>
        <w:t>Results</w:t>
      </w:r>
    </w:p>
    <w:p>
      <w:pPr>
        <w:pStyle w:val="Normal"/>
        <w:jc w:val="both"/>
        <w:rPr>
          <w:rFonts w:ascii="Times New Roman" w:hAnsi="Times New Roman"/>
          <w:lang w:val="en-US"/>
        </w:rPr>
      </w:pPr>
      <w:r>
        <w:rPr>
          <w:rFonts w:ascii="Times New Roman" w:hAnsi="Times New Roman"/>
          <w:lang w:val="en-US"/>
        </w:rPr>
        <w:t>There was conducted an analysis of demographic and anthropometric data from 89 young patients with JIA and 25 healthy volunteers (Table 1). The mean age of patients was 19.4 ± 1.8 years, which did not significantly differ from the mean age in control group. The average duration of the disease was 8.7 ± 5.1 years and the average age of the disease onset - 10.2 ± 4.9 years. The mean time from the disease’s onset to the diagnosis was estimeated at 15.6 ± 25.9 months.</w:t>
      </w:r>
    </w:p>
    <w:p>
      <w:pPr>
        <w:pStyle w:val="Normal"/>
        <w:jc w:val="both"/>
        <w:rPr>
          <w:rFonts w:ascii="Times New Roman" w:hAnsi="Times New Roman"/>
          <w:lang w:val="en-US"/>
        </w:rPr>
      </w:pPr>
      <w:r>
        <w:rPr>
          <w:rFonts w:ascii="Times New Roman" w:hAnsi="Times New Roman"/>
          <w:lang w:val="en-US"/>
        </w:rPr>
        <w:t>The oligoarthritis form of JIA was diagnosed in 34 patients, including 20 patients with persistent and 14 with common form. The polyarthritis variant was found in 24 patients, from whom 10 had seropositive and 14 had seronegative polyarthritis. Enthesitis-related arthritis and psoriatic arthritis were diagnosed in 18 patients, and systemic JIA - in 13 patients.</w:t>
      </w:r>
    </w:p>
    <w:p>
      <w:pPr>
        <w:pStyle w:val="Normal"/>
        <w:jc w:val="both"/>
        <w:rPr>
          <w:rFonts w:ascii="Times New Roman" w:hAnsi="Times New Roman"/>
          <w:lang w:val="en-US"/>
        </w:rPr>
      </w:pPr>
      <w:r>
        <w:rPr>
          <w:rFonts w:ascii="Times New Roman" w:hAnsi="Times New Roman"/>
          <w:lang w:val="en-US"/>
        </w:rPr>
        <w:t>Most patients (67.4%) had previously received glucocorticoids (GCs) before baseline period, and at the time of observation, only 27% received GCs. 14 patients received only NSAIDs. 75 patients received DMARD, including methotrexate (n=55), plaquenil (n=12), sulfasalazine (n=6), azathioprine (n=2). 23 patients received immunobiological therapy before or at the time of examination; 19 patients were prescribed monoclonal antibodies to the TNF-19 (etanercept - 16 patients, adalimumab - 3 patients), 2 - tocylumizabac, and remaining 2 - rituximab. Remission was diagnosed in 37 (41.6%) patients with a history of JIA.</w:t>
      </w:r>
    </w:p>
    <w:p>
      <w:pPr>
        <w:pStyle w:val="Normal"/>
        <w:jc w:val="center"/>
        <w:rPr>
          <w:rFonts w:ascii="Times New Roman" w:hAnsi="Times New Roman"/>
          <w:lang w:val="en-US"/>
        </w:rPr>
      </w:pPr>
      <w:r>
        <w:rPr>
          <w:rFonts w:ascii="Times New Roman" w:hAnsi="Times New Roman"/>
          <w:lang w:val="en-US"/>
        </w:rPr>
        <w:t>Table 1. Demographic characteristics of patients with JIA.</w:t>
      </w:r>
    </w:p>
    <w:tbl>
      <w:tblPr>
        <w:tblW w:w="82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3828"/>
        <w:gridCol w:w="4446"/>
      </w:tblGrid>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Patients with JIA (n=89)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Sex (M/F)</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41/48 (control group -12/13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 xml:space="preserve">Middle age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bCs/>
                <w:color w:val="000000"/>
                <w:lang w:val="en-US"/>
              </w:rPr>
              <w:t>19.4±1.8 (control group - 20.1±1.9)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Duration of the disease, years</w:t>
            </w:r>
          </w:p>
          <w:p>
            <w:pPr>
              <w:pStyle w:val="Normal"/>
              <w:jc w:val="both"/>
              <w:rPr>
                <w:rFonts w:ascii="Times New Roman" w:hAnsi="Times New Roman"/>
                <w:lang w:val="en-US"/>
              </w:rPr>
            </w:pPr>
            <w:r>
              <w:rPr>
                <w:rFonts w:ascii="Times New Roman" w:hAnsi="Times New Roman"/>
                <w:lang w:val="en-US"/>
              </w:rPr>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8.7</w:t>
            </w:r>
            <w:r>
              <w:rPr>
                <w:rFonts w:eastAsia="Times New Roman" w:ascii="Times New Roman" w:hAnsi="Times New Roman"/>
                <w:bCs/>
                <w:color w:val="000000"/>
                <w:lang w:val="en-US"/>
              </w:rPr>
              <w:t>±5.1</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Age at onset of JIA, years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10.2</w:t>
            </w:r>
            <w:r>
              <w:rPr>
                <w:rFonts w:eastAsia="Times New Roman" w:ascii="Times New Roman" w:hAnsi="Times New Roman"/>
                <w:bCs/>
                <w:color w:val="000000"/>
                <w:lang w:val="en-US"/>
              </w:rPr>
              <w:t>±4.9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Time from onset to the diagnosis, months.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15.6</w:t>
            </w:r>
            <w:r>
              <w:rPr>
                <w:rFonts w:eastAsia="Times New Roman" w:ascii="Times New Roman" w:hAnsi="Times New Roman"/>
                <w:bCs/>
                <w:color w:val="000000"/>
                <w:lang w:val="en-US"/>
              </w:rPr>
              <w:t>±25.9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Persistent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20 (22.5%)</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Common oligoarthritis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10 (11.2%)</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Polyarthritis RF -</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 (15.7%)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rPr>
                <w:rFonts w:ascii="Times New Roman" w:hAnsi="Times New Roman"/>
                <w:lang w:val="en-US"/>
              </w:rPr>
            </w:pPr>
            <w:r>
              <w:rPr>
                <w:rFonts w:ascii="Times New Roman" w:hAnsi="Times New Roman"/>
                <w:lang w:val="en-US"/>
              </w:rPr>
              <w:t>Enthesitis-related arthritis + psoriatic arthritis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18 (16.9%)</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Systemic JIA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13 (14.6%)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GCs took earlier / at the moment</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60 (67.4%)/24 (27%)</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Remission</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37 (41.6%)</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NSAIDs</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14</w:t>
            </w:r>
          </w:p>
        </w:tc>
      </w:tr>
      <w:tr>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eastAsia="Times New Roman" w:ascii="Times New Roman" w:hAnsi="Times New Roman"/>
                <w:lang w:val="en-US" w:eastAsia="ru-RU"/>
              </w:rPr>
              <w:t>DMARD (n=75)</w:t>
            </w:r>
          </w:p>
        </w:tc>
      </w:tr>
      <w:tr>
        <w:trPr>
          <w:trHeight w:val="269"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Methotrexate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55/75</w:t>
            </w:r>
          </w:p>
        </w:tc>
      </w:tr>
      <w:tr>
        <w:trPr>
          <w:trHeight w:val="324"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Plaquenil</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12/75</w:t>
            </w:r>
          </w:p>
        </w:tc>
      </w:tr>
      <w:tr>
        <w:trPr>
          <w:trHeight w:val="311"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Sulfasalazine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6/75</w:t>
            </w:r>
          </w:p>
        </w:tc>
      </w:tr>
      <w:tr>
        <w:trPr>
          <w:trHeight w:val="310" w:hRule="atLeast"/>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Azathioprine</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2/75</w:t>
            </w:r>
          </w:p>
        </w:tc>
      </w:tr>
      <w:tr>
        <w:trPr>
          <w:trHeight w:val="353" w:hRule="atLeast"/>
        </w:trPr>
        <w:tc>
          <w:tcPr>
            <w:tcW w:w="827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Immunobiology (n=23)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Anti-TNF (ETA / ADA))</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19/23 (16/3)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Tocilizumab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r>
        <w:trPr/>
        <w:tc>
          <w:tcPr>
            <w:tcW w:w="38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Rituximab</w:t>
            </w:r>
          </w:p>
        </w:tc>
        <w:tc>
          <w:tcPr>
            <w:tcW w:w="4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both"/>
              <w:rPr>
                <w:rFonts w:ascii="Times New Roman" w:hAnsi="Times New Roman"/>
                <w:lang w:val="en-US"/>
              </w:rPr>
            </w:pPr>
            <w:r>
              <w:rPr>
                <w:rFonts w:ascii="Times New Roman" w:hAnsi="Times New Roman"/>
                <w:lang w:val="en-US"/>
              </w:rPr>
              <w:t>2/23</w:t>
            </w:r>
          </w:p>
        </w:tc>
      </w:tr>
    </w:tbl>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All patients from JIA and control group received quality assessment questionnaires SF-36 and functional status HAQ. The results of the evaluation are presented in Table 2.</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Table 2. Quality of life in young patients with JIA and control group</w:t>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Indexes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Patients with JIA (n=89)</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Control group (n=25)</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p</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patient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ascii="Times New Roman" w:hAnsi="Times New Roman"/>
                <w:lang w:val="en-US"/>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SF- 36</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physical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74.3± 20.9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94.7±8.7</w:t>
            </w:r>
          </w:p>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RF</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64.6±29.9</w:t>
            </w:r>
          </w:p>
        </w:tc>
        <w:tc>
          <w:tcPr>
            <w:tcW w:w="41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b/>
                <w:bCs/>
                <w:color w:val="000000"/>
                <w:lang w:val="en-US"/>
              </w:rPr>
              <w:t>83.8±19.5 0.02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BP</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59.0±24.2</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84.5±21.6</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color w:val="000000"/>
                <w:lang w:val="en-US"/>
              </w:rPr>
              <w:t>0.0002</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GH</w:t>
            </w:r>
          </w:p>
          <w:p>
            <w:pPr>
              <w:pStyle w:val="Normal"/>
              <w:jc w:val="center"/>
              <w:rPr>
                <w:rFonts w:ascii="Times New Roman" w:hAnsi="Times New Roman"/>
                <w:lang w:val="en-US"/>
              </w:rPr>
            </w:pPr>
            <w:r>
              <w:rPr>
                <w:rFonts w:eastAsia="Times New Roman" w:ascii="Times New Roman" w:hAnsi="Times New Roman"/>
                <w:color w:val="000000"/>
                <w:lang w:val="en-US"/>
              </w:rPr>
              <w:t>56.5</w:t>
            </w:r>
            <w:r>
              <w:rPr>
                <w:rFonts w:eastAsia="Times New Roman" w:ascii="Times New Roman" w:hAnsi="Times New Roman"/>
                <w:bCs/>
                <w:color w:val="000000"/>
                <w:lang w:val="en-US"/>
              </w:rPr>
              <w:t>±</w:t>
            </w:r>
            <w:r>
              <w:rPr>
                <w:rFonts w:eastAsia="Times New Roman" w:ascii="Times New Roman" w:hAnsi="Times New Roman"/>
                <w:color w:val="000000"/>
                <w:lang w:val="en-US"/>
              </w:rPr>
              <w:t>22.6</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6" w:name="__DdeLink__815_4279585507"/>
            <w:r>
              <w:rPr>
                <w:rFonts w:eastAsia="Times New Roman" w:ascii="Times New Roman" w:hAnsi="Times New Roman"/>
                <w:color w:val="000000"/>
                <w:lang w:val="en-US"/>
              </w:rPr>
              <w:t>60.1</w:t>
            </w:r>
            <w:r>
              <w:rPr>
                <w:rFonts w:eastAsia="Times New Roman" w:ascii="Times New Roman" w:hAnsi="Times New Roman"/>
                <w:bCs/>
                <w:color w:val="000000"/>
                <w:lang w:val="en-US"/>
              </w:rPr>
              <w:t>±</w:t>
            </w:r>
            <w:r>
              <w:rPr>
                <w:rFonts w:eastAsia="Times New Roman" w:ascii="Times New Roman" w:hAnsi="Times New Roman"/>
                <w:color w:val="000000"/>
                <w:lang w:val="en-US"/>
              </w:rPr>
              <w:t>17.1</w:t>
            </w:r>
            <w:bookmarkEnd w:id="6"/>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0.54</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VT</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58.2</w:t>
            </w:r>
            <w:r>
              <w:rPr>
                <w:rFonts w:eastAsia="Times New Roman" w:ascii="Times New Roman" w:hAnsi="Times New Roman"/>
                <w:bCs/>
                <w:color w:val="000000"/>
                <w:lang w:val="en-US"/>
              </w:rPr>
              <w:t>±</w:t>
            </w:r>
            <w:r>
              <w:rPr>
                <w:rFonts w:eastAsia="Times New Roman" w:ascii="Times New Roman" w:hAnsi="Times New Roman"/>
                <w:color w:val="000000"/>
                <w:lang w:val="en-US"/>
              </w:rPr>
              <w:t>19.1</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59.8</w:t>
            </w:r>
            <w:r>
              <w:rPr>
                <w:rFonts w:eastAsia="Times New Roman" w:ascii="Times New Roman" w:hAnsi="Times New Roman"/>
                <w:bCs/>
                <w:color w:val="000000"/>
                <w:lang w:val="en-US"/>
              </w:rPr>
              <w:t>±</w:t>
            </w:r>
            <w:r>
              <w:rPr>
                <w:rFonts w:eastAsia="Times New Roman" w:ascii="Times New Roman" w:hAnsi="Times New Roman"/>
                <w:color w:val="000000"/>
                <w:lang w:val="en-US"/>
              </w:rPr>
              <w:t>20.0</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0.77</w:t>
            </w:r>
          </w:p>
        </w:tc>
      </w:tr>
      <w:tr>
        <w:trPr/>
        <w:tc>
          <w:tcPr>
            <w:tcW w:w="82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SF-36 psychological indexes</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SF</w:t>
            </w:r>
          </w:p>
        </w:tc>
        <w:tc>
          <w:tcPr>
            <w:tcW w:w="208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bookmarkStart w:id="7" w:name="__DdeLink__823_4279585507"/>
            <w:r>
              <w:rPr>
                <w:rFonts w:eastAsia="Times New Roman" w:ascii="Times New Roman" w:hAnsi="Times New Roman"/>
                <w:color w:val="000000"/>
                <w:lang w:val="en-US"/>
              </w:rPr>
              <w:t>75.8</w:t>
            </w:r>
            <w:bookmarkEnd w:id="7"/>
            <w:r>
              <w:rPr>
                <w:rFonts w:eastAsia="Times New Roman" w:ascii="Times New Roman" w:hAnsi="Times New Roman"/>
                <w:bCs/>
                <w:color w:val="000000"/>
                <w:lang w:val="en-US"/>
              </w:rPr>
              <w:t>±</w:t>
            </w:r>
            <w:r>
              <w:rPr>
                <w:rFonts w:eastAsia="Times New Roman" w:ascii="Times New Roman" w:hAnsi="Times New Roman"/>
                <w:color w:val="000000"/>
                <w:lang w:val="en-US"/>
              </w:rPr>
              <w:t>21.2</w:t>
            </w:r>
          </w:p>
          <w:p>
            <w:pPr>
              <w:pStyle w:val="Normal"/>
              <w:jc w:val="center"/>
              <w:rPr>
                <w:rFonts w:ascii="Times New Roman" w:hAnsi="Times New Roman"/>
                <w:lang w:val="en-US"/>
              </w:rPr>
            </w:pPr>
            <w:r>
              <w:rPr>
                <w:rFonts w:eastAsia="Times New Roman" w:ascii="Times New Roman" w:hAnsi="Times New Roman"/>
                <w:color w:val="000000"/>
                <w:lang w:val="en-US"/>
              </w:rPr>
              <w:t>69.2</w:t>
            </w:r>
            <w:r>
              <w:rPr>
                <w:rFonts w:eastAsia="Times New Roman" w:ascii="Times New Roman" w:hAnsi="Times New Roman"/>
                <w:bCs/>
                <w:color w:val="000000"/>
                <w:lang w:val="en-US"/>
              </w:rPr>
              <w:t>±</w:t>
            </w:r>
            <w:r>
              <w:rPr>
                <w:rFonts w:eastAsia="Times New Roman" w:ascii="Times New Roman" w:hAnsi="Times New Roman"/>
                <w:color w:val="000000"/>
                <w:lang w:val="en-US"/>
              </w:rPr>
              <w:t>33.8</w:t>
            </w:r>
          </w:p>
          <w:p>
            <w:pPr>
              <w:pStyle w:val="Normal"/>
              <w:jc w:val="center"/>
              <w:rPr>
                <w:rFonts w:ascii="Times New Roman" w:hAnsi="Times New Roman"/>
                <w:lang w:val="en-US"/>
              </w:rPr>
            </w:pPr>
            <w:r>
              <w:rPr>
                <w:rFonts w:eastAsia="Times New Roman" w:ascii="Times New Roman" w:hAnsi="Times New Roman"/>
                <w:color w:val="000000"/>
                <w:lang w:val="en-US"/>
              </w:rPr>
              <w:t>69.3</w:t>
            </w:r>
            <w:r>
              <w:rPr>
                <w:rFonts w:eastAsia="Times New Roman" w:ascii="Times New Roman" w:hAnsi="Times New Roman"/>
                <w:bCs/>
                <w:color w:val="000000"/>
                <w:lang w:val="en-US"/>
              </w:rPr>
              <w:t>±</w:t>
            </w:r>
            <w:r>
              <w:rPr>
                <w:rFonts w:eastAsia="Times New Roman" w:ascii="Times New Roman" w:hAnsi="Times New Roman"/>
                <w:color w:val="000000"/>
                <w:lang w:val="en-US"/>
              </w:rPr>
              <w:t>18.6</w:t>
            </w:r>
          </w:p>
          <w:p>
            <w:pPr>
              <w:pStyle w:val="Normal"/>
              <w:jc w:val="center"/>
              <w:rPr>
                <w:rFonts w:ascii="Times New Roman" w:hAnsi="Times New Roman"/>
                <w:b/>
                <w:b/>
                <w:lang w:val="en-US"/>
              </w:rPr>
            </w:pPr>
            <w:bookmarkStart w:id="8" w:name="__DdeLink__827_4279585507"/>
            <w:bookmarkStart w:id="9" w:name="__DdeLink__825_4279585507"/>
            <w:r>
              <w:rPr>
                <w:rFonts w:eastAsia="Times New Roman" w:ascii="Times New Roman" w:hAnsi="Times New Roman"/>
                <w:b/>
                <w:bCs/>
                <w:lang w:val="en-US"/>
              </w:rPr>
              <w:t>46.3±8.7</w:t>
            </w:r>
            <w:bookmarkEnd w:id="8"/>
            <w:bookmarkEnd w:id="9"/>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80.5</w:t>
            </w:r>
            <w:r>
              <w:rPr>
                <w:rFonts w:eastAsia="Times New Roman" w:ascii="Times New Roman" w:hAnsi="Times New Roman"/>
                <w:bCs/>
                <w:color w:val="000000"/>
                <w:lang w:val="en-US"/>
              </w:rPr>
              <w:t>±</w:t>
            </w:r>
            <w:r>
              <w:rPr>
                <w:rFonts w:eastAsia="Times New Roman" w:ascii="Times New Roman" w:hAnsi="Times New Roman"/>
                <w:color w:val="000000"/>
                <w:lang w:val="en-US"/>
              </w:rPr>
              <w:t>18.2</w:t>
            </w:r>
          </w:p>
        </w:tc>
        <w:tc>
          <w:tcPr>
            <w:tcW w:w="206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0.41</w:t>
            </w:r>
          </w:p>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RE</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75.0</w:t>
            </w:r>
            <w:r>
              <w:rPr>
                <w:rFonts w:eastAsia="Times New Roman" w:ascii="Times New Roman" w:hAnsi="Times New Roman"/>
                <w:bCs/>
                <w:color w:val="000000"/>
                <w:lang w:val="en-US"/>
              </w:rPr>
              <w:t>±</w:t>
            </w:r>
            <w:r>
              <w:rPr>
                <w:rFonts w:eastAsia="Times New Roman" w:ascii="Times New Roman" w:hAnsi="Times New Roman"/>
                <w:color w:val="000000"/>
                <w:lang w:val="en-US"/>
              </w:rPr>
              <w:t>26.7</w:t>
            </w:r>
          </w:p>
        </w:tc>
        <w:tc>
          <w:tcPr>
            <w:tcW w:w="20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MH</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68.4</w:t>
            </w:r>
            <w:r>
              <w:rPr>
                <w:rFonts w:eastAsia="Times New Roman" w:ascii="Times New Roman" w:hAnsi="Times New Roman"/>
                <w:bCs/>
                <w:color w:val="000000"/>
                <w:lang w:val="en-US"/>
              </w:rPr>
              <w:t>±</w:t>
            </w:r>
            <w:r>
              <w:rPr>
                <w:rFonts w:eastAsia="Times New Roman" w:ascii="Times New Roman" w:hAnsi="Times New Roman"/>
                <w:color w:val="000000"/>
                <w:lang w:val="en-US"/>
              </w:rPr>
              <w:t>18.9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0.86</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b/>
                <w:b/>
                <w:lang w:val="en-US"/>
              </w:rPr>
            </w:pPr>
            <w:r>
              <w:rPr>
                <w:rFonts w:ascii="Times New Roman" w:hAnsi="Times New Roman"/>
                <w:b/>
                <w:lang w:val="en-US"/>
              </w:rPr>
              <w:t>PCS</w:t>
            </w:r>
          </w:p>
        </w:tc>
        <w:tc>
          <w:tcPr>
            <w:tcW w:w="208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55.7±6.9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b/>
                <w:b/>
                <w:lang w:val="en-US"/>
              </w:rPr>
            </w:pPr>
            <w:r>
              <w:rPr>
                <w:rFonts w:eastAsia="Times New Roman" w:ascii="Times New Roman" w:hAnsi="Times New Roman"/>
                <w:b/>
                <w:bCs/>
                <w:lang w:val="en-US"/>
              </w:rPr>
              <w:t>0.0001</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MCS</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47.0</w:t>
            </w:r>
            <w:r>
              <w:rPr>
                <w:rFonts w:eastAsia="Times New Roman" w:ascii="Times New Roman" w:hAnsi="Times New Roman"/>
                <w:bCs/>
                <w:color w:val="000000"/>
                <w:lang w:val="en-US"/>
              </w:rPr>
              <w:t>±</w:t>
            </w:r>
            <w:r>
              <w:rPr>
                <w:rFonts w:eastAsia="Times New Roman" w:ascii="Times New Roman" w:hAnsi="Times New Roman"/>
                <w:color w:val="000000"/>
                <w:lang w:val="en-US"/>
              </w:rPr>
              <w:t>10.5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45.1</w:t>
            </w:r>
            <w:r>
              <w:rPr>
                <w:rFonts w:eastAsia="Times New Roman" w:ascii="Times New Roman" w:hAnsi="Times New Roman"/>
                <w:bCs/>
                <w:color w:val="000000"/>
                <w:lang w:val="en-US"/>
              </w:rPr>
              <w:t>±</w:t>
            </w:r>
            <w:r>
              <w:rPr>
                <w:rFonts w:eastAsia="Times New Roman" w:ascii="Times New Roman" w:hAnsi="Times New Roman"/>
                <w:color w:val="000000"/>
                <w:lang w:val="en-US"/>
              </w:rPr>
              <w:t>11.7</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lang w:val="en-US"/>
              </w:rPr>
            </w:pPr>
            <w:r>
              <w:rPr>
                <w:rFonts w:eastAsia="Times New Roman" w:ascii="Times New Roman" w:hAnsi="Times New Roman"/>
                <w:color w:val="000000"/>
                <w:lang w:val="en-US"/>
              </w:rPr>
              <w:t>0.52</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eastAsia="Times New Roman" w:ascii="Times New Roman" w:hAnsi="Times New Roman"/>
                <w:color w:val="000000"/>
                <w:lang w:val="en-US"/>
              </w:rPr>
              <w:t>PHQ-9</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5.8 </w:t>
            </w:r>
            <w:r>
              <w:rPr>
                <w:rFonts w:eastAsia="Times New Roman" w:ascii="Times New Roman" w:hAnsi="Times New Roman"/>
                <w:bCs/>
                <w:color w:val="000000"/>
                <w:lang w:val="en-US"/>
              </w:rPr>
              <w:t>±</w:t>
            </w:r>
            <w:r>
              <w:rPr>
                <w:rFonts w:eastAsia="Times New Roman" w:ascii="Times New Roman" w:hAnsi="Times New Roman"/>
                <w:color w:val="000000"/>
                <w:lang w:val="en-US"/>
              </w:rPr>
              <w:t>5.5</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 xml:space="preserve">4.3 </w:t>
            </w:r>
            <w:r>
              <w:rPr>
                <w:rFonts w:eastAsia="Times New Roman" w:ascii="Times New Roman" w:hAnsi="Times New Roman"/>
                <w:bCs/>
                <w:color w:val="000000"/>
                <w:lang w:val="en-US"/>
              </w:rPr>
              <w:t>±</w:t>
            </w:r>
            <w:r>
              <w:rPr>
                <w:rFonts w:eastAsia="Times New Roman" w:ascii="Times New Roman" w:hAnsi="Times New Roman"/>
                <w:color w:val="000000"/>
                <w:lang w:val="en-US"/>
              </w:rPr>
              <w:t>3.1</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0.12</w:t>
            </w:r>
          </w:p>
        </w:tc>
      </w:tr>
    </w:tbl>
    <w:p>
      <w:pPr>
        <w:pStyle w:val="Normal"/>
        <w:jc w:val="both"/>
        <w:rPr/>
      </w:pPr>
      <w:r>
        <w:rPr>
          <w:rFonts w:ascii="Times New Roman" w:hAnsi="Times New Roman"/>
          <w:lang w:val="en-US"/>
        </w:rPr>
        <w:t xml:space="preserve">* Notes: PF - physical functioning; RP - role functioning due to physical condition, BP- pain intensity, GH - general health status, VT - vital activity, SF - social functioning, RE - role function, conditioned by emotional state, MH - mental health, PCS - Physical well-being, </w:t>
      </w:r>
      <w:bookmarkStart w:id="10" w:name="__DdeLink__846_4279585507"/>
      <w:r>
        <w:rPr>
          <w:rFonts w:ascii="Times New Roman" w:hAnsi="Times New Roman"/>
          <w:lang w:val="en-US"/>
        </w:rPr>
        <w:t>PCS - psychological well-being</w:t>
      </w:r>
      <w:bookmarkEnd w:id="10"/>
      <w:r>
        <w:rPr>
          <w:rFonts w:ascii="Times New Roman" w:hAnsi="Times New Roman"/>
          <w:lang w:val="en-US"/>
        </w:rPr>
        <w:t>.</w:t>
      </w:r>
    </w:p>
    <w:p>
      <w:pPr>
        <w:pStyle w:val="Normal"/>
        <w:jc w:val="both"/>
        <w:rPr>
          <w:rFonts w:ascii="Times New Roman" w:hAnsi="Times New Roman"/>
          <w:lang w:val="en-US"/>
        </w:rPr>
      </w:pPr>
      <w:r>
        <w:rPr>
          <w:rFonts w:ascii="Times New Roman" w:hAnsi="Times New Roman"/>
          <w:lang w:val="en-US"/>
        </w:rPr>
      </w:r>
    </w:p>
    <w:p>
      <w:pPr>
        <w:pStyle w:val="Normal"/>
        <w:jc w:val="both"/>
        <w:rPr/>
      </w:pPr>
      <w:r>
        <w:rPr/>
      </w:r>
    </w:p>
    <w:tbl>
      <w:tblPr>
        <w:tblW w:w="829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1" w:val="04a0" w:noHBand="0" w:lastColumn="0" w:firstColumn="1" w:lastRow="0" w:firstRow="1"/>
      </w:tblPr>
      <w:tblGrid>
        <w:gridCol w:w="2065"/>
        <w:gridCol w:w="2080"/>
        <w:gridCol w:w="2079"/>
        <w:gridCol w:w="2065"/>
      </w:tblGrid>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HAQ</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eastAsia="Times New Roman" w:ascii="Times New Roman" w:hAnsi="Times New Roman"/>
                <w:color w:val="000000"/>
                <w:lang w:val="en-US"/>
              </w:rPr>
              <w:t>0.3</w:t>
            </w:r>
            <w:r>
              <w:rPr>
                <w:rFonts w:eastAsia="Times New Roman" w:ascii="Times New Roman" w:hAnsi="Times New Roman"/>
                <w:bCs/>
                <w:color w:val="000000"/>
                <w:lang w:val="en-US"/>
              </w:rPr>
              <w:t>±0.4</w:t>
            </w:r>
          </w:p>
        </w:tc>
        <w:tc>
          <w:tcPr>
            <w:tcW w:w="20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bookmarkStart w:id="11" w:name="__DdeLink__844_4279585507"/>
            <w:r>
              <w:rPr>
                <w:rFonts w:eastAsia="Times New Roman" w:ascii="Times New Roman" w:hAnsi="Times New Roman"/>
                <w:color w:val="000000"/>
                <w:lang w:val="en-US"/>
              </w:rPr>
              <w:t>80.99</w:t>
            </w:r>
            <w:bookmarkEnd w:id="11"/>
            <w:r>
              <w:rPr>
                <w:rFonts w:eastAsia="Times New Roman" w:ascii="Times New Roman" w:hAnsi="Times New Roman"/>
                <w:bCs/>
                <w:color w:val="000000"/>
                <w:lang w:val="en-US"/>
              </w:rPr>
              <w:t>±</w:t>
            </w:r>
            <w:r>
              <w:rPr>
                <w:rFonts w:eastAsia="Times New Roman" w:ascii="Times New Roman" w:hAnsi="Times New Roman"/>
                <w:color w:val="000000"/>
                <w:lang w:val="en-US"/>
              </w:rPr>
              <w:t>18.29</w:t>
            </w:r>
          </w:p>
          <w:p>
            <w:pPr>
              <w:pStyle w:val="Normal"/>
              <w:jc w:val="center"/>
              <w:rPr/>
            </w:pPr>
            <w:bookmarkStart w:id="12" w:name="__DdeLink__842_4279585507"/>
            <w:r>
              <w:rPr>
                <w:rFonts w:eastAsia="Times New Roman" w:ascii="Times New Roman" w:hAnsi="Times New Roman"/>
                <w:color w:val="000000"/>
                <w:lang w:val="en-US"/>
              </w:rPr>
              <w:t>75.99</w:t>
            </w:r>
            <w:bookmarkEnd w:id="12"/>
            <w:r>
              <w:rPr>
                <w:rFonts w:eastAsia="Times New Roman" w:ascii="Times New Roman" w:hAnsi="Times New Roman"/>
                <w:bCs/>
                <w:color w:val="000000"/>
                <w:lang w:val="en-US"/>
              </w:rPr>
              <w:t>±</w:t>
            </w:r>
            <w:r>
              <w:rPr>
                <w:rFonts w:eastAsia="Times New Roman" w:ascii="Times New Roman" w:hAnsi="Times New Roman"/>
                <w:color w:val="000000"/>
                <w:lang w:val="en-US"/>
              </w:rPr>
              <w:t>26.79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34.55</w:t>
            </w:r>
          </w:p>
        </w:tc>
      </w:tr>
      <w:tr>
        <w:trPr/>
        <w:tc>
          <w:tcPr>
            <w:tcW w:w="414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 xml:space="preserve">VAS patient - </w:t>
            </w:r>
            <w:r>
              <w:rPr>
                <w:rFonts w:eastAsia="Times New Roman" w:ascii="Times New Roman" w:hAnsi="Times New Roman"/>
                <w:color w:val="000000"/>
                <w:lang w:val="en-US"/>
              </w:rPr>
              <w:t>34.6</w:t>
            </w:r>
            <w:r>
              <w:rPr>
                <w:rFonts w:eastAsia="Times New Roman" w:ascii="Times New Roman" w:hAnsi="Times New Roman"/>
                <w:bCs/>
                <w:color w:val="000000"/>
                <w:lang w:val="en-US"/>
              </w:rPr>
              <w:t>±</w:t>
            </w:r>
            <w:r>
              <w:rPr>
                <w:rFonts w:eastAsia="Times New Roman" w:ascii="Times New Roman" w:hAnsi="Times New Roman"/>
                <w:color w:val="000000"/>
                <w:lang w:val="en-US"/>
              </w:rPr>
              <w:t>23.3</w:t>
            </w:r>
          </w:p>
        </w:tc>
        <w:tc>
          <w:tcPr>
            <w:tcW w:w="207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32.33</w:t>
            </w:r>
          </w:p>
        </w:tc>
      </w:tr>
      <w:tr>
        <w:trPr/>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pPr>
            <w:r>
              <w:rPr>
                <w:rFonts w:ascii="Times New Roman" w:hAnsi="Times New Roman"/>
                <w:lang w:val="en-US"/>
              </w:rPr>
              <w:t>VAS doctor</w:t>
            </w:r>
          </w:p>
        </w:tc>
        <w:tc>
          <w:tcPr>
            <w:tcW w:w="208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27.9</w:t>
            </w:r>
            <w:r>
              <w:rPr>
                <w:rFonts w:eastAsia="Times New Roman" w:ascii="Times New Roman" w:hAnsi="Times New Roman"/>
                <w:bCs/>
                <w:color w:val="000000"/>
                <w:lang w:val="en-US"/>
              </w:rPr>
              <w:t>±</w:t>
            </w:r>
            <w:r>
              <w:rPr>
                <w:rFonts w:eastAsia="Times New Roman" w:ascii="Times New Roman" w:hAnsi="Times New Roman"/>
                <w:color w:val="000000"/>
                <w:lang w:val="en-US"/>
              </w:rPr>
              <w:t>24.3</w:t>
            </w:r>
          </w:p>
        </w:tc>
        <w:tc>
          <w:tcPr>
            <w:tcW w:w="20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center"/>
              <w:rPr/>
            </w:pPr>
            <w:r>
              <w:rPr>
                <w:rFonts w:eastAsia="Times New Roman" w:ascii="Times New Roman" w:hAnsi="Times New Roman"/>
                <w:color w:val="000000"/>
                <w:lang w:val="en-US"/>
              </w:rPr>
              <w:t>68.99</w:t>
            </w:r>
            <w:r>
              <w:rPr>
                <w:rFonts w:eastAsia="Times New Roman" w:ascii="Times New Roman" w:hAnsi="Times New Roman"/>
                <w:bCs/>
                <w:color w:val="000000"/>
                <w:lang w:val="en-US"/>
              </w:rPr>
              <w:t>±</w:t>
            </w:r>
            <w:r>
              <w:rPr>
                <w:rFonts w:eastAsia="Times New Roman" w:ascii="Times New Roman" w:hAnsi="Times New Roman"/>
                <w:color w:val="000000"/>
                <w:lang w:val="en-US"/>
              </w:rPr>
              <w:t>18.99</w:t>
            </w:r>
          </w:p>
        </w:tc>
        <w:tc>
          <w:tcPr>
            <w:tcW w:w="2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lang w:val="en-US"/>
              </w:rPr>
            </w:pPr>
            <w:r>
              <w:rPr>
                <w:rFonts w:ascii="Times New Roman" w:hAnsi="Times New Roman"/>
                <w:lang w:val="en-US"/>
              </w:rPr>
              <w:t>26.55</w:t>
            </w:r>
          </w:p>
        </w:tc>
      </w:tr>
    </w:tbl>
    <w:p>
      <w:pPr>
        <w:pStyle w:val="Normal"/>
        <w:ind w:firstLine="720"/>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As can be seen from Table 2, patients with JIA had a worse (p&lt;0.001) physical well-being (46.3±8.7) compared with the control group (55.7±6.9). In them, there was a decrease in the indices corresponding to the physical condition (p&lt;0.001), role functioning due to the physical condition (p=0.02), and the intensity of pain (p&lt;0.001), compared with the control group. However, the indicators responsible for psychological well-being in patients with JIA did not differ from the control group.</w:t>
      </w:r>
    </w:p>
    <w:p>
      <w:pPr>
        <w:pStyle w:val="Normal"/>
        <w:jc w:val="both"/>
        <w:rPr>
          <w:rFonts w:ascii="Times New Roman" w:hAnsi="Times New Roman"/>
          <w:lang w:val="en-US"/>
        </w:rPr>
      </w:pPr>
      <w:r>
        <w:rPr>
          <w:rFonts w:ascii="Times New Roman" w:hAnsi="Times New Roman"/>
          <w:lang w:val="en-US"/>
        </w:rPr>
        <w:t>In the analysis of functional activity communication for HAQ (Table 3), there was found a strong negative effect on physical functioning (r = -0.56, p&lt;0.001), a role-based functioning due to physical condition (r = -0.33, p &lt;0.001), pain intensity (r = -0.60, p&lt;0.001), general health (r = -0.40, p = 0.01), vital activity (r = -0.46, p &lt;0.001), social functioning (r = -0.48, p&lt;0.001), and mental health (r = -0.42, p&lt;0.001), as well as in the total score for the physical (p&lt;0.001) and psychological (p&lt;0.05) well-being.</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b/>
          <w:b/>
          <w:lang w:val="en-US"/>
        </w:rPr>
      </w:pPr>
      <w:r>
        <w:rPr>
          <w:rFonts w:ascii="Times New Roman" w:hAnsi="Times New Roman"/>
          <w:lang w:val="en-US"/>
        </w:rPr>
        <w:t>Table 3. Communication of functional activity with quality of life.</w:t>
      </w:r>
    </w:p>
    <w:tbl>
      <w:tblPr>
        <w:tblW w:w="10774" w:type="dxa"/>
        <w:jc w:val="left"/>
        <w:tblInd w:w="-8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noVBand="1" w:val="04a0" w:noHBand="0" w:lastColumn="0" w:firstColumn="1" w:lastRow="0" w:firstRow="1"/>
      </w:tblPr>
      <w:tblGrid>
        <w:gridCol w:w="852"/>
        <w:gridCol w:w="1136"/>
        <w:gridCol w:w="850"/>
        <w:gridCol w:w="1127"/>
        <w:gridCol w:w="858"/>
        <w:gridCol w:w="1132"/>
        <w:gridCol w:w="850"/>
        <w:gridCol w:w="998"/>
        <w:gridCol w:w="1132"/>
        <w:gridCol w:w="884"/>
        <w:gridCol w:w="953"/>
      </w:tblGrid>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rPr>
                <w:rFonts w:ascii="Times New Roman" w:hAnsi="Times New Roman" w:eastAsia="Times New Roman"/>
                <w:lang w:val="en-US"/>
              </w:rPr>
            </w:pPr>
            <w:r>
              <w:rPr>
                <w:rFonts w:eastAsia="Times New Roman" w:ascii="Times New Roman" w:hAnsi="Times New Roman"/>
                <w:lang w:val="en-US"/>
              </w:rPr>
              <w:t> </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PCS</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MCS</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PF</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RF</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BP</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GH</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VT</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SF</w:t>
            </w:r>
          </w:p>
        </w:tc>
        <w:tc>
          <w:tcPr>
            <w:tcW w:w="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RE</w:t>
            </w:r>
          </w:p>
        </w:tc>
        <w:tc>
          <w:tcPr>
            <w:tcW w:w="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jc w:val="center"/>
              <w:rPr>
                <w:rFonts w:ascii="Times New Roman" w:hAnsi="Times New Roman" w:eastAsia="Times New Roman"/>
                <w:color w:val="000000"/>
                <w:lang w:val="en-US"/>
              </w:rPr>
            </w:pPr>
            <w:r>
              <w:rPr>
                <w:rFonts w:eastAsia="Times New Roman" w:ascii="Times New Roman" w:hAnsi="Times New Roman"/>
                <w:color w:val="000000"/>
                <w:lang w:val="en-US"/>
              </w:rPr>
              <w:t>MH</w:t>
            </w:r>
          </w:p>
        </w:tc>
      </w:tr>
      <w:tr>
        <w:trPr>
          <w:trHeight w:val="300"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xml:space="preserve"> </w:t>
            </w:r>
            <w:r>
              <w:rPr>
                <w:rFonts w:eastAsia="Times New Roman" w:ascii="Times New Roman" w:hAnsi="Times New Roman"/>
                <w:color w:val="000000"/>
                <w:lang w:val="en-US"/>
              </w:rPr>
              <w:t>HAQ</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-0.59</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-0.25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-0.56</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-0.32</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-0.60</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-0.40</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-0.48</w:t>
            </w:r>
          </w:p>
        </w:tc>
        <w:tc>
          <w:tcPr>
            <w:tcW w:w="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-0.08</w:t>
            </w:r>
          </w:p>
        </w:tc>
        <w:tc>
          <w:tcPr>
            <w:tcW w:w="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-0.42</w:t>
            </w:r>
          </w:p>
        </w:tc>
      </w:tr>
      <w:tr>
        <w:trPr>
          <w:trHeight w:val="311" w:hRule="atLeast"/>
        </w:trPr>
        <w:tc>
          <w:tcPr>
            <w:tcW w:w="8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rPr>
                <w:rFonts w:ascii="Times New Roman" w:hAnsi="Times New Roman" w:eastAsia="Times New Roman"/>
                <w:color w:val="000000"/>
                <w:lang w:val="en-US"/>
              </w:rPr>
            </w:pPr>
            <w:r>
              <w:rPr>
                <w:rFonts w:eastAsia="Times New Roman" w:ascii="Times New Roman" w:hAnsi="Times New Roman"/>
                <w:color w:val="000000"/>
                <w:lang w:val="en-US"/>
              </w:rPr>
              <w:t> </w:t>
            </w:r>
            <w:r>
              <w:rPr>
                <w:rFonts w:eastAsia="Times New Roman" w:ascii="Times New Roman" w:hAnsi="Times New Roman"/>
                <w:color w:val="000000"/>
                <w:lang w:val="en-US"/>
              </w:rPr>
              <w:t>P</w:t>
            </w:r>
          </w:p>
        </w:tc>
        <w:tc>
          <w:tcPr>
            <w:tcW w:w="11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0.035</w:t>
            </w:r>
          </w:p>
        </w:tc>
        <w:tc>
          <w:tcPr>
            <w:tcW w:w="1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0.006</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0.001</w:t>
            </w:r>
          </w:p>
        </w:tc>
        <w:tc>
          <w:tcPr>
            <w:tcW w:w="9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1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bCs/>
                <w:color w:val="000000"/>
                <w:lang w:val="en-US"/>
              </w:rPr>
            </w:pPr>
            <w:r>
              <w:rPr>
                <w:rFonts w:eastAsia="Times New Roman" w:ascii="Times New Roman" w:hAnsi="Times New Roman"/>
                <w:bCs/>
                <w:color w:val="000000"/>
                <w:lang w:val="en-US"/>
              </w:rPr>
              <w:t>&lt;0.001</w:t>
            </w:r>
          </w:p>
        </w:tc>
        <w:tc>
          <w:tcPr>
            <w:tcW w:w="8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НД</w:t>
            </w:r>
          </w:p>
        </w:tc>
        <w:tc>
          <w:tcPr>
            <w:tcW w:w="9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center"/>
          </w:tcPr>
          <w:p>
            <w:pPr>
              <w:pStyle w:val="Normal"/>
              <w:jc w:val="right"/>
              <w:rPr>
                <w:rFonts w:ascii="Times New Roman" w:hAnsi="Times New Roman" w:eastAsia="Times New Roman"/>
                <w:color w:val="000000"/>
                <w:lang w:val="en-US"/>
              </w:rPr>
            </w:pPr>
            <w:r>
              <w:rPr>
                <w:rFonts w:eastAsia="Times New Roman" w:ascii="Times New Roman" w:hAnsi="Times New Roman"/>
                <w:color w:val="000000"/>
                <w:lang w:val="en-US"/>
              </w:rPr>
              <w:t>&lt;0.001</w:t>
            </w:r>
          </w:p>
        </w:tc>
      </w:tr>
    </w:tbl>
    <w:p>
      <w:pPr>
        <w:pStyle w:val="Normal"/>
        <w:jc w:val="both"/>
        <w:rPr>
          <w:rFonts w:ascii="Times New Roman" w:hAnsi="Times New Roman"/>
          <w:b/>
          <w:b/>
          <w:lang w:val="en-US"/>
        </w:rPr>
      </w:pPr>
      <w:r>
        <w:rPr>
          <w:rFonts w:ascii="Times New Roman" w:hAnsi="Times New Roman"/>
          <w:b/>
          <w:lang w:val="en-US"/>
        </w:rPr>
      </w:r>
    </w:p>
    <w:p>
      <w:pPr>
        <w:pStyle w:val="Normal"/>
        <w:jc w:val="both"/>
        <w:rPr>
          <w:rFonts w:ascii="Times New Roman" w:hAnsi="Times New Roman"/>
          <w:lang w:val="en-US"/>
        </w:rPr>
      </w:pPr>
      <w:r>
        <w:rPr>
          <w:rFonts w:ascii="Times New Roman" w:hAnsi="Times New Roman"/>
          <w:lang w:val="en-US"/>
        </w:rPr>
        <w:t>Figure 1 shows the results of the SF-36 questionnaire for young patients with JIA and those in the control group, where the apparent lower levels of physical health (PCS) (p&lt;0.001), role-based physical functioning are evident) - RF (p&lt;0, 05), pain intensity - BP (p&lt;0.001) and physical functioning - PF (p&lt;0.001) in patients with JIA compared with healthy subjects.</w:t>
      </w:r>
    </w:p>
    <w:p>
      <w:pPr>
        <w:pStyle w:val="Normal"/>
        <w:jc w:val="both"/>
        <w:rPr>
          <w:rFonts w:ascii="Times New Roman" w:hAnsi="Times New Roman"/>
          <w:lang w:val="en-US"/>
        </w:rPr>
      </w:pPr>
      <w:r>
        <w:rPr>
          <w:rFonts w:ascii="Times New Roman" w:hAnsi="Times New Roman"/>
          <w:lang w:val="en-US"/>
        </w:rPr>
      </w:r>
    </w:p>
    <w:p>
      <w:pPr>
        <w:pStyle w:val="Normal"/>
        <w:jc w:val="both"/>
        <w:rPr>
          <w:rFonts w:ascii="Times New Roman" w:hAnsi="Times New Roman"/>
          <w:lang w:val="en-US"/>
        </w:rPr>
      </w:pPr>
      <w:r>
        <w:rPr>
          <w:rFonts w:ascii="Times New Roman" w:hAnsi="Times New Roman"/>
          <w:lang w:val="en-US"/>
        </w:rPr>
        <w:t>Figure 1. Quality of life in young patients with JIA and healthy individuals according to the SF-36 questionnaire.</w:t>
      </w:r>
    </w:p>
    <w:p>
      <w:pPr>
        <w:pStyle w:val="Normal"/>
        <w:jc w:val="both"/>
        <w:rPr>
          <w:rFonts w:ascii="Times New Roman" w:hAnsi="Times New Roman"/>
          <w:lang w:val="en-US"/>
        </w:rPr>
      </w:pPr>
      <w:r>
        <w:rPr/>
        <w:drawing>
          <wp:inline distT="0" distB="0" distL="0" distR="0">
            <wp:extent cx="4568825" cy="274002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jc w:val="both"/>
        <w:rPr>
          <w:rFonts w:ascii="Times New Roman" w:hAnsi="Times New Roman"/>
          <w:lang w:val="en-US"/>
        </w:rPr>
      </w:pPr>
      <w:r>
        <w:rPr>
          <w:rFonts w:ascii="Times New Roman" w:hAnsi="Times New Roman"/>
          <w:lang w:val="en-US"/>
        </w:rPr>
        <w:t>*Notes: * - statistical significance p&lt;0.001, † - statistical significance p=0.05</w:t>
      </w:r>
    </w:p>
    <w:p>
      <w:pPr>
        <w:pStyle w:val="Heading1"/>
        <w:rPr/>
      </w:pPr>
      <w:r>
        <w:rPr>
          <w:lang w:val="en-US"/>
        </w:rPr>
        <w:t>Discussion</w:t>
      </w:r>
    </w:p>
    <w:p>
      <w:pPr>
        <w:pStyle w:val="Heading3"/>
        <w:numPr>
          <w:ilvl w:val="2"/>
          <w:numId w:val="2"/>
        </w:numPr>
        <w:rPr/>
      </w:pPr>
      <w:r>
        <w:rPr/>
        <w:t>Heading 3</w:t>
      </w:r>
    </w:p>
    <w:p>
      <w:pPr>
        <w:pStyle w:val="Normal"/>
        <w:jc w:val="both"/>
        <w:rPr>
          <w:rFonts w:ascii="Times New Roman" w:hAnsi="Times New Roman"/>
          <w:lang w:val="en-US"/>
        </w:rPr>
      </w:pPr>
      <w:r>
        <w:rPr>
          <w:rFonts w:eastAsia="Times New Roman" w:ascii="Times New Roman" w:hAnsi="Times New Roman"/>
          <w:bCs/>
          <w:kern w:val="2"/>
          <w:lang w:val="en-US"/>
        </w:rPr>
        <w:t>As we expected, QoL in patients with JIA was worse than in the control group. Our findings were confirmed by data published earlier that showed a worse QoL in young people with JIA than in the control group of the corresponding age and sex [9, 16, 17, 18, 19, 20, 21]. However, our results in patients with JIA and healthy individuals are different from the data from Wipff J. et al., where authors analyzed data on patients with JIA at the stage of transmission of patients from child to an adult healthcare services during biologic therapy [22]. The SF-36 score for physical and psychological health was less influenced by the JIA in our sample than in previously published studies. These results were quite unexpected because in Ukraine biological therapy is not available for many patients [16, 18, 19, 20, 22]. There are several possible explanations for these results, including:</w:t>
      </w:r>
    </w:p>
    <w:p>
      <w:pPr>
        <w:pStyle w:val="Normal"/>
        <w:numPr>
          <w:ilvl w:val="0"/>
          <w:numId w:val="6"/>
        </w:numPr>
        <w:jc w:val="both"/>
        <w:rPr>
          <w:rFonts w:ascii="Times New Roman" w:hAnsi="Times New Roman"/>
          <w:lang w:val="en-US"/>
        </w:rPr>
      </w:pPr>
      <w:bookmarkStart w:id="13" w:name="__DdeLink__888_1225654907"/>
      <w:r>
        <w:rPr>
          <w:rFonts w:ascii="Times New Roman" w:hAnsi="Times New Roman"/>
          <w:lang w:val="en-US"/>
        </w:rPr>
        <w:t xml:space="preserve">Our patients </w:t>
      </w:r>
      <w:bookmarkEnd w:id="13"/>
      <w:r>
        <w:rPr>
          <w:rFonts w:ascii="Times New Roman" w:hAnsi="Times New Roman"/>
          <w:lang w:val="en-US"/>
        </w:rPr>
        <w:t>often received GCs, which reduced the activity of the disease.</w:t>
      </w:r>
    </w:p>
    <w:p>
      <w:pPr>
        <w:pStyle w:val="Normal"/>
        <w:numPr>
          <w:ilvl w:val="0"/>
          <w:numId w:val="6"/>
        </w:numPr>
        <w:jc w:val="both"/>
        <w:rPr>
          <w:lang w:val="en-US"/>
        </w:rPr>
      </w:pPr>
      <w:r>
        <w:rPr>
          <w:rFonts w:ascii="Times New Roman" w:hAnsi="Times New Roman"/>
          <w:lang w:val="en-US"/>
        </w:rPr>
        <w:t>Our sample included not only patients with JIA in the active phase that needed constant observation but also those who were in complete clinical remission and did not require medical therapy.</w:t>
      </w:r>
    </w:p>
    <w:p>
      <w:pPr>
        <w:pStyle w:val="Normal"/>
        <w:numPr>
          <w:ilvl w:val="1"/>
          <w:numId w:val="6"/>
        </w:numPr>
        <w:jc w:val="both"/>
        <w:rPr/>
      </w:pPr>
      <w:r>
        <w:rPr>
          <w:rFonts w:ascii="Times New Roman" w:hAnsi="Times New Roman"/>
          <w:lang w:val="en-US"/>
        </w:rPr>
        <w:t>Nested List item 1</w:t>
      </w:r>
    </w:p>
    <w:p>
      <w:pPr>
        <w:pStyle w:val="Normal"/>
        <w:numPr>
          <w:ilvl w:val="1"/>
          <w:numId w:val="6"/>
        </w:numPr>
        <w:jc w:val="both"/>
        <w:rPr/>
      </w:pPr>
      <w:r>
        <w:rPr>
          <w:rFonts w:ascii="Times New Roman" w:hAnsi="Times New Roman"/>
          <w:lang w:val="en-US"/>
        </w:rPr>
        <w:t>Nested List item 2</w:t>
      </w:r>
    </w:p>
    <w:p>
      <w:pPr>
        <w:pStyle w:val="Normal"/>
        <w:widowControl w:val="false"/>
        <w:numPr>
          <w:ilvl w:val="0"/>
          <w:numId w:val="5"/>
        </w:numPr>
        <w:spacing w:before="0" w:after="240"/>
        <w:jc w:val="both"/>
        <w:rPr>
          <w:rFonts w:ascii="Times New Roman" w:hAnsi="Times New Roman"/>
          <w:lang w:val="en-US"/>
        </w:rPr>
      </w:pPr>
      <w:r>
        <w:rPr>
          <w:rFonts w:ascii="Times New Roman" w:hAnsi="Times New Roman"/>
          <w:lang w:val="en-US"/>
        </w:rPr>
        <w:t>Our results confirmed that JIA's greatest impact was on "physical functioning" and "pain intensity," which are parts of the physical well-being SF-36 factor. Thus, JIA has a greater impact on physical health than on the mental health of patients, which corresponds to scientific data [16, 18, 19, 20, 23, 24].</w:t>
      </w:r>
    </w:p>
    <w:p>
      <w:pPr>
        <w:pStyle w:val="Normal"/>
        <w:widowControl w:val="false"/>
        <w:spacing w:before="0" w:after="240"/>
        <w:jc w:val="both"/>
        <w:rPr>
          <w:rFonts w:ascii="Times New Roman" w:hAnsi="Times New Roman"/>
          <w:lang w:val="en-US"/>
        </w:rPr>
      </w:pPr>
      <w:r>
        <w:rPr>
          <w:rFonts w:ascii="Times New Roman" w:hAnsi="Times New Roman"/>
          <w:lang w:val="en-US"/>
        </w:rPr>
        <w:t>There is evidence of a negative relationship between QoL and the duration of the disease by the results of work by Minden K. et al. [25]. Foster et al. also noted this tendency in patients with JIA [16]. However, in our study, we did not detect the effect of the duration of the disease on the QoL indicators, although we observed the negative correlation between functional activity limitation and all components of the QoL according to the SF-36 as established, and in the previous work [1] we have shown that QoL depends on the X-ray definite degree of JIA’s progression .</w:t>
      </w:r>
    </w:p>
    <w:p>
      <w:pPr>
        <w:pStyle w:val="Normal"/>
        <w:widowControl w:val="false"/>
        <w:spacing w:before="0" w:after="240"/>
        <w:jc w:val="both"/>
        <w:rPr>
          <w:rFonts w:ascii="Times New Roman" w:hAnsi="Times New Roman"/>
          <w:lang w:val="en-US"/>
        </w:rPr>
      </w:pPr>
      <w:r>
        <w:rPr>
          <w:rFonts w:ascii="Times New Roman" w:hAnsi="Times New Roman"/>
          <w:lang w:val="en-US"/>
        </w:rPr>
        <w:t>Since our study showed that physical activity is most strongly affected by pain intensity, treatment with JIA should not be directed solely at the fight against inflammation through the use of NSAIDs. It is advisable to use analgesics and procedures for severe pain, including physiotherapy and/or hypnosis [26].</w:t>
      </w:r>
    </w:p>
    <w:p>
      <w:pPr>
        <w:pStyle w:val="Normal"/>
        <w:widowControl w:val="false"/>
        <w:spacing w:before="0" w:after="240"/>
        <w:jc w:val="both"/>
        <w:rPr>
          <w:rFonts w:ascii="Times New Roman" w:hAnsi="Times New Roman"/>
          <w:lang w:val="en-US"/>
        </w:rPr>
      </w:pPr>
      <w:r>
        <w:rPr>
          <w:rFonts w:ascii="Times New Roman" w:hAnsi="Times New Roman"/>
          <w:lang w:val="en-US"/>
        </w:rPr>
        <w:t>Patients with JIA may also have a low QoL while in remission. In our study, it was found that 3 out of 33 patients in the remission stage had a low physical well-being. In 5 out of 33 patients - a low level of mental well-being. These data coincide with the results of the study [22], in which 8/38 patients with JIA in the remission stage had a low physical well-being.</w:t>
      </w:r>
    </w:p>
    <w:p>
      <w:pPr>
        <w:pStyle w:val="Normal"/>
        <w:widowControl w:val="false"/>
        <w:spacing w:before="0" w:after="240"/>
        <w:jc w:val="both"/>
        <w:rPr>
          <w:rFonts w:ascii="Times New Roman" w:hAnsi="Times New Roman"/>
          <w:lang w:val="en-US"/>
        </w:rPr>
      </w:pPr>
      <w:r>
        <w:rPr>
          <w:rFonts w:ascii="Times New Roman" w:hAnsi="Times New Roman"/>
          <w:lang w:val="en-US"/>
        </w:rPr>
        <w:t>Our study has some limitations. First, our study had cross-sectional design study that limited the assessment of the natural course and QoL prognostic factors of the JIA. Second, data on the educational and socio-economic status of patients with JIA and their parents have not been collected. These factors may influence SF-36 results. Previous studies have shown that psychological factors, therapies, geographical origin, and socioeconomic differences can have an effect on pain in the JIA [27, 28]. Third, we did not evaluate the effect of treatment on QoL, especially on biological therapy, although a number of studies have shown that QoL with JIA is improved against the background of biological therapy [29, 30].</w:t>
      </w:r>
    </w:p>
    <w:p>
      <w:pPr>
        <w:pStyle w:val="Normal"/>
        <w:widowControl w:val="false"/>
        <w:spacing w:before="0" w:after="240"/>
        <w:jc w:val="both"/>
        <w:rPr>
          <w:rFonts w:ascii="Times New Roman" w:hAnsi="Times New Roman"/>
          <w:lang w:val="en-US"/>
        </w:rPr>
      </w:pPr>
      <w:r>
        <w:rPr>
          <w:rFonts w:ascii="Times New Roman" w:hAnsi="Times New Roman"/>
          <w:lang w:val="en-US"/>
        </w:rPr>
        <w:t>Our research also has the strengths:</w:t>
      </w:r>
    </w:p>
    <w:p>
      <w:pPr>
        <w:pStyle w:val="Normal"/>
        <w:widowControl w:val="false"/>
        <w:numPr>
          <w:ilvl w:val="0"/>
          <w:numId w:val="7"/>
        </w:numPr>
        <w:spacing w:before="0" w:after="240"/>
        <w:jc w:val="both"/>
        <w:rPr/>
      </w:pPr>
      <w:r>
        <w:rPr>
          <w:rFonts w:ascii="Times New Roman" w:hAnsi="Times New Roman"/>
          <w:lang w:val="en-US"/>
        </w:rPr>
        <w:t>The experimental group consisted of patients with JIA that met the criteria for ILAR in the transition period.</w:t>
      </w:r>
    </w:p>
    <w:p>
      <w:pPr>
        <w:pStyle w:val="Normal"/>
        <w:widowControl w:val="false"/>
        <w:numPr>
          <w:ilvl w:val="0"/>
          <w:numId w:val="7"/>
        </w:numPr>
        <w:spacing w:before="0" w:after="240"/>
        <w:jc w:val="both"/>
        <w:rPr/>
      </w:pPr>
      <w:r>
        <w:rPr>
          <w:rFonts w:ascii="Times New Roman" w:hAnsi="Times New Roman"/>
          <w:lang w:val="en-US"/>
        </w:rPr>
        <w:t>The results of evaluation were compared with the control groups comprised of healthy individuals.</w:t>
      </w:r>
    </w:p>
    <w:p>
      <w:pPr>
        <w:pStyle w:val="Normal"/>
        <w:widowControl w:val="false"/>
        <w:numPr>
          <w:ilvl w:val="0"/>
          <w:numId w:val="7"/>
        </w:numPr>
        <w:spacing w:before="0" w:after="240"/>
        <w:jc w:val="both"/>
        <w:rPr/>
      </w:pPr>
      <w:r>
        <w:rPr>
          <w:rFonts w:ascii="Times New Roman" w:hAnsi="Times New Roman"/>
          <w:lang w:val="en-US"/>
        </w:rPr>
        <w:t>This is the first study in Ukraine that included biologic therapy as a potential factor affecting QoL in the transition period.</w:t>
      </w:r>
    </w:p>
    <w:p>
      <w:pPr>
        <w:pStyle w:val="Heading1"/>
        <w:rPr>
          <w:rFonts w:eastAsia="MS Mincho"/>
          <w:lang w:val="en-US"/>
        </w:rPr>
      </w:pPr>
      <w:r>
        <w:rPr>
          <w:rFonts w:eastAsia="MS Mincho"/>
          <w:lang w:val="en-US"/>
        </w:rPr>
        <w:t>Conclusion</w:t>
      </w:r>
    </w:p>
    <w:p>
      <w:pPr>
        <w:pStyle w:val="Normal"/>
        <w:rPr>
          <w:lang w:val="en-US"/>
        </w:rPr>
      </w:pPr>
      <w:r>
        <w:rPr>
          <w:lang w:val="en-US"/>
        </w:rPr>
        <w:t>Juvenile idiopathic arthritis had the greatest influence during the transition from pediatric to adult rheumatological service to a physical functioning and pain intensity on SF-36 physical well-being scale. It indicates a greater effect of the disease on the physical than on the mental health in patients with JIA.</w:t>
      </w:r>
    </w:p>
    <w:p>
      <w:pPr>
        <w:pStyle w:val="Heading1"/>
        <w:rPr>
          <w:lang w:val="en-US"/>
        </w:rPr>
      </w:pPr>
      <w:r>
        <w:rPr>
          <w:lang w:val="en-US"/>
        </w:rPr>
        <w:t>Another conclusion</w:t>
      </w:r>
    </w:p>
    <w:p>
      <w:pPr>
        <w:pStyle w:val="Normal"/>
        <w:rPr/>
      </w:pPr>
      <w:r>
        <w:rPr/>
        <w:t>Звичаний</w:t>
      </w:r>
      <w:r>
        <w:rPr>
          <w:lang w:val="en-US"/>
        </w:rPr>
        <w:t xml:space="preserve"> </w:t>
      </w:r>
      <w:r>
        <w:rPr/>
        <w:t>текст</w:t>
      </w:r>
      <w:r>
        <w:rPr>
          <w:lang w:val="en-US"/>
        </w:rPr>
        <w:t xml:space="preserve"> </w:t>
      </w:r>
      <w:r>
        <w:rPr/>
        <w:t>тут</w:t>
      </w:r>
      <w:r>
        <w:rPr>
          <w:lang w:val="en-US"/>
        </w:rPr>
        <w:t>.</w:t>
      </w:r>
    </w:p>
    <w:p>
      <w:pPr>
        <w:pStyle w:val="Normal"/>
        <w:rPr>
          <w:lang w:val="en-US"/>
        </w:rPr>
      </w:pPr>
      <w:r>
        <w:rPr>
          <w:lang w:val="en-US"/>
        </w:rPr>
      </w:r>
    </w:p>
    <w:p>
      <w:pPr>
        <w:pStyle w:val="Bibliography"/>
        <w:rPr>
          <w:lang w:val="en-US"/>
        </w:rPr>
      </w:pPr>
      <w:r>
        <w:rPr/>
        <w:t>References</w:t>
      </w:r>
    </w:p>
    <w:p>
      <w:pPr>
        <w:pStyle w:val="Bibliography"/>
        <w:numPr>
          <w:ilvl w:val="0"/>
          <w:numId w:val="4"/>
        </w:numPr>
        <w:rPr>
          <w:rFonts w:ascii="Times New Roman" w:hAnsi="Times New Roman"/>
          <w:lang w:val="en-US"/>
        </w:rPr>
      </w:pPr>
      <w:r>
        <w:rPr>
          <w:rFonts w:ascii="Times New Roman" w:hAnsi="Times New Roman"/>
          <w:lang w:val="en-US"/>
        </w:rPr>
        <w:t>Dzhus MB. Psycho-emotional condition of young adults with juvenile idiopathic arthritis.</w:t>
      </w:r>
      <w:r>
        <w:rPr>
          <w:rFonts w:ascii="Times New Roman" w:hAnsi="Times New Roman"/>
          <w:bCs/>
          <w:lang w:val="en-US"/>
        </w:rPr>
        <w:t xml:space="preserve"> Acta Medica Leopoliensia. </w:t>
      </w:r>
      <w:r>
        <w:rPr>
          <w:rFonts w:ascii="Times New Roman" w:hAnsi="Times New Roman"/>
          <w:lang w:val="en-US"/>
        </w:rPr>
        <w:t>2017; 23 (1-2): 44-51.</w:t>
      </w:r>
    </w:p>
    <w:p>
      <w:pPr>
        <w:pStyle w:val="Bibliography"/>
        <w:numPr>
          <w:ilvl w:val="0"/>
          <w:numId w:val="4"/>
        </w:numPr>
        <w:rPr/>
      </w:pPr>
      <w:r>
        <w:rPr>
          <w:rFonts w:ascii="Times New Roman" w:hAnsi="Times New Roman"/>
          <w:lang w:val="en-US"/>
        </w:rPr>
        <w:t xml:space="preserve">Hersh A, Scheven E, Yelin E. Adult outcome of childhood-onset rheumatic diseases. Nat Rev Rheumatol. 2011;7(5):290-295. DOI: </w:t>
      </w:r>
      <w:hyperlink r:id="rId3">
        <w:r>
          <w:rPr>
            <w:rStyle w:val="InternetLink"/>
            <w:rFonts w:ascii="Times New Roman" w:hAnsi="Times New Roman"/>
            <w:lang w:val="en-US"/>
          </w:rPr>
          <w:t>https://doi.org/10.1038/nrrheum.2011.38</w:t>
        </w:r>
      </w:hyperlink>
      <w:r>
        <w:rPr>
          <w:rFonts w:ascii="Times New Roman" w:hAnsi="Times New Roman"/>
          <w:lang w:val="en-US"/>
        </w:rPr>
        <w:t xml:space="preserve"> PMID: </w:t>
      </w:r>
      <w:hyperlink r:id="rId4">
        <w:r>
          <w:rPr>
            <w:rStyle w:val="InternetLink"/>
            <w:rFonts w:ascii="Times New Roman" w:hAnsi="Times New Roman"/>
            <w:lang w:val="en-US"/>
          </w:rPr>
          <w:t>https://www.ncbi.nlm.nih.gov/pubmed/21487383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Scal P, Horvath K, Garwick A. Preparing for adulthood: health care transition counseling for youth with arthritis. Arthritis Rheum. 2009;61(1):52-57. DOI: </w:t>
      </w:r>
      <w:hyperlink r:id="rId5">
        <w:r>
          <w:rPr>
            <w:rStyle w:val="InternetLink"/>
            <w:rFonts w:ascii="Times New Roman" w:hAnsi="Times New Roman"/>
            <w:lang w:val="en-US"/>
          </w:rPr>
          <w:t>https://doi.org/10.1002/art.24088</w:t>
        </w:r>
      </w:hyperlink>
      <w:r>
        <w:rPr>
          <w:rFonts w:ascii="Times New Roman" w:hAnsi="Times New Roman"/>
          <w:lang w:val="en-US"/>
        </w:rPr>
        <w:t xml:space="preserve"> PMID: </w:t>
      </w:r>
      <w:hyperlink r:id="rId6">
        <w:r>
          <w:rPr>
            <w:rStyle w:val="InternetLink"/>
            <w:rFonts w:ascii="Times New Roman" w:hAnsi="Times New Roman"/>
            <w:lang w:val="en-US"/>
          </w:rPr>
          <w:t>https://www.ncbi.nlm.nih.gov/pubmed/19116976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Ammerlaan JW, Scholtus LW, Bijlsma HJ, Prakken BJ, Kruize AA. An urge for change: transitional care for young adults with juvenile idiopathic arthritis. Patient Educ Couns. 2013;92(1):127–129. DOI: </w:t>
      </w:r>
      <w:hyperlink r:id="rId7">
        <w:r>
          <w:rPr>
            <w:rStyle w:val="InternetLink"/>
            <w:rFonts w:ascii="Times New Roman" w:hAnsi="Times New Roman"/>
            <w:lang w:val="en-US"/>
          </w:rPr>
          <w:t>https://doi.org/10.1016/j.pec.2013.02.006</w:t>
        </w:r>
      </w:hyperlink>
      <w:r>
        <w:rPr>
          <w:rFonts w:ascii="Times New Roman" w:hAnsi="Times New Roman"/>
          <w:lang w:val="en-US"/>
        </w:rPr>
        <w:t xml:space="preserve"> PMID: </w:t>
      </w:r>
      <w:hyperlink r:id="rId8">
        <w:r>
          <w:rPr>
            <w:rStyle w:val="InternetLink"/>
            <w:rFonts w:ascii="Times New Roman" w:hAnsi="Times New Roman"/>
            <w:lang w:val="en-US"/>
          </w:rPr>
          <w:t>https://www.ncbi.nlm.nih.gov/pubmed/23490174</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Wells CK, McMorris BJ, Horvath KJ, Garwick AW, Scal PB. Youth report of healthcare transition counseling and autonomy support from their rheumatologist. Pediatr Rheumatol Online J. 2012;10:36. DOI: </w:t>
      </w:r>
      <w:hyperlink r:id="rId9">
        <w:r>
          <w:rPr>
            <w:rStyle w:val="InternetLink"/>
            <w:rFonts w:ascii="Times New Roman" w:hAnsi="Times New Roman"/>
            <w:lang w:val="en-US"/>
          </w:rPr>
          <w:t>https://doi.org/10.1186/1546-0096-10-36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Shaw KL, Southwood TR, McDonagh JE. User perspectives of transitional care for adolescents with juvenile idiopathic arthritis. Rheumatology. 2004;43(6):770–778. </w:t>
      </w:r>
      <w:hyperlink r:id="rId10">
        <w:r>
          <w:rPr>
            <w:rStyle w:val="InternetLink"/>
            <w:rFonts w:ascii="Times New Roman" w:hAnsi="Times New Roman"/>
            <w:lang w:val="en-US"/>
          </w:rPr>
          <w:t>https://doi.org/10.1093/rheumatology/keh175</w:t>
        </w:r>
      </w:hyperlink>
      <w:r>
        <w:rPr>
          <w:rFonts w:ascii="Times New Roman" w:hAnsi="Times New Roman"/>
          <w:lang w:val="en-US"/>
        </w:rPr>
        <w:t xml:space="preserve"> PMID: </w:t>
      </w:r>
      <w:hyperlink r:id="rId11">
        <w:r>
          <w:rPr>
            <w:rStyle w:val="InternetLink"/>
            <w:rFonts w:ascii="Times New Roman" w:hAnsi="Times New Roman"/>
            <w:lang w:val="en-US"/>
          </w:rPr>
          <w:t>https://www.ncbi.nlm.nih.gov/pubmed/15039498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Eyckmans L, Hilderson D, Westhovens R, Wouters C, Moons P. What does it mean to grow up with juvenile idiopathic arthritis? A qualitative study on the perspectives of patients. Clin Rheumatol. 2011;30(4):459–465. DOI: </w:t>
      </w:r>
      <w:hyperlink r:id="rId12">
        <w:r>
          <w:rPr>
            <w:rStyle w:val="InternetLink"/>
            <w:rFonts w:ascii="Times New Roman" w:hAnsi="Times New Roman"/>
            <w:lang w:val="en-US"/>
          </w:rPr>
          <w:t>https://doi.org/10.1007/s10067-010-1444-0</w:t>
        </w:r>
      </w:hyperlink>
      <w:r>
        <w:rPr>
          <w:rFonts w:ascii="Times New Roman" w:hAnsi="Times New Roman"/>
          <w:lang w:val="en-US"/>
        </w:rPr>
        <w:t xml:space="preserve"> PMID: </w:t>
      </w:r>
      <w:hyperlink r:id="rId13">
        <w:r>
          <w:rPr>
            <w:rStyle w:val="InternetLink"/>
            <w:rFonts w:ascii="Times New Roman" w:hAnsi="Times New Roman"/>
            <w:lang w:val="en-US"/>
          </w:rPr>
          <w:t>https://www.ncbi.nlm.nih.gov/pubmed/20383546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Tong A, Jones J, Craig JC, Singh-Grewal D. Children’s experiences of living with juvenile idiopathic arthritis: a thematic synthesis of qualitative studies. Arthritis Care Res (Hoboken). 2012;64(9):1392–1404. DOI: </w:t>
      </w:r>
      <w:hyperlink r:id="rId14">
        <w:r>
          <w:rPr>
            <w:rStyle w:val="InternetLink"/>
            <w:rFonts w:ascii="Times New Roman" w:hAnsi="Times New Roman"/>
            <w:lang w:val="en-US"/>
          </w:rPr>
          <w:t>https://doi.org/10.1002/acr.21695</w:t>
        </w:r>
      </w:hyperlink>
      <w:r>
        <w:rPr>
          <w:rFonts w:ascii="Times New Roman" w:hAnsi="Times New Roman"/>
          <w:lang w:val="en-US"/>
        </w:rPr>
        <w:t xml:space="preserve">   PMID: </w:t>
      </w:r>
      <w:hyperlink r:id="rId15">
        <w:r>
          <w:rPr>
            <w:rStyle w:val="InternetLink"/>
            <w:rFonts w:ascii="Times New Roman" w:hAnsi="Times New Roman"/>
            <w:lang w:val="en-US"/>
          </w:rPr>
          <w:t>https://www.ncbi.nlm.nih.gov/pubmed/22504867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Packham JC, Hall MA. Long-term follow-up of 246 adults with juvenile idiopathic arthritis: functional outcome. Rheumatology (Oxford). 2002;41(12):1428–1435. DOI: </w:t>
      </w:r>
      <w:hyperlink r:id="rId16">
        <w:r>
          <w:rPr>
            <w:rStyle w:val="InternetLink"/>
            <w:rFonts w:ascii="Times New Roman" w:hAnsi="Times New Roman"/>
            <w:lang w:val="en-US"/>
          </w:rPr>
          <w:t>https://doi.org/10.1093/rheumatology/41.12.1436</w:t>
        </w:r>
      </w:hyperlink>
      <w:r>
        <w:rPr>
          <w:rFonts w:ascii="Times New Roman" w:hAnsi="Times New Roman"/>
          <w:lang w:val="en-US"/>
        </w:rPr>
        <w:t xml:space="preserve"> PMID: </w:t>
      </w:r>
      <w:hyperlink r:id="rId17">
        <w:r>
          <w:rPr>
            <w:rStyle w:val="InternetLink"/>
            <w:rFonts w:ascii="Times New Roman" w:hAnsi="Times New Roman"/>
            <w:lang w:val="en-US"/>
          </w:rPr>
          <w:t>https://www.ncbi.nlm.nih.gov/pubmed/12468825</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Magni-Manzoni S, Ruperto N, Pistorio A, Sala E, Solari N, Palmisani E, Cugno C, Bozzola E, Martini A, Ravelli A. Development and validation of a preliminary definition of minimal disease activity in juvenile idiopathic arthritis. Arthritis Rheum. 2008;59(8):1120–1127. DOI: </w:t>
      </w:r>
      <w:hyperlink r:id="rId18">
        <w:r>
          <w:rPr>
            <w:rStyle w:val="InternetLink"/>
            <w:rFonts w:ascii="Times New Roman" w:hAnsi="Times New Roman"/>
            <w:lang w:val="en-US"/>
          </w:rPr>
          <w:t>https://doi.org/10.1002/art.23916</w:t>
        </w:r>
      </w:hyperlink>
      <w:r>
        <w:rPr>
          <w:rFonts w:ascii="Times New Roman" w:hAnsi="Times New Roman"/>
          <w:lang w:val="en-US"/>
        </w:rPr>
        <w:t xml:space="preserve"> PMID: </w:t>
      </w:r>
      <w:hyperlink r:id="rId19">
        <w:r>
          <w:rPr>
            <w:rStyle w:val="InternetLink"/>
            <w:rFonts w:ascii="Times New Roman" w:hAnsi="Times New Roman"/>
            <w:lang w:val="en-US"/>
          </w:rPr>
          <w:t>https://www.ncbi.nlm.nih.gov/pubmed/18668599</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Haverman L, Grootenhuis MA, Berg JM, Veenendaal M, Dolman KM, Swart JF, Kuijpers TW, Rossum MA. Predictors of health- related quality of life in children and adolescents with juvenile idiopathic arthritis: results from a Web-based survey. Arthritis Care Res (Hoboken). 2012;64(5):694–703. DOI: </w:t>
      </w:r>
      <w:hyperlink r:id="rId20">
        <w:r>
          <w:rPr>
            <w:rStyle w:val="InternetLink"/>
            <w:rFonts w:ascii="Times New Roman" w:hAnsi="Times New Roman"/>
            <w:lang w:val="en-US"/>
          </w:rPr>
          <w:t>https://doi.org/10.1002/acr.21609</w:t>
        </w:r>
      </w:hyperlink>
      <w:r>
        <w:rPr>
          <w:rFonts w:ascii="Times New Roman" w:hAnsi="Times New Roman"/>
          <w:lang w:val="en-US"/>
        </w:rPr>
        <w:t xml:space="preserve"> PMID: </w:t>
      </w:r>
      <w:hyperlink r:id="rId21">
        <w:r>
          <w:rPr>
            <w:rStyle w:val="InternetLink"/>
            <w:rFonts w:ascii="Times New Roman" w:hAnsi="Times New Roman"/>
            <w:lang w:val="en-US"/>
          </w:rPr>
          <w:t>https://www.ncbi.nlm.nih.gov/pubmed/22238240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Kalyoncu U, Dougados M, Daurès JP, Gossec L. Reporting of patient-reported out- comes in recent trials in rheumatoid arthritis: a systematic literature review. Ann Rheum Dis. 2009;68(2):183–190. DOI: </w:t>
      </w:r>
      <w:hyperlink r:id="rId22">
        <w:r>
          <w:rPr>
            <w:rStyle w:val="InternetLink"/>
            <w:rFonts w:ascii="Times New Roman" w:hAnsi="Times New Roman"/>
            <w:lang w:val="en-US"/>
          </w:rPr>
          <w:t>https://doi.org/10.1136/ard.2007.084848</w:t>
        </w:r>
      </w:hyperlink>
      <w:r>
        <w:rPr>
          <w:rFonts w:ascii="Times New Roman" w:hAnsi="Times New Roman"/>
          <w:lang w:val="en-US"/>
        </w:rPr>
        <w:t xml:space="preserve"> PMID: </w:t>
      </w:r>
      <w:hyperlink r:id="rId23">
        <w:r>
          <w:rPr>
            <w:rStyle w:val="InternetLink"/>
            <w:rFonts w:ascii="Times New Roman" w:hAnsi="Times New Roman"/>
            <w:lang w:val="en-US"/>
          </w:rPr>
          <w:t>https://www.ncbi.nlm.nih.gov/pubmed/18375533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Bruce B, Fries JF. The Health Assessment Questionnaire (HAQ). Clin Exp Rheumatol. 2005;23(5):14–18. PMID: </w:t>
      </w:r>
      <w:hyperlink r:id="rId24">
        <w:r>
          <w:rPr>
            <w:rStyle w:val="InternetLink"/>
            <w:rFonts w:ascii="Times New Roman" w:hAnsi="Times New Roman"/>
            <w:lang w:val="en-US"/>
          </w:rPr>
          <w:t>https://www.ncbi.nlm.nih.gov/pubmed/16273780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Petty RE, Southwood TR, Manners P, Baum J, Glass DN, Goldenberg J, He X, Maldonado-Cocco J, Orozco-Alcala J, Prieur AM, Suarez-Almazor ME, Woo P. International League of Associations for Rheumatology classification of juvenile idiopathic arthritis: second revision, Edmonton, 2001. J Rheumatol. 2004;31(2):390–392. PMID: </w:t>
      </w:r>
      <w:hyperlink r:id="rId25">
        <w:r>
          <w:rPr>
            <w:rStyle w:val="InternetLink"/>
            <w:rFonts w:ascii="Times New Roman" w:hAnsi="Times New Roman"/>
            <w:lang w:val="en-US"/>
          </w:rPr>
          <w:t>https://www.ncbi.nlm.nih.gov/pubmed/14760812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Beukelman T, Patkar NM, Saag KG, Tolleson-Rinehart S, Cron RQ, DeWitt EM, Ilowite NT, Kimura Y, Laxer RM, Lovell DJ, Martini A, Rabinovich CE, Ruperto N. 2011 American College of Rheumatology recommendations for the treatment of juvenile idiopathic arthritis: initiation and safety monitoring of therapeutic agents for the treatment of arthritis and systemic features. Arthritis Care Res. 2011;63(4):465–482. DOI: </w:t>
      </w:r>
      <w:hyperlink r:id="rId26">
        <w:r>
          <w:rPr>
            <w:rStyle w:val="InternetLink"/>
            <w:rFonts w:ascii="Times New Roman" w:hAnsi="Times New Roman"/>
            <w:lang w:val="en-US"/>
          </w:rPr>
          <w:t>https://doi.org/10.1002/acr.20460</w:t>
        </w:r>
      </w:hyperlink>
      <w:r>
        <w:rPr>
          <w:rFonts w:ascii="Times New Roman" w:hAnsi="Times New Roman"/>
          <w:lang w:val="en-US"/>
        </w:rPr>
        <w:t xml:space="preserve">  PMID: </w:t>
      </w:r>
      <w:hyperlink r:id="rId27">
        <w:r>
          <w:rPr>
            <w:rStyle w:val="InternetLink"/>
            <w:rFonts w:ascii="Times New Roman" w:hAnsi="Times New Roman"/>
            <w:lang w:val="en-US"/>
          </w:rPr>
          <w:t>https://www.ncbi.nlm.nih.gov/pubmed/21452260</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Foster HE, Marshall N, Myers A, Dunkley P, Griffiths ID. Outcome in adults with juvenile idiopathic arthritis: a quality of life study. Arthritis Rheum. 2003;48(3):767–775. DOI: </w:t>
      </w:r>
      <w:hyperlink r:id="rId28">
        <w:r>
          <w:rPr>
            <w:rStyle w:val="InternetLink"/>
            <w:rFonts w:ascii="Times New Roman" w:hAnsi="Times New Roman"/>
            <w:lang w:val="en-US"/>
          </w:rPr>
          <w:t>https://doi.org/10.1002/art.10863</w:t>
        </w:r>
      </w:hyperlink>
      <w:r>
        <w:rPr>
          <w:rFonts w:ascii="Times New Roman" w:hAnsi="Times New Roman"/>
          <w:lang w:val="en-US"/>
        </w:rPr>
        <w:t xml:space="preserve"> PMID: </w:t>
      </w:r>
      <w:hyperlink r:id="rId29">
        <w:r>
          <w:rPr>
            <w:rStyle w:val="InternetLink"/>
            <w:rFonts w:ascii="Times New Roman" w:hAnsi="Times New Roman"/>
            <w:lang w:val="en-US"/>
          </w:rPr>
          <w:t>https://www.ncbi.nlm.nih.gov/pubmed/12632431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Ruperto N, Levinson JE, Ravelli A, Shear ES, Link Tague B, Murray K, Martini A, Giannini EH. Long-term health outcomes and quality of life in American and Italian inception cohorts of patients with juvenile rheumatoid arthritis; I; Outcome status. J Rheumatol. 1997;24(5):945–951. PMID: </w:t>
      </w:r>
      <w:hyperlink r:id="rId30">
        <w:r>
          <w:rPr>
            <w:rStyle w:val="InternetLink"/>
            <w:rFonts w:ascii="Times New Roman" w:hAnsi="Times New Roman"/>
            <w:lang w:val="en-US"/>
          </w:rPr>
          <w:t>https://www.ncbi.nlm.nih.gov/pubmed/9150087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Flatø B, Aasland A, Vinje O, Førre O. Outcome and predictive factors in juvenile rheumatoid arthritis and juvenile spondyloarthropathy. J Rheumatol. 1998;25(2):366–375. PMID: </w:t>
      </w:r>
      <w:hyperlink r:id="rId31">
        <w:r>
          <w:rPr>
            <w:rStyle w:val="InternetLink"/>
            <w:rFonts w:ascii="Times New Roman" w:hAnsi="Times New Roman"/>
            <w:lang w:val="en-US"/>
          </w:rPr>
          <w:t>https://www.ncbi.nlm.nih.gov/pubmed/9489836</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Peterson LS, Mason T, Nelson AM, O'Fallon WM, Gabriel SE. Psychosocial outcomes and health status of adults who have had juvenile rheumatoid arthritis: a controlled, population-based study. Arthritis Rheum. 1997;40(12):2235–2240.  PMID:  </w:t>
      </w:r>
      <w:hyperlink r:id="rId32">
        <w:r>
          <w:rPr>
            <w:rStyle w:val="InternetLink"/>
            <w:rFonts w:ascii="Times New Roman" w:hAnsi="Times New Roman"/>
            <w:lang w:val="en-US"/>
          </w:rPr>
          <w:t>https://www.ncbi.nlm.nih.gov/pubmed/9416862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w:t>
      </w:r>
      <w:r>
        <w:rPr>
          <w:rFonts w:ascii="Times New Roman" w:hAnsi="Times New Roman"/>
          <w:lang w:val="en-US"/>
        </w:rPr>
        <w:t xml:space="preserve">Arkela-Kautiainen M, Haapasaari J, Kautiainen H, Vikkumaa I, Malkia E, Leirisalo-Repo M. Favourable social functioning and health related quality of life of patients with JIA in early adulthood. Ann Rheum Dis. 2005;64(6):875–880. DOI: </w:t>
      </w:r>
      <w:hyperlink r:id="rId33">
        <w:r>
          <w:rPr>
            <w:rStyle w:val="InternetLink"/>
            <w:rFonts w:ascii="Times New Roman" w:hAnsi="Times New Roman"/>
            <w:lang w:val="en-US"/>
          </w:rPr>
          <w:t>https://doi.org/10.1136/ard.2004.026591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Oen K, Malleson PN, Cabral DA, Rosenberg AM, Petty RE, Reed M, Schroeder ML, Cheang M. Early predictors of longterm outcome in patients with juvenile rheumatoid arthritis: subset-specific correlations. J Rheumatol. 2003;30(3):585–593. URL: </w:t>
      </w:r>
      <w:hyperlink r:id="rId34">
        <w:r>
          <w:rPr>
            <w:rStyle w:val="InternetLink"/>
            <w:rFonts w:ascii="Times New Roman" w:hAnsi="Times New Roman"/>
            <w:lang w:val="en-US"/>
          </w:rPr>
          <w:t>http://www.jrheum.org/content/30/3/585.long</w:t>
        </w:r>
      </w:hyperlink>
      <w:r>
        <w:rPr>
          <w:rFonts w:ascii="Times New Roman" w:hAnsi="Times New Roman"/>
          <w:lang w:val="en-US"/>
        </w:rPr>
        <w:t xml:space="preserve"> PMID: </w:t>
      </w:r>
      <w:hyperlink r:id="rId35">
        <w:r>
          <w:rPr>
            <w:rStyle w:val="InternetLink"/>
            <w:rFonts w:ascii="Times New Roman" w:hAnsi="Times New Roman"/>
            <w:lang w:val="en-US"/>
          </w:rPr>
          <w:t>https://www.ncbi.nlm.nih.gov/pubmed/12610821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Wipff J, Sparsa L, Lohse A, Quartier</w:t>
      </w:r>
      <w:r>
        <w:rPr/>
        <w:t xml:space="preserve"> </w:t>
      </w:r>
      <w:r>
        <w:rPr>
          <w:rFonts w:ascii="Times New Roman" w:hAnsi="Times New Roman"/>
          <w:lang w:val="en-US"/>
        </w:rPr>
        <w:t>P, Kahan</w:t>
      </w:r>
      <w:r>
        <w:rPr/>
        <w:t xml:space="preserve"> </w:t>
      </w:r>
      <w:r>
        <w:rPr>
          <w:rFonts w:ascii="Times New Roman" w:hAnsi="Times New Roman"/>
          <w:lang w:val="en-US"/>
        </w:rPr>
        <w:t>A, Deslandre</w:t>
      </w:r>
      <w:r>
        <w:rPr/>
        <w:t xml:space="preserve"> </w:t>
      </w:r>
      <w:r>
        <w:rPr>
          <w:rFonts w:ascii="Times New Roman" w:hAnsi="Times New Roman"/>
          <w:lang w:val="en-US"/>
        </w:rPr>
        <w:t xml:space="preserve">CJ. Impact of juvenile idiopathic arthritis on quality of life during transition period at the era of biotherapies. Joint Bone Spine. 2015 </w:t>
      </w:r>
      <w:hyperlink r:id="rId36">
        <w:r>
          <w:rPr>
            <w:rStyle w:val="InternetLink"/>
            <w:rFonts w:ascii="Times New Roman" w:hAnsi="Times New Roman"/>
            <w:lang w:val="en-US"/>
          </w:rPr>
          <w:t>https://doi.org/10.1016/j.jbspin.2015.03.005</w:t>
        </w:r>
      </w:hyperlink>
      <w:r>
        <w:rPr>
          <w:rFonts w:ascii="Times New Roman" w:hAnsi="Times New Roman"/>
          <w:lang w:val="en-US"/>
        </w:rPr>
        <w:t xml:space="preserve"> PMID: </w:t>
      </w:r>
      <w:hyperlink r:id="rId37">
        <w:r>
          <w:rPr>
            <w:rStyle w:val="InternetLink"/>
            <w:rFonts w:ascii="Times New Roman" w:hAnsi="Times New Roman"/>
            <w:lang w:val="en-US"/>
          </w:rPr>
          <w:t>https://www.ncbi.nlm.nih.gov/pubmed/26231098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Ding T, Hall A, Jacobs K, David J. Psychological functioning of children and adolescents with juvenile idiopathic arthritis is related to physical disability but not to disease status. Rheumatology (Oxford). 2008;47(5): 660–664. DOI: </w:t>
      </w:r>
      <w:hyperlink r:id="rId38">
        <w:r>
          <w:rPr>
            <w:rStyle w:val="InternetLink"/>
            <w:rFonts w:ascii="Times New Roman" w:hAnsi="Times New Roman"/>
            <w:lang w:val="en-US"/>
          </w:rPr>
          <w:t>https://doi.org/10.1093/rheumatology/ken095</w:t>
        </w:r>
      </w:hyperlink>
      <w:r>
        <w:rPr>
          <w:rFonts w:ascii="Times New Roman" w:hAnsi="Times New Roman"/>
          <w:lang w:val="en-US"/>
        </w:rPr>
        <w:t xml:space="preserve"> PMID: </w:t>
      </w:r>
      <w:hyperlink r:id="rId39">
        <w:r>
          <w:rPr>
            <w:rStyle w:val="InternetLink"/>
            <w:rFonts w:ascii="Times New Roman" w:hAnsi="Times New Roman"/>
            <w:lang w:val="en-US"/>
          </w:rPr>
          <w:t>https://www.ncbi.nlm.nih.gov/pubmed/18356173</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LeBovidge JS, Lavigne JV, Donenberg GR, Miller ML. Psychological adjustment of children and adolescents with chronic arthritis: a meta-analytic review. J Pediatr Psychol. 2003;28(1):29–39. DOI: </w:t>
      </w:r>
      <w:hyperlink r:id="rId40">
        <w:r>
          <w:rPr>
            <w:rStyle w:val="InternetLink"/>
            <w:rFonts w:ascii="Times New Roman" w:hAnsi="Times New Roman"/>
            <w:lang w:val="en-US"/>
          </w:rPr>
          <w:t>https://doi.org/10.1093/jpepsy/28.1.29</w:t>
        </w:r>
      </w:hyperlink>
      <w:r>
        <w:rPr>
          <w:rFonts w:ascii="Times New Roman" w:hAnsi="Times New Roman"/>
          <w:lang w:val="en-US"/>
        </w:rPr>
        <w:t xml:space="preserve"> PMID: </w:t>
      </w:r>
      <w:hyperlink r:id="rId41">
        <w:r>
          <w:rPr>
            <w:rStyle w:val="InternetLink"/>
            <w:rFonts w:ascii="Times New Roman" w:hAnsi="Times New Roman"/>
            <w:lang w:val="en-US"/>
          </w:rPr>
          <w:t>https://www.ncbi.nlm.nih.gov/pubmed/12490628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Minden K, Niewerth M, Listing J, Biedermann T, Bollow M, Schöntube M, Zink A. Long-term outcome in patients with juvenile idiopathic arthritis. Arthritis Rheum. 2002;46(9):2392–2401. DOI: </w:t>
      </w:r>
      <w:hyperlink r:id="rId42">
        <w:r>
          <w:rPr>
            <w:rStyle w:val="InternetLink"/>
            <w:rFonts w:ascii="Times New Roman" w:hAnsi="Times New Roman"/>
            <w:lang w:val="en-US"/>
          </w:rPr>
          <w:t>https://doi.org/10.1002/art.10444</w:t>
        </w:r>
      </w:hyperlink>
      <w:r>
        <w:rPr>
          <w:rFonts w:ascii="Times New Roman" w:hAnsi="Times New Roman"/>
          <w:lang w:val="en-US"/>
        </w:rPr>
        <w:t xml:space="preserve"> PMID: </w:t>
      </w:r>
      <w:hyperlink r:id="rId43">
        <w:r>
          <w:rPr>
            <w:rStyle w:val="InternetLink"/>
            <w:rFonts w:ascii="Times New Roman" w:hAnsi="Times New Roman"/>
            <w:lang w:val="en-US"/>
          </w:rPr>
          <w:t>https://www.ncbi.nlm.nih.gov/pubmed/12355487</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Stinson JN, Luca N, Jibb LA. Assessment and management of pain in juvenile idiopathic arthritis. Pain Res Manag. 2012;17(6):91–396. DOI: </w:t>
      </w:r>
      <w:hyperlink r:id="rId44">
        <w:r>
          <w:rPr>
            <w:rStyle w:val="InternetLink"/>
            <w:rFonts w:ascii="Times New Roman" w:hAnsi="Times New Roman"/>
            <w:lang w:val="en-US"/>
          </w:rPr>
          <w:t>https://doi.org/10.1155/2012/237258</w:t>
        </w:r>
      </w:hyperlink>
      <w:r>
        <w:rPr>
          <w:rFonts w:ascii="Times New Roman" w:hAnsi="Times New Roman"/>
          <w:lang w:val="en-US"/>
        </w:rPr>
        <w:t xml:space="preserve"> PMID: </w:t>
      </w:r>
      <w:hyperlink r:id="rId45">
        <w:r>
          <w:rPr>
            <w:rStyle w:val="InternetLink"/>
            <w:rFonts w:ascii="Times New Roman" w:hAnsi="Times New Roman"/>
            <w:lang w:val="en-US"/>
          </w:rPr>
          <w:t>https://www.ncbi.nlm.nih.gov/pubmed/23248812</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Jordan JM. Effect of race and ethnicity on outcomes in arthritis and rheumatic conditions. Curr Opin Rheumatol. 1999; 11(2):98–103. DOI: </w:t>
      </w:r>
      <w:hyperlink r:id="rId46">
        <w:r>
          <w:rPr>
            <w:rStyle w:val="InternetLink"/>
            <w:rFonts w:ascii="Times New Roman" w:hAnsi="Times New Roman"/>
            <w:lang w:val="en-US"/>
          </w:rPr>
          <w:t>https://doi.org/10.1097/00002281-199903000-00003</w:t>
        </w:r>
      </w:hyperlink>
      <w:r>
        <w:rPr>
          <w:rFonts w:ascii="Times New Roman" w:hAnsi="Times New Roman"/>
          <w:lang w:val="en-US"/>
        </w:rPr>
        <w:t xml:space="preserve"> PMID: </w:t>
      </w:r>
      <w:hyperlink r:id="rId47">
        <w:r>
          <w:rPr>
            <w:rStyle w:val="InternetLink"/>
            <w:rFonts w:ascii="Times New Roman" w:hAnsi="Times New Roman"/>
            <w:lang w:val="en-US"/>
          </w:rPr>
          <w:t>https://www.ncbi.nlm.nih.gov/pubmed/10319211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Baker TA, Green CR. Intrarace differences among black and white Americans presenting for chronic pain management: the influence of age, physical health, and psychosocial factors. Pain Med. 2005;6(1):29–38. DOI: </w:t>
      </w:r>
      <w:hyperlink r:id="rId48">
        <w:r>
          <w:rPr>
            <w:rStyle w:val="InternetLink"/>
            <w:rFonts w:ascii="Times New Roman" w:hAnsi="Times New Roman"/>
            <w:lang w:val="en-US"/>
          </w:rPr>
          <w:t>https://doi.org/10.1111/j.1526-4637.2005.05014.x</w:t>
        </w:r>
      </w:hyperlink>
      <w:r>
        <w:rPr>
          <w:rFonts w:ascii="Times New Roman" w:hAnsi="Times New Roman"/>
          <w:lang w:val="en-US"/>
        </w:rPr>
        <w:t xml:space="preserve"> PMID: </w:t>
      </w:r>
      <w:hyperlink r:id="rId49">
        <w:r>
          <w:rPr>
            <w:rStyle w:val="InternetLink"/>
            <w:rFonts w:ascii="Times New Roman" w:hAnsi="Times New Roman"/>
            <w:lang w:val="en-US"/>
          </w:rPr>
          <w:t>https://www.ncbi.nlm.nih.gov/pubmed/15669948</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Klotsche J, Minden K, Thon A, Ganser G, Urban A, Horneff G. Improvement in Health-related Quality of Life for children with juvenile idiopathic arthritis after start of treatment with etanercept. Arthritis Care Res (Hoboken). 2014;66(2):253–262. DOI: </w:t>
      </w:r>
      <w:hyperlink r:id="rId50">
        <w:r>
          <w:rPr>
            <w:rStyle w:val="InternetLink"/>
            <w:rFonts w:ascii="Times New Roman" w:hAnsi="Times New Roman"/>
            <w:lang w:val="en-US"/>
          </w:rPr>
          <w:t>https://doi.org/10.1002/acr.22112</w:t>
        </w:r>
      </w:hyperlink>
      <w:r>
        <w:rPr>
          <w:rFonts w:ascii="Times New Roman" w:hAnsi="Times New Roman"/>
          <w:lang w:val="en-US"/>
        </w:rPr>
        <w:t xml:space="preserve"> PMID: </w:t>
      </w:r>
      <w:hyperlink r:id="rId51">
        <w:r>
          <w:rPr>
            <w:rStyle w:val="InternetLink"/>
            <w:rFonts w:ascii="Times New Roman" w:hAnsi="Times New Roman"/>
            <w:lang w:val="en-US"/>
          </w:rPr>
          <w:t>https://www.ncbi.nlm.nih.gov/pubmed/23983081</w:t>
        </w:r>
      </w:hyperlink>
      <w:r>
        <w:rPr>
          <w:rFonts w:ascii="Times New Roman" w:hAnsi="Times New Roman"/>
          <w:lang w:val="en-US"/>
        </w:rPr>
        <w:t xml:space="preserve"> </w:t>
      </w:r>
    </w:p>
    <w:p>
      <w:pPr>
        <w:pStyle w:val="Bibliography"/>
        <w:numPr>
          <w:ilvl w:val="0"/>
          <w:numId w:val="4"/>
        </w:numPr>
        <w:rPr/>
      </w:pPr>
      <w:r>
        <w:rPr>
          <w:rFonts w:ascii="Times New Roman" w:hAnsi="Times New Roman"/>
          <w:lang w:val="en-US"/>
        </w:rPr>
        <w:t xml:space="preserve"> </w:t>
      </w:r>
      <w:r>
        <w:rPr>
          <w:rFonts w:ascii="Times New Roman" w:hAnsi="Times New Roman"/>
          <w:lang w:val="en-US"/>
        </w:rPr>
        <w:t xml:space="preserve">Prince FH, Geerdink LM, Borsboom GJ, Twilt M, Rossum MA, Hoppenreijs EP, Cate RT, Koopman-Keemink Y, Santen-Hoeufft M, Raat H, Suijlekom-Smit LW. Major improvement in health-related quality of life during the use of etanercept in patients with previously refractory juvenile idiopathic arthritis. Ann Rheum Dis. 2010; 69(1):138–142. DOI: </w:t>
      </w:r>
      <w:hyperlink r:id="rId52">
        <w:r>
          <w:rPr>
            <w:rStyle w:val="InternetLink"/>
            <w:rFonts w:ascii="Times New Roman" w:hAnsi="Times New Roman"/>
            <w:lang w:val="en-US"/>
          </w:rPr>
          <w:t>https://doi.org/10.1136/ard.2009.111260</w:t>
        </w:r>
      </w:hyperlink>
      <w:r>
        <w:rPr>
          <w:rFonts w:ascii="Times New Roman" w:hAnsi="Times New Roman"/>
          <w:lang w:val="en-US"/>
        </w:rPr>
        <w:t xml:space="preserve"> PMID: </w:t>
      </w:r>
      <w:hyperlink r:id="rId53">
        <w:r>
          <w:rPr>
            <w:rStyle w:val="InternetLink"/>
            <w:rFonts w:ascii="Times New Roman" w:hAnsi="Times New Roman"/>
            <w:lang w:val="en-US"/>
          </w:rPr>
          <w:t>https://www.ncbi.nlm.nih.gov/pubmed/19581280</w:t>
        </w:r>
      </w:hyperlink>
      <w:r>
        <w:rPr>
          <w:rFonts w:ascii="Times New Roman" w:hAnsi="Times New Roman"/>
          <w:lang w:val="en-US"/>
        </w:rPr>
        <w:t xml:space="preserve"> </w:t>
      </w:r>
    </w:p>
    <w:sdt>
      <w:sdtPr>
        <w:docPartObj>
          <w:docPartGallery w:val="Bibliographies"/>
          <w:docPartUnique w:val="true"/>
        </w:docPartObj>
        <w:id w:val="258245812"/>
      </w:sdtPr>
      <w:sdtContent>
        <w:p>
          <w:pPr>
            <w:pStyle w:val="Heading1"/>
            <w:rPr>
              <w:lang w:val="en-US"/>
            </w:rPr>
          </w:pPr>
          <w:r>
            <w:rPr>
              <w:lang w:val="en-US"/>
            </w:rPr>
            <w:t>Bibliography</w:t>
          </w:r>
        </w:p>
        <w:p>
          <w:pPr>
            <w:pStyle w:val="Bibliography"/>
            <w:ind w:left="720" w:hanging="720"/>
            <w:rPr>
              <w:lang w:val="en-US"/>
            </w:rPr>
          </w:pPr>
          <w:r>
            <w:fldChar w:fldCharType="begin"/>
          </w:r>
          <w:r>
            <w:rPr/>
            <w:instrText> BIBLIOGRAPHY </w:instrText>
          </w:r>
          <w:r>
            <w:rPr/>
            <w:fldChar w:fldCharType="separate"/>
          </w:r>
          <w:r>
            <w:rPr>
              <w:lang w:val="en-US"/>
            </w:rPr>
            <w:t xml:space="preserve">Frankova, I. A., &amp; Semenoga, P. P. (2014). Second journal article title. </w:t>
          </w:r>
          <w:r>
            <w:rPr>
              <w:i/>
              <w:iCs/>
              <w:lang w:val="en-US"/>
            </w:rPr>
            <w:t>Demo Journal</w:t>
          </w:r>
          <w:r>
            <w:rPr>
              <w:lang w:val="en-US"/>
            </w:rPr>
            <w:t>, 224-255.</w:t>
          </w:r>
        </w:p>
        <w:p>
          <w:pPr>
            <w:pStyle w:val="Normal"/>
            <w:rPr/>
          </w:pPr>
          <w:r>
            <w:rPr>
              <w:lang w:val="en-US"/>
            </w:rPr>
            <w:t xml:space="preserve">Moroz, F. S., &amp; Bezsheiko, V. G. (21 4 2018 </w:t>
          </w:r>
          <w:r>
            <w:rPr/>
            <w:t>г</w:t>
          </w:r>
          <w:r>
            <w:rPr>
              <w:lang w:val="en-US"/>
            </w:rPr>
            <w:t xml:space="preserve">.). Simple journal article: first citation. </w:t>
          </w:r>
          <w:r>
            <w:rPr>
              <w:i/>
              <w:iCs/>
            </w:rPr>
            <w:t>Demo Journal</w:t>
          </w:r>
          <w:r>
            <w:rPr/>
            <w:t xml:space="preserve">, стр. </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sdtContent>
    </w:sdt>
    <w:p>
      <w:pPr>
        <w:pStyle w:val="Heading"/>
        <w:rPr>
          <w:lang w:val="en-US"/>
        </w:rPr>
      </w:pPr>
      <w:r>
        <w:rPr>
          <w:lang w:val="en-US"/>
        </w:rPr>
        <w:t>Zotero</w:t>
      </w:r>
      <w:bookmarkStart w:id="14" w:name="_GoBack"/>
      <w:bookmarkEnd w:id="14"/>
    </w:p>
    <w:p>
      <w:pPr>
        <w:pStyle w:val="Bibliography"/>
        <w:rPr/>
      </w:pPr>
      <w:r>
        <w:fldChar w:fldCharType="begin"/>
      </w:r>
      <w:r>
        <w:rPr/>
        <w:instrText>ADDIN ZOTERO_BIBL {"uncited":[],"omitted":[],"custom":[]} CSL_BIBLIOGRAPHY</w:instrText>
      </w:r>
      <w:r>
        <w:rPr/>
        <w:fldChar w:fldCharType="separate"/>
      </w:r>
      <w:bookmarkStart w:id="15" w:name="__Fieldmark__890_3555270522"/>
      <w:r>
        <w:rPr/>
      </w:r>
      <w:r>
        <w:rPr>
          <w:rFonts w:ascii="Times New Roman" w:hAnsi="Times New Roman"/>
          <w:lang w:val="en-US"/>
        </w:rPr>
        <w:t>1</w:t>
      </w:r>
      <w:bookmarkStart w:id="16" w:name="__Fieldmark__883_712766526"/>
      <w:r>
        <w:rPr>
          <w:rFonts w:ascii="Times New Roman" w:hAnsi="Times New Roman"/>
          <w:lang w:val="en-US"/>
        </w:rPr>
        <w:t>.</w:t>
      </w:r>
      <w:bookmarkStart w:id="17" w:name="__Fieldmark__879_2241033896"/>
      <w:r>
        <w:rPr>
          <w:rFonts w:ascii="Times New Roman" w:hAnsi="Times New Roman"/>
          <w:lang w:val="en-US"/>
        </w:rPr>
        <w:t xml:space="preserve"> </w:t>
      </w:r>
      <w:bookmarkStart w:id="18" w:name="__Fieldmark__872_1225654907"/>
      <w:r>
        <w:rPr>
          <w:rFonts w:ascii="Times New Roman" w:hAnsi="Times New Roman"/>
          <w:lang w:val="en-US"/>
        </w:rPr>
        <w:tab/>
      </w:r>
      <w:bookmarkStart w:id="19" w:name="__Fieldmark__803_4279585507"/>
      <w:r>
        <w:rPr>
          <w:rFonts w:ascii="Times New Roman" w:hAnsi="Times New Roman"/>
          <w:lang w:val="en-US"/>
        </w:rPr>
        <w:t>C</w:t>
      </w:r>
      <w:bookmarkStart w:id="20" w:name="__Fieldmark__1213_434484431"/>
      <w:r>
        <w:rPr>
          <w:rFonts w:ascii="Times New Roman" w:hAnsi="Times New Roman"/>
          <w:lang w:val="en-US"/>
        </w:rPr>
        <w:t xml:space="preserve">handler V. Google and suicides: what can we learn about the use of internet to prevent suicides? </w:t>
      </w:r>
      <w:r>
        <w:rPr>
          <w:rFonts w:ascii="Times New Roman" w:hAnsi="Times New Roman"/>
        </w:rPr>
        <w:t xml:space="preserve">Public Health. 2018 Jan 1;154:144–50. </w:t>
      </w:r>
      <w:r>
        <w:rPr/>
      </w:r>
      <w:r>
        <w:rPr/>
        <w:fldChar w:fldCharType="end"/>
      </w:r>
      <w:bookmarkEnd w:id="15"/>
      <w:bookmarkEnd w:id="16"/>
      <w:bookmarkEnd w:id="17"/>
      <w:bookmarkEnd w:id="18"/>
      <w:bookmarkEnd w:id="19"/>
      <w:bookmarkEnd w:id="20"/>
    </w:p>
    <w:p>
      <w:pPr>
        <w:pStyle w:val="Normal"/>
        <w:widowControl w:val="false"/>
        <w:tabs>
          <w:tab w:val="left" w:pos="220" w:leader="none"/>
          <w:tab w:val="left" w:pos="720" w:leader="none"/>
        </w:tabs>
        <w:spacing w:before="0" w:after="240"/>
        <w:jc w:val="both"/>
        <w:rPr>
          <w:rFonts w:ascii="Times New Roman" w:hAnsi="Times New Roman"/>
          <w:lang w:val="en-US"/>
        </w:rPr>
      </w:pPr>
      <w:r>
        <w:rPr>
          <w:rFonts w:ascii="Times New Roman" w:hAnsi="Times New Roman"/>
          <w:lang w:val="en-US"/>
        </w:rPr>
      </w:r>
    </w:p>
    <w:p>
      <w:pPr>
        <w:pStyle w:val="Normal"/>
        <w:jc w:val="both"/>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Light">
    <w:charset w:val="01"/>
    <w:family w:val="roman"/>
    <w:pitch w:val="variable"/>
  </w:font>
  <w:font w:name="Lucida Grande CY">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Times New Roman" w:hAnsi="Times New Roman" w:cs="Times New Roman"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MS Mincho"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semiHidden="1" w:unhideWhenUsed="1"/>
    <w:lsdException w:name="TOC Heading" w:uiPriority="71"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mbria" w:hAnsi="Cambria" w:eastAsia="MS Mincho" w:cs="Times New Roman"/>
      <w:color w:val="auto"/>
      <w:kern w:val="0"/>
      <w:sz w:val="24"/>
      <w:szCs w:val="24"/>
      <w:lang w:val="ru-RU" w:eastAsia="en-US" w:bidi="ar-SA"/>
    </w:rPr>
  </w:style>
  <w:style w:type="paragraph" w:styleId="Heading1">
    <w:name w:val="Heading 1"/>
    <w:basedOn w:val="Normal"/>
    <w:uiPriority w:val="9"/>
    <w:qFormat/>
    <w:rsid w:val="00353922"/>
    <w:pPr>
      <w:keepNext w:val="true"/>
      <w:spacing w:before="240" w:after="60"/>
      <w:outlineLvl w:val="0"/>
    </w:pPr>
    <w:rPr>
      <w:rFonts w:ascii="Calibri Light" w:hAnsi="Calibri Light" w:eastAsia="Times New Roman"/>
      <w:bCs/>
      <w:color w:val="5B9BD5" w:themeColor="accent1"/>
      <w:kern w:val="2"/>
      <w:sz w:val="36"/>
      <w:szCs w:val="32"/>
    </w:rPr>
  </w:style>
  <w:style w:type="paragraph" w:styleId="Heading2">
    <w:name w:val="Heading 2"/>
    <w:basedOn w:val="Normal"/>
    <w:uiPriority w:val="9"/>
    <w:qFormat/>
    <w:rsid w:val="00fa7da8"/>
    <w:pPr>
      <w:keepNext w:val="true"/>
      <w:spacing w:before="240" w:after="60"/>
      <w:outlineLvl w:val="1"/>
    </w:pPr>
    <w:rPr>
      <w:rFonts w:ascii="Calibri Light" w:hAnsi="Calibri Light" w:eastAsia="Times New Roman"/>
      <w:b/>
      <w:bCs/>
      <w:i/>
      <w:iCs/>
      <w:sz w:val="28"/>
      <w:szCs w:val="28"/>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unhideWhenUsed/>
    <w:qFormat/>
    <w:rPr/>
  </w:style>
  <w:style w:type="character" w:styleId="Style11" w:customStyle="1">
    <w:name w:val="Текст выноски Знак"/>
    <w:uiPriority w:val="99"/>
    <w:semiHidden/>
    <w:qFormat/>
    <w:rsid w:val="00867fc0"/>
    <w:rPr>
      <w:rFonts w:ascii="Lucida Grande CY" w:hAnsi="Lucida Grande CY" w:cs="Lucida Grande CY"/>
      <w:sz w:val="18"/>
      <w:szCs w:val="18"/>
    </w:rPr>
  </w:style>
  <w:style w:type="character" w:styleId="1" w:customStyle="1">
    <w:name w:val="Заголовок 1 Знак"/>
    <w:link w:val="10"/>
    <w:uiPriority w:val="9"/>
    <w:qFormat/>
    <w:rsid w:val="00353922"/>
    <w:rPr>
      <w:rFonts w:ascii="Calibri Light" w:hAnsi="Calibri Light" w:eastAsia="Times New Roman"/>
      <w:bCs/>
      <w:color w:val="5B9BD5" w:themeColor="accent1"/>
      <w:kern w:val="2"/>
      <w:sz w:val="36"/>
      <w:szCs w:val="32"/>
      <w:lang w:val="ru-RU"/>
    </w:rPr>
  </w:style>
  <w:style w:type="character" w:styleId="Strong">
    <w:name w:val="Strong"/>
    <w:uiPriority w:val="22"/>
    <w:qFormat/>
    <w:rsid w:val="007b2cff"/>
    <w:rPr>
      <w:b/>
      <w:bCs/>
    </w:rPr>
  </w:style>
  <w:style w:type="character" w:styleId="Annotationreference">
    <w:name w:val="annotation reference"/>
    <w:uiPriority w:val="99"/>
    <w:semiHidden/>
    <w:unhideWhenUsed/>
    <w:qFormat/>
    <w:rsid w:val="006153d5"/>
    <w:rPr>
      <w:sz w:val="16"/>
      <w:szCs w:val="16"/>
    </w:rPr>
  </w:style>
  <w:style w:type="character" w:styleId="Style12" w:customStyle="1">
    <w:name w:val="Текст примечания Знак"/>
    <w:uiPriority w:val="99"/>
    <w:semiHidden/>
    <w:qFormat/>
    <w:rsid w:val="006153d5"/>
    <w:rPr>
      <w:lang w:val="ru-RU"/>
    </w:rPr>
  </w:style>
  <w:style w:type="character" w:styleId="Style13" w:customStyle="1">
    <w:name w:val="Тема примечания Знак"/>
    <w:uiPriority w:val="99"/>
    <w:semiHidden/>
    <w:qFormat/>
    <w:rsid w:val="006153d5"/>
    <w:rPr>
      <w:b/>
      <w:bCs/>
      <w:lang w:val="ru-RU"/>
    </w:rPr>
  </w:style>
  <w:style w:type="character" w:styleId="InternetLink" w:customStyle="1">
    <w:name w:val="Internet Link"/>
    <w:uiPriority w:val="99"/>
    <w:unhideWhenUsed/>
    <w:rsid w:val="00bb759d"/>
    <w:rPr>
      <w:color w:val="0000FF"/>
      <w:u w:val="single"/>
    </w:rPr>
  </w:style>
  <w:style w:type="character" w:styleId="FollowedHyperlink">
    <w:name w:val="FollowedHyperlink"/>
    <w:uiPriority w:val="99"/>
    <w:semiHidden/>
    <w:unhideWhenUsed/>
    <w:qFormat/>
    <w:rsid w:val="00bb759d"/>
    <w:rPr>
      <w:color w:val="954F72"/>
      <w:u w:val="single"/>
    </w:rPr>
  </w:style>
  <w:style w:type="character" w:styleId="2" w:customStyle="1">
    <w:name w:val="Заголовок 2 Знак"/>
    <w:link w:val="20"/>
    <w:uiPriority w:val="9"/>
    <w:qFormat/>
    <w:rsid w:val="00fa7da8"/>
    <w:rPr>
      <w:rFonts w:ascii="Calibri Light" w:hAnsi="Calibri Light" w:eastAsia="Times New Roman" w:cs="Times New Roman"/>
      <w:b/>
      <w:bCs/>
      <w:i/>
      <w:iCs/>
      <w:sz w:val="28"/>
      <w:szCs w:val="28"/>
      <w:lang w:val="ru-RU"/>
    </w:rPr>
  </w:style>
  <w:style w:type="character" w:styleId="Style14" w:customStyle="1">
    <w:name w:val="Схема документа Знак"/>
    <w:basedOn w:val="DefaultParagraphFont"/>
    <w:uiPriority w:val="99"/>
    <w:semiHidden/>
    <w:qFormat/>
    <w:rsid w:val="00f41fb2"/>
    <w:rPr>
      <w:rFonts w:ascii="Times New Roman" w:hAnsi="Times New Roman"/>
      <w:sz w:val="24"/>
      <w:szCs w:val="24"/>
      <w:lang w:val="ru-RU"/>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MS Mincho"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MS Mincho"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MS Mincho"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ascii="Times New Roman" w:hAnsi="Times New Roman"/>
      <w:lang w:val="en-US"/>
    </w:rPr>
  </w:style>
  <w:style w:type="character" w:styleId="ListLabel19">
    <w:name w:val="ListLabel 19"/>
    <w:qFormat/>
    <w:rPr>
      <w:rFonts w:ascii="Times New Roman" w:hAnsi="Times New Roman" w:cs="Times New Roman"/>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Times New Roman"/>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lang w:val="en-US"/>
    </w:rPr>
  </w:style>
  <w:style w:type="character" w:styleId="ListLabel38">
    <w:name w:val="ListLabel 38"/>
    <w:qFormat/>
    <w:rPr>
      <w:rFonts w:ascii="Times New Roman" w:hAnsi="Times New Roman" w:cs="Times New Roman"/>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New Roman" w:hAnsi="Times New Roman" w:cs="Times New Roman"/>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lang w:val="en-US"/>
    </w:rPr>
  </w:style>
  <w:style w:type="character" w:styleId="ListLabel57">
    <w:name w:val="ListLabel 57"/>
    <w:qFormat/>
    <w:rPr>
      <w:rFonts w:ascii="Times New Roman" w:hAnsi="Times New Roman" w:cs="Times New Roman"/>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Times New Roman" w:hAnsi="Times New Roman" w:cs="Times New Roman"/>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Times New Roman" w:hAnsi="Times New Roman"/>
      <w:lang w:val="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76">
    <w:name w:val="ListLabel 76"/>
    <w:qFormat/>
    <w:rPr>
      <w:rFonts w:ascii="Times New Roman" w:hAnsi="Times New Roman" w:cs="Times New Roman"/>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ascii="Times New Roman" w:hAnsi="Times New Roman" w:cs="Times New Roman"/>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Times New Roman" w:hAnsi="Times New Roman"/>
      <w:lang w:val="en-US"/>
    </w:rPr>
  </w:style>
  <w:style w:type="character" w:styleId="ListLabel95">
    <w:name w:val="ListLabel 95"/>
    <w:qFormat/>
    <w:rPr>
      <w:rFonts w:ascii="Times New Roman" w:hAnsi="Times New Roman" w:cs="Times New Roman"/>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ascii="Times New Roman" w:hAnsi="Times New Roman" w:cs="Times New Roman"/>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Times New Roman" w:hAnsi="Times New Roman"/>
      <w:lang w:val="en-US"/>
    </w:rPr>
  </w:style>
  <w:style w:type="character" w:styleId="ListLabel114">
    <w:name w:val="ListLabel 114"/>
    <w:qFormat/>
    <w:rPr>
      <w:rFonts w:ascii="Times New Roman" w:hAnsi="Times New Roman" w:cs="Times New Roman"/>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ascii="Times New Roman" w:hAnsi="Times New Roman" w:cs="Times New Roman"/>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ascii="Times New Roman" w:hAnsi="Times New Roman"/>
      <w:lang w:val="en-U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uiPriority w:val="99"/>
    <w:semiHidden/>
    <w:unhideWhenUsed/>
    <w:qFormat/>
    <w:rsid w:val="00867fc0"/>
    <w:pPr/>
    <w:rPr>
      <w:rFonts w:ascii="Lucida Grande CY" w:hAnsi="Lucida Grande CY" w:cs="Lucida Grande CY"/>
      <w:sz w:val="18"/>
      <w:szCs w:val="18"/>
    </w:rPr>
  </w:style>
  <w:style w:type="paragraph" w:styleId="NormalWeb">
    <w:name w:val="Normal (Web)"/>
    <w:basedOn w:val="Normal"/>
    <w:uiPriority w:val="99"/>
    <w:semiHidden/>
    <w:unhideWhenUsed/>
    <w:qFormat/>
    <w:rsid w:val="00923b58"/>
    <w:pPr>
      <w:spacing w:beforeAutospacing="1" w:afterAutospacing="1"/>
    </w:pPr>
    <w:rPr>
      <w:rFonts w:ascii="Times" w:hAnsi="Times"/>
      <w:sz w:val="20"/>
      <w:szCs w:val="20"/>
    </w:rPr>
  </w:style>
  <w:style w:type="paragraph" w:styleId="Annotationtext">
    <w:name w:val="annotation text"/>
    <w:basedOn w:val="Normal"/>
    <w:uiPriority w:val="99"/>
    <w:semiHidden/>
    <w:unhideWhenUsed/>
    <w:qFormat/>
    <w:rsid w:val="006153d5"/>
    <w:pPr/>
    <w:rPr>
      <w:sz w:val="20"/>
      <w:szCs w:val="20"/>
    </w:rPr>
  </w:style>
  <w:style w:type="paragraph" w:styleId="Annotationsubject">
    <w:name w:val="annotation subject"/>
    <w:basedOn w:val="Annotationtext"/>
    <w:uiPriority w:val="99"/>
    <w:semiHidden/>
    <w:unhideWhenUsed/>
    <w:qFormat/>
    <w:rsid w:val="006153d5"/>
    <w:pPr/>
    <w:rPr>
      <w:b/>
      <w:bCs/>
    </w:rPr>
  </w:style>
  <w:style w:type="paragraph" w:styleId="Revision">
    <w:name w:val="Revision"/>
    <w:uiPriority w:val="71"/>
    <w:qFormat/>
    <w:rsid w:val="00ef6e2e"/>
    <w:pPr>
      <w:widowControl/>
      <w:bidi w:val="0"/>
      <w:jc w:val="left"/>
    </w:pPr>
    <w:rPr>
      <w:rFonts w:ascii="Cambria" w:hAnsi="Cambria" w:eastAsia="MS Mincho" w:cs="Times New Roman"/>
      <w:color w:val="auto"/>
      <w:kern w:val="0"/>
      <w:sz w:val="24"/>
      <w:szCs w:val="24"/>
      <w:lang w:val="ru-RU" w:eastAsia="en-US" w:bidi="ar-SA"/>
    </w:rPr>
  </w:style>
  <w:style w:type="paragraph" w:styleId="DocumentMap">
    <w:name w:val="Document Map"/>
    <w:basedOn w:val="Normal"/>
    <w:uiPriority w:val="99"/>
    <w:semiHidden/>
    <w:unhideWhenUsed/>
    <w:qFormat/>
    <w:rsid w:val="00f41fb2"/>
    <w:pPr/>
    <w:rPr>
      <w:rFonts w:ascii="Times New Roman" w:hAnsi="Times New Roman"/>
    </w:rPr>
  </w:style>
  <w:style w:type="paragraph" w:styleId="Bibliography">
    <w:name w:val="Bibliography"/>
    <w:basedOn w:val="Normal"/>
    <w:uiPriority w:val="70"/>
    <w:unhideWhenUsed/>
    <w:qFormat/>
    <w:rsid w:val="00f20a19"/>
    <w:pPr>
      <w:tabs>
        <w:tab w:val="left" w:pos="384" w:leader="none"/>
      </w:tabs>
      <w:spacing w:before="0" w:after="240"/>
      <w:ind w:left="384" w:hanging="384"/>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3">
    <w:name w:val="Table Grid"/>
    <w:basedOn w:val="a1"/>
    <w:uiPriority w:val="59"/>
    <w:rsid w:val="00185f5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yperlink" Target="https://doi.org/10.1038/nrrheum.2011.38" TargetMode="External"/><Relationship Id="rId4" Type="http://schemas.openxmlformats.org/officeDocument/2006/relationships/hyperlink" Target="https://www.ncbi.nlm.nih.gov/pubmed/21487383" TargetMode="External"/><Relationship Id="rId5" Type="http://schemas.openxmlformats.org/officeDocument/2006/relationships/hyperlink" Target="https://doi.org/10.1002/art.24088" TargetMode="External"/><Relationship Id="rId6" Type="http://schemas.openxmlformats.org/officeDocument/2006/relationships/hyperlink" Target="https://www.ncbi.nlm.nih.gov/pubmed/19116976" TargetMode="External"/><Relationship Id="rId7" Type="http://schemas.openxmlformats.org/officeDocument/2006/relationships/hyperlink" Target="https://doi.org/10.1016/j.pec.2013.02.006" TargetMode="External"/><Relationship Id="rId8" Type="http://schemas.openxmlformats.org/officeDocument/2006/relationships/hyperlink" Target="https://www.ncbi.nlm.nih.gov/pubmed/23490174" TargetMode="External"/><Relationship Id="rId9" Type="http://schemas.openxmlformats.org/officeDocument/2006/relationships/hyperlink" Target="https://doi.org/10.1186/1546-0096-10-36" TargetMode="External"/><Relationship Id="rId10" Type="http://schemas.openxmlformats.org/officeDocument/2006/relationships/hyperlink" Target="https://doi.org/10.1093/rheumatology/keh175" TargetMode="External"/><Relationship Id="rId11" Type="http://schemas.openxmlformats.org/officeDocument/2006/relationships/hyperlink" Target="https://www.ncbi.nlm.nih.gov/pubmed/15039498" TargetMode="External"/><Relationship Id="rId12" Type="http://schemas.openxmlformats.org/officeDocument/2006/relationships/hyperlink" Target="https://doi.org/10.1007/s10067-010-1444-0" TargetMode="External"/><Relationship Id="rId13" Type="http://schemas.openxmlformats.org/officeDocument/2006/relationships/hyperlink" Target="https://www.ncbi.nlm.nih.gov/pubmed/20383546" TargetMode="External"/><Relationship Id="rId14" Type="http://schemas.openxmlformats.org/officeDocument/2006/relationships/hyperlink" Target="https://doi.org/10.1002/acr.21695" TargetMode="External"/><Relationship Id="rId15" Type="http://schemas.openxmlformats.org/officeDocument/2006/relationships/hyperlink" Target="https://www.ncbi.nlm.nih.gov/pubmed/22504867" TargetMode="External"/><Relationship Id="rId16" Type="http://schemas.openxmlformats.org/officeDocument/2006/relationships/hyperlink" Target="https://doi.org/10.1093/rheumatology/41.12.1436" TargetMode="External"/><Relationship Id="rId17" Type="http://schemas.openxmlformats.org/officeDocument/2006/relationships/hyperlink" Target="https://www.ncbi.nlm.nih.gov/pubmed/12468825" TargetMode="External"/><Relationship Id="rId18" Type="http://schemas.openxmlformats.org/officeDocument/2006/relationships/hyperlink" Target="https://doi.org/10.1002/art.23916" TargetMode="External"/><Relationship Id="rId19" Type="http://schemas.openxmlformats.org/officeDocument/2006/relationships/hyperlink" Target="https://www.ncbi.nlm.nih.gov/pubmed/18668599" TargetMode="External"/><Relationship Id="rId20" Type="http://schemas.openxmlformats.org/officeDocument/2006/relationships/hyperlink" Target="https://doi.org/10.1002/acr.21609" TargetMode="External"/><Relationship Id="rId21" Type="http://schemas.openxmlformats.org/officeDocument/2006/relationships/hyperlink" Target="https://www.ncbi.nlm.nih.gov/pubmed/22238240" TargetMode="External"/><Relationship Id="rId22" Type="http://schemas.openxmlformats.org/officeDocument/2006/relationships/hyperlink" Target="https://doi.org/10.1136/ard.2007.084848" TargetMode="External"/><Relationship Id="rId23" Type="http://schemas.openxmlformats.org/officeDocument/2006/relationships/hyperlink" Target="https://www.ncbi.nlm.nih.gov/pubmed/18375533" TargetMode="External"/><Relationship Id="rId24" Type="http://schemas.openxmlformats.org/officeDocument/2006/relationships/hyperlink" Target="https://www.ncbi.nlm.nih.gov/pubmed/16273780" TargetMode="External"/><Relationship Id="rId25" Type="http://schemas.openxmlformats.org/officeDocument/2006/relationships/hyperlink" Target="https://www.ncbi.nlm.nih.gov/pubmed/14760812" TargetMode="External"/><Relationship Id="rId26" Type="http://schemas.openxmlformats.org/officeDocument/2006/relationships/hyperlink" Target="https://doi.org/10.1002/acr.20460" TargetMode="External"/><Relationship Id="rId27" Type="http://schemas.openxmlformats.org/officeDocument/2006/relationships/hyperlink" Target="https://www.ncbi.nlm.nih.gov/pubmed/21452260" TargetMode="External"/><Relationship Id="rId28" Type="http://schemas.openxmlformats.org/officeDocument/2006/relationships/hyperlink" Target="https://doi.org/10.1002/art.10863" TargetMode="External"/><Relationship Id="rId29" Type="http://schemas.openxmlformats.org/officeDocument/2006/relationships/hyperlink" Target="https://www.ncbi.nlm.nih.gov/pubmed/12632431" TargetMode="External"/><Relationship Id="rId30" Type="http://schemas.openxmlformats.org/officeDocument/2006/relationships/hyperlink" Target="https://www.ncbi.nlm.nih.gov/pubmed/9150087" TargetMode="External"/><Relationship Id="rId31" Type="http://schemas.openxmlformats.org/officeDocument/2006/relationships/hyperlink" Target="https://www.ncbi.nlm.nih.gov/pubmed/9489836" TargetMode="External"/><Relationship Id="rId32" Type="http://schemas.openxmlformats.org/officeDocument/2006/relationships/hyperlink" Target="https://www.ncbi.nlm.nih.gov/pubmed/9416862" TargetMode="External"/><Relationship Id="rId33" Type="http://schemas.openxmlformats.org/officeDocument/2006/relationships/hyperlink" Target="https://doi.org/10.1136/ard.2004.026591" TargetMode="External"/><Relationship Id="rId34" Type="http://schemas.openxmlformats.org/officeDocument/2006/relationships/hyperlink" Target="http://www.jrheum.org/content/30/3/585.long" TargetMode="External"/><Relationship Id="rId35" Type="http://schemas.openxmlformats.org/officeDocument/2006/relationships/hyperlink" Target="https://www.ncbi.nlm.nih.gov/pubmed/12610821" TargetMode="External"/><Relationship Id="rId36" Type="http://schemas.openxmlformats.org/officeDocument/2006/relationships/hyperlink" Target="https://doi.org/10.1016/j.jbspin.2015.03.005" TargetMode="External"/><Relationship Id="rId37" Type="http://schemas.openxmlformats.org/officeDocument/2006/relationships/hyperlink" Target="https://www.ncbi.nlm.nih.gov/pubmed/26231098" TargetMode="External"/><Relationship Id="rId38" Type="http://schemas.openxmlformats.org/officeDocument/2006/relationships/hyperlink" Target="https://doi.org/10.1093/rheumatology/ken095" TargetMode="External"/><Relationship Id="rId39" Type="http://schemas.openxmlformats.org/officeDocument/2006/relationships/hyperlink" Target="https://www.ncbi.nlm.nih.gov/pubmed/18356173" TargetMode="External"/><Relationship Id="rId40" Type="http://schemas.openxmlformats.org/officeDocument/2006/relationships/hyperlink" Target="https://doi.org/10.1093/jpepsy/28.1.29" TargetMode="External"/><Relationship Id="rId41" Type="http://schemas.openxmlformats.org/officeDocument/2006/relationships/hyperlink" Target="https://www.ncbi.nlm.nih.gov/pubmed/12490628" TargetMode="External"/><Relationship Id="rId42" Type="http://schemas.openxmlformats.org/officeDocument/2006/relationships/hyperlink" Target="https://doi.org/10.1002/art.10444" TargetMode="External"/><Relationship Id="rId43" Type="http://schemas.openxmlformats.org/officeDocument/2006/relationships/hyperlink" Target="https://www.ncbi.nlm.nih.gov/pubmed/12355487" TargetMode="External"/><Relationship Id="rId44" Type="http://schemas.openxmlformats.org/officeDocument/2006/relationships/hyperlink" Target="https://doi.org/10.1155/2012/237258" TargetMode="External"/><Relationship Id="rId45" Type="http://schemas.openxmlformats.org/officeDocument/2006/relationships/hyperlink" Target="https://www.ncbi.nlm.nih.gov/pubmed/23248812" TargetMode="External"/><Relationship Id="rId46" Type="http://schemas.openxmlformats.org/officeDocument/2006/relationships/hyperlink" Target="https://doi.org/10.1097/00002281-199903000-00003" TargetMode="External"/><Relationship Id="rId47" Type="http://schemas.openxmlformats.org/officeDocument/2006/relationships/hyperlink" Target="https://www.ncbi.nlm.nih.gov/pubmed/10319211" TargetMode="External"/><Relationship Id="rId48" Type="http://schemas.openxmlformats.org/officeDocument/2006/relationships/hyperlink" Target="https://doi.org/10.1111/j.1526-4637.2005.05014.x" TargetMode="External"/><Relationship Id="rId49" Type="http://schemas.openxmlformats.org/officeDocument/2006/relationships/hyperlink" Target="https://www.ncbi.nlm.nih.gov/pubmed/15669948" TargetMode="External"/><Relationship Id="rId50" Type="http://schemas.openxmlformats.org/officeDocument/2006/relationships/hyperlink" Target="https://doi.org/10.1002/acr.22112" TargetMode="External"/><Relationship Id="rId51" Type="http://schemas.openxmlformats.org/officeDocument/2006/relationships/hyperlink" Target="https://www.ncbi.nlm.nih.gov/pubmed/23983081" TargetMode="External"/><Relationship Id="rId52" Type="http://schemas.openxmlformats.org/officeDocument/2006/relationships/hyperlink" Target="https://doi.org/10.1136/ard.2009.111260" TargetMode="External"/><Relationship Id="rId53" Type="http://schemas.openxmlformats.org/officeDocument/2006/relationships/hyperlink" Target="https://www.ncbi.nlm.nih.gov/pubmed/19581280" TargetMode="External"/><Relationship Id="rId54" Type="http://schemas.openxmlformats.org/officeDocument/2006/relationships/numbering" Target="numbering.xml"/><Relationship Id="rId55" Type="http://schemas.openxmlformats.org/officeDocument/2006/relationships/fontTable" Target="fontTable.xml"/><Relationship Id="rId56" Type="http://schemas.openxmlformats.org/officeDocument/2006/relationships/settings" Target="settings.xml"/><Relationship Id="rId57" Type="http://schemas.openxmlformats.org/officeDocument/2006/relationships/theme" Target="theme/theme1.xml"/><Relationship Id="rId58"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SF-36</a:t>
            </a:r>
          </a:p>
        </c:rich>
      </c:tx>
      <c:overlay val="0"/>
    </c:title>
    <c:autoTitleDeleted val="0"/>
    <c:plotArea>
      <c:barChart>
        <c:barDir val="col"/>
        <c:grouping val="clustered"/>
        <c:varyColors val="0"/>
        <c:ser>
          <c:idx val="0"/>
          <c:order val="0"/>
          <c:tx>
            <c:strRef>
              <c:f>label 0</c:f>
              <c:strCache>
                <c:ptCount val="1"/>
                <c:pt idx="0">
                  <c:v>Хворі на ЮІА</c:v>
                </c:pt>
              </c:strCache>
            </c:strRef>
          </c:tx>
          <c:spPr>
            <a:solidFill>
              <a:srgbClr val="5b9bd5"/>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0</c:f>
              <c:numCache>
                <c:formatCode>General</c:formatCode>
                <c:ptCount val="10"/>
                <c:pt idx="0">
                  <c:v>46.2977108433735</c:v>
                </c:pt>
                <c:pt idx="1">
                  <c:v>46.9592771084337</c:v>
                </c:pt>
                <c:pt idx="2">
                  <c:v>74.2592592592592</c:v>
                </c:pt>
                <c:pt idx="3">
                  <c:v>64.5833333333332</c:v>
                </c:pt>
                <c:pt idx="4">
                  <c:v>58.9864197530863</c:v>
                </c:pt>
                <c:pt idx="5">
                  <c:v>56.4691358024691</c:v>
                </c:pt>
                <c:pt idx="6">
                  <c:v>58.233950617284</c:v>
                </c:pt>
                <c:pt idx="7">
                  <c:v>75.7716049382716</c:v>
                </c:pt>
                <c:pt idx="8">
                  <c:v>69.2386419753086</c:v>
                </c:pt>
                <c:pt idx="9">
                  <c:v>69.3209876543209</c:v>
                </c:pt>
              </c:numCache>
            </c:numRef>
          </c:val>
        </c:ser>
        <c:ser>
          <c:idx val="1"/>
          <c:order val="1"/>
          <c:tx>
            <c:strRef>
              <c:f>label 1</c:f>
              <c:strCache>
                <c:ptCount val="1"/>
                <c:pt idx="0">
                  <c:v>Контроль</c:v>
                </c:pt>
              </c:strCache>
            </c:strRef>
          </c:tx>
          <c:spPr>
            <a:solidFill>
              <a:srgbClr val="ed7d31"/>
            </a:solidFill>
            <a:ln>
              <a:noFill/>
            </a:ln>
          </c:spPr>
          <c:invertIfNegative val="0"/>
          <c:dLbls>
            <c:numFmt formatCode="General" sourceLinked="1"/>
            <c:dLblPos val="outEnd"/>
            <c:showLegendKey val="0"/>
            <c:showVal val="0"/>
            <c:showCatName val="0"/>
            <c:showSerName val="0"/>
            <c:showPercent val="0"/>
            <c:showLeaderLines val="0"/>
          </c:dLbls>
          <c:cat>
            <c:strRef>
              <c:f>categories</c:f>
              <c:strCache>
                <c:ptCount val="10"/>
                <c:pt idx="0">
                  <c:v> PCS</c:v>
                </c:pt>
                <c:pt idx="1">
                  <c:v> MCS</c:v>
                </c:pt>
                <c:pt idx="2">
                  <c:v>PF</c:v>
                </c:pt>
                <c:pt idx="3">
                  <c:v>RF</c:v>
                </c:pt>
                <c:pt idx="4">
                  <c:v>BP</c:v>
                </c:pt>
                <c:pt idx="5">
                  <c:v>GH</c:v>
                </c:pt>
                <c:pt idx="6">
                  <c:v>VT</c:v>
                </c:pt>
                <c:pt idx="7">
                  <c:v>SF</c:v>
                </c:pt>
                <c:pt idx="8">
                  <c:v>RE</c:v>
                </c:pt>
                <c:pt idx="9">
                  <c:v>MH</c:v>
                </c:pt>
              </c:strCache>
            </c:strRef>
          </c:cat>
          <c:val>
            <c:numRef>
              <c:f>1</c:f>
              <c:numCache>
                <c:formatCode>General</c:formatCode>
                <c:ptCount val="10"/>
                <c:pt idx="0">
                  <c:v>55.665</c:v>
                </c:pt>
                <c:pt idx="1">
                  <c:v>45.0825</c:v>
                </c:pt>
                <c:pt idx="2">
                  <c:v>94.6868749999999</c:v>
                </c:pt>
                <c:pt idx="3">
                  <c:v>83.813125</c:v>
                </c:pt>
                <c:pt idx="4">
                  <c:v>84.5</c:v>
                </c:pt>
                <c:pt idx="5">
                  <c:v>60.125</c:v>
                </c:pt>
                <c:pt idx="6">
                  <c:v>59.765625</c:v>
                </c:pt>
                <c:pt idx="7">
                  <c:v>80.46875</c:v>
                </c:pt>
                <c:pt idx="8">
                  <c:v>75</c:v>
                </c:pt>
                <c:pt idx="9">
                  <c:v>68.4375</c:v>
                </c:pt>
              </c:numCache>
            </c:numRef>
          </c:val>
        </c:ser>
        <c:gapWidth val="150"/>
        <c:overlap val="0"/>
        <c:axId val="80346323"/>
        <c:axId val="75848554"/>
      </c:barChart>
      <c:catAx>
        <c:axId val="80346323"/>
        <c:scaling>
          <c:orientation val="minMax"/>
        </c:scaling>
        <c:delete val="0"/>
        <c:axPos val="b"/>
        <c:numFmt formatCode="MM/DD/YYYY" sourceLinked="1"/>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75848554"/>
        <c:crosses val="autoZero"/>
        <c:auto val="1"/>
        <c:lblAlgn val="ctr"/>
        <c:lblOffset val="100"/>
      </c:catAx>
      <c:valAx>
        <c:axId val="75848554"/>
        <c:scaling>
          <c:orientation val="minMax"/>
        </c:scaling>
        <c:delete val="0"/>
        <c:axPos val="l"/>
        <c:majorGridlines>
          <c:spPr>
            <a:ln w="6480">
              <a:solidFill>
                <a:srgbClr val="8b8b8b"/>
              </a:solidFill>
              <a:round/>
            </a:ln>
          </c:spPr>
        </c:majorGridlines>
        <c:numFmt formatCode="0" sourceLinked="0"/>
        <c:majorTickMark val="none"/>
        <c:minorTickMark val="none"/>
        <c:tickLblPos val="nextTo"/>
        <c:spPr>
          <a:ln w="6480">
            <a:solidFill>
              <a:srgbClr val="8b8b8b"/>
            </a:solidFill>
            <a:round/>
          </a:ln>
        </c:spPr>
        <c:txPr>
          <a:bodyPr/>
          <a:lstStyle/>
          <a:p>
            <a:pPr>
              <a:defRPr b="0" sz="1000" spc="-1" strike="noStrike">
                <a:solidFill>
                  <a:srgbClr val="000000"/>
                </a:solidFill>
                <a:latin typeface="Calibri"/>
              </a:defRPr>
            </a:pPr>
          </a:p>
        </c:txPr>
        <c:crossAx val="80346323"/>
        <c:crosses val="autoZero"/>
      </c:valAx>
      <c:spPr>
        <a:solidFill>
          <a:srgbClr val="ffffff"/>
        </a:solidFill>
        <a:ln>
          <a:noFill/>
        </a:ln>
      </c:spPr>
    </c:plotArea>
    <c:legend>
      <c:layout>
        <c:manualLayout>
          <c:xMode val="edge"/>
          <c:yMode val="edge"/>
          <c:x val="0.725"/>
          <c:y val="0.0448888888888889"/>
          <c:w val="0.213888368023001"/>
          <c:h val="0.181464607178575"/>
        </c:manualLayout>
      </c:layout>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ArticleInAPeriodical</b:SourceType>
    <b:Guid>{C532085E-3C6C-4836-ABA5-F78D652827B1}</b:Guid>
    <b:Title>Simple journal article: first citation</b:Title>
    <b:Year>2018</b:Year>
    <b:Pages>4-12</b:Pages>
    <b:Author>
      <b:Author>
        <b:NameList>
          <b:Person>
            <b:Last>Moroz</b:Last>
            <b:Middle>S</b:Middle>
            <b:First>F</b:First>
          </b:Person>
          <b:Person>
            <b:Last>Bezsheiko</b:Last>
            <b:Middle>G</b:Middle>
            <b:First>V</b:First>
          </b:Person>
        </b:NameList>
      </b:Author>
    </b:Author>
    <b:PeriodicalTitle>Demo Journal</b:PeriodicalTitle>
    <b:Month>4</b:Month>
    <b:Day>21</b:Day>
    <b:RefOrder>1</b:RefOrder>
  </b:Source>
  <b:Source>
    <b:Tag>Fra14</b:Tag>
    <b:SourceType>JournalArticle</b:SourceType>
    <b:Guid>{E49E59C0-A199-4CC5-ABBA-0D024DA3652D}</b:Guid>
    <b:Title>Second journal article title</b:Title>
    <b:Year>2014</b:Year>
    <b:Pages>224-255</b:Pages>
    <b:JournalName>Demo Journal</b:JournalName>
    <b:Author>
      <b:Author>
        <b:NameList>
          <b:Person>
            <b:Last>Frankova</b:Last>
            <b:Middle>Alexandrovna</b:Middle>
            <b:First>Iryna</b:First>
          </b:Person>
          <b:Person>
            <b:Last>Semenoga</b:Last>
            <b:Middle>Petrovich</b:Middle>
            <b:First>Petro</b:First>
          </b:Person>
        </b:NameList>
      </b:Author>
    </b:Author>
    <b:RefOrder>2</b:RefOrder>
  </b:Source>
</b:Sources>
</file>

<file path=customXml/itemProps1.xml><?xml version="1.0" encoding="utf-8"?>
<ds:datastoreItem xmlns:ds="http://schemas.openxmlformats.org/officeDocument/2006/customXml" ds:itemID="{0D775F5A-3E27-4D5B-B5B9-6C568F0B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2531</TotalTime>
  <Application>LibreOffice/6.0.6.2$Linux_X86_64 LibreOffice_project/00m0$Build-2</Application>
  <Pages>10</Pages>
  <Words>3357</Words>
  <Characters>20552</Characters>
  <CharactersWithSpaces>23665</CharactersWithSpaces>
  <Paragraphs>240</Paragraphs>
  <Company>2</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2017-12-01T03:59:00Z</dcterms:created>
  <dc:creator>1 2</dc:creator>
  <dc:description/>
  <dc:language>en-US</dc:language>
  <cp:lastModifiedBy/>
  <dcterms:modified xsi:type="dcterms:W3CDTF">2018-12-04T19:25:20Z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zotero-version="5.0.55"&gt;&lt;session id="4xMCZDSZ"/&gt;&lt;style id="http://www.zotero.org/styles/vancouver" locale="en-GB" hasBibliography="1" bibliographyStyleHasBeenSet="1"/&gt;&lt;prefs&gt;&lt;pref name="fieldType" value="Field"/&gt;&lt;/prefs&gt;&lt;/data&gt;</vt:lpwstr>
  </property>
</Properties>
</file>