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lang w:val="en-US"/>
        </w:rPr>
      </w:r>
    </w:p>
    <w:p>
      <w:pPr>
        <w:pStyle w:val="Heading1"/>
        <w:rPr>
          <w:lang w:val="en-US"/>
        </w:rPr>
      </w:pPr>
      <w:r>
        <w:rPr>
          <w:lang w:val="en-US"/>
        </w:rPr>
        <w:t>Introduction</w:t>
      </w:r>
    </w:p>
    <w:p>
      <w:pPr>
        <w:pStyle w:val="Normal"/>
        <w:ind w:firstLine="720"/>
        <w:jc w:val="both"/>
        <w:rPr/>
      </w:pPr>
      <w:r>
        <w:rPr>
          <w:rFonts w:ascii="Times New Roman" w:hAnsi="Times New Roman"/>
          <w:b/>
          <w:bCs/>
          <w:lang w:val="en-US"/>
        </w:rPr>
        <w:t xml:space="preserve">Juvenile idiopathic </w:t>
      </w:r>
      <w:r>
        <w:rPr>
          <w:rFonts w:ascii="Times New Roman" w:hAnsi="Times New Roman"/>
          <w:b/>
          <w:bCs/>
          <w:i/>
          <w:iCs/>
          <w:lang w:val="en-US"/>
        </w:rPr>
        <w:t>arthritis</w:t>
      </w:r>
      <w:r>
        <w:rPr>
          <w:rFonts w:ascii="Times New Roman" w:hAnsi="Times New Roman"/>
          <w:b/>
          <w:bCs/>
          <w:lang w:val="en-US"/>
        </w:rPr>
        <w:t xml:space="preserve"> (JIA)</w:t>
      </w:r>
      <w:r>
        <w:rPr>
          <w:rFonts w:ascii="Times New Roman" w:hAnsi="Times New Roman"/>
          <w:lang w:val="en-US"/>
        </w:rPr>
        <w:t xml:space="preserve"> </w:t>
      </w:r>
      <w:r>
        <w:rPr>
          <w:rFonts w:ascii="Times New Roman" w:hAnsi="Times New Roman"/>
          <w:vertAlign w:val="superscript"/>
          <w:lang w:val="en-US"/>
        </w:rPr>
        <w:t>often</w:t>
      </w:r>
      <w:r>
        <w:rPr>
          <w:rFonts w:ascii="Times New Roman" w:hAnsi="Times New Roman"/>
          <w:lang w:val="en-US"/>
        </w:rPr>
        <w:t xml:space="preserve"> causes </w:t>
      </w:r>
      <w:r>
        <w:rPr>
          <w:rFonts w:ascii="Times New Roman" w:hAnsi="Times New Roman"/>
          <w:vertAlign w:val="subscript"/>
          <w:lang w:val="en-US"/>
        </w:rPr>
        <w:t>significant</w:t>
      </w:r>
      <w:r>
        <w:rPr>
          <w:rFonts w:ascii="Times New Roman" w:hAnsi="Times New Roman"/>
          <w:lang w:val="en-US"/>
        </w:rPr>
        <w:t xml:space="preserve"> functional </w:t>
      </w:r>
      <w:r>
        <w:rPr>
          <w:rFonts w:ascii="Times New Roman" w:hAnsi="Times New Roman"/>
          <w:strike/>
          <w:lang w:val="en-US"/>
        </w:rPr>
        <w:t>impairment</w:t>
      </w:r>
      <w:r>
        <w:rPr>
          <w:rFonts w:ascii="Times New Roman" w:hAnsi="Times New Roman"/>
          <w:lang w:val="en-US"/>
        </w:rPr>
        <w:t xml:space="preserve"> throughout the lifespan [1,2]. Medical workers who are aware of the JIA’s clinical course specifics in adolescence can provide better assistance at the transition stage when a patient’s healthcare shifts from a pediatric to an adult health services [3, 4,5]. The patient's transmission is a multidimensional, interdisciplinary and active process, which addresses the medical, socio-psychological and educational/professional needs of adolescents with JIA [6,7,8]. Previous studies have shown that the use of specific questionnaires (CHQ, Peds-QL) don’t allow fully assess psychometric changes in young adults.</w:t>
      </w:r>
      <w:r>
        <w:rPr>
          <w:rFonts w:ascii="Times New Roman" w:hAnsi="Times New Roman"/>
          <w:lang w:val="uk-UA"/>
        </w:rPr>
        <w:t xml:space="preserve"> </w:t>
      </w:r>
      <w:r>
        <w:rPr>
          <w:rFonts w:ascii="Times New Roman" w:hAnsi="Times New Roman"/>
          <w:lang w:val="en-US"/>
        </w:rPr>
        <w:t>In particular, the interpretation of these studies’ results on Peds-QL is limited due to a small sample size [10]. On the contrary, when using HR-QOL, Haverman L. et al. (2011) found significant changes in the quality of life in children and adolescents with JIA [11].</w:t>
      </w:r>
    </w:p>
    <w:p>
      <w:pPr>
        <w:pStyle w:val="Heading2"/>
        <w:rPr/>
      </w:pPr>
      <w:r>
        <w:rPr/>
        <w:t>Heading 2</w:t>
      </w:r>
    </w:p>
    <w:p>
      <w:pPr>
        <w:pStyle w:val="Normal"/>
        <w:numPr>
          <w:ilvl w:val="0"/>
          <w:numId w:val="8"/>
        </w:numPr>
        <w:jc w:val="both"/>
        <w:rPr/>
      </w:pPr>
      <w:r>
        <w:rPr>
          <w:rFonts w:ascii="Times New Roman" w:hAnsi="Times New Roman"/>
          <w:lang w:val="en-US"/>
        </w:rPr>
        <w:t>First</w:t>
      </w:r>
    </w:p>
    <w:p>
      <w:pPr>
        <w:pStyle w:val="Normal"/>
        <w:numPr>
          <w:ilvl w:val="0"/>
          <w:numId w:val="8"/>
        </w:numPr>
        <w:jc w:val="both"/>
        <w:rPr/>
      </w:pPr>
      <w:r>
        <w:rPr>
          <w:rFonts w:ascii="Times New Roman" w:hAnsi="Times New Roman"/>
          <w:lang w:val="en-US"/>
        </w:rPr>
        <w:t>Second</w:t>
      </w:r>
    </w:p>
    <w:p>
      <w:pPr>
        <w:pStyle w:val="Normal"/>
        <w:numPr>
          <w:ilvl w:val="1"/>
          <w:numId w:val="8"/>
        </w:numPr>
        <w:jc w:val="both"/>
        <w:rPr/>
      </w:pPr>
      <w:r>
        <w:rPr>
          <w:rFonts w:ascii="Times New Roman" w:hAnsi="Times New Roman"/>
          <w:lang w:val="en-US"/>
        </w:rPr>
        <w:t>Level 2 First</w:t>
      </w:r>
    </w:p>
    <w:p>
      <w:pPr>
        <w:pStyle w:val="Normal"/>
        <w:numPr>
          <w:ilvl w:val="2"/>
          <w:numId w:val="8"/>
        </w:numPr>
        <w:jc w:val="both"/>
        <w:rPr/>
      </w:pPr>
      <w:r>
        <w:rPr>
          <w:rFonts w:ascii="Times New Roman" w:hAnsi="Times New Roman"/>
          <w:lang w:val="en-US"/>
        </w:rPr>
        <w:t>Level 3 First</w:t>
      </w:r>
    </w:p>
    <w:p>
      <w:pPr>
        <w:pStyle w:val="Normal"/>
        <w:numPr>
          <w:ilvl w:val="2"/>
          <w:numId w:val="8"/>
        </w:numPr>
        <w:jc w:val="both"/>
        <w:rPr/>
      </w:pPr>
      <w:r>
        <w:rPr>
          <w:rFonts w:ascii="Times New Roman" w:hAnsi="Times New Roman"/>
          <w:lang w:val="en-US"/>
        </w:rPr>
        <w:t>Level 3 Second</w:t>
      </w:r>
    </w:p>
    <w:p>
      <w:pPr>
        <w:pStyle w:val="Normal"/>
        <w:numPr>
          <w:ilvl w:val="1"/>
          <w:numId w:val="8"/>
        </w:numPr>
        <w:jc w:val="both"/>
        <w:rPr/>
      </w:pPr>
      <w:r>
        <w:rPr>
          <w:rFonts w:ascii="Times New Roman" w:hAnsi="Times New Roman"/>
          <w:lang w:val="en-US"/>
        </w:rPr>
        <w:t>Level 2 Second</w:t>
      </w:r>
    </w:p>
    <w:p>
      <w:pPr>
        <w:pStyle w:val="Normal"/>
        <w:numPr>
          <w:ilvl w:val="0"/>
          <w:numId w:val="8"/>
        </w:numPr>
        <w:jc w:val="both"/>
        <w:rPr/>
      </w:pPr>
      <w:r>
        <w:rPr>
          <w:rFonts w:ascii="Times New Roman" w:hAnsi="Times New Roman"/>
          <w:lang w:val="en-US"/>
        </w:rPr>
        <w:t>Third</w:t>
      </w:r>
    </w:p>
    <w:p>
      <w:pPr>
        <w:pStyle w:val="Normal"/>
        <w:numPr>
          <w:ilvl w:val="1"/>
          <w:numId w:val="8"/>
        </w:numPr>
        <w:jc w:val="both"/>
        <w:rPr/>
      </w:pPr>
      <w:r>
        <w:rPr>
          <w:rFonts w:ascii="Times New Roman" w:hAnsi="Times New Roman"/>
          <w:lang w:val="en-US"/>
        </w:rPr>
        <w:t>Level 2 Third</w:t>
      </w:r>
    </w:p>
    <w:p>
      <w:pPr>
        <w:pStyle w:val="Normal"/>
        <w:ind w:firstLine="720"/>
        <w:jc w:val="both"/>
        <w:rPr/>
      </w:pPr>
      <w:r>
        <w:rPr>
          <w:rFonts w:ascii="Times New Roman" w:hAnsi="Times New Roman"/>
          <w:lang w:val="en-US"/>
        </w:rPr>
        <w:t>The HAQ</w:t>
      </w:r>
      <w:sdt>
        <w:sdtPr>
          <w:citation/>
        </w:sdtPr>
        <w:sdtContent>
          <w:r>
            <w:rPr/>
            <w:fldChar w:fldCharType="begin"/>
          </w:r>
          <w:r>
            <w:rPr/>
            <w:instrText>CITATION Mor18 \l 1033</w:instrText>
          </w:r>
          <w:r>
            <w:rPr/>
            <w:fldChar w:fldCharType="separate"/>
          </w:r>
          <w:r>
            <w:rPr/>
            <w:t xml:space="preserve"> (Moroz &amp; Bezsheiko, 2018)</w:t>
          </w:r>
          <w:r>
            <w:rPr/>
            <w:fldChar w:fldCharType="end"/>
          </w:r>
        </w:sdtContent>
      </w:sdt>
      <w:r>
        <w:rPr>
          <w:rFonts w:ascii="Times New Roman" w:hAnsi="Times New Roman"/>
          <w:lang w:val="en-US"/>
        </w:rPr>
        <w:t xml:space="preserve"> questionnaire is widely used in clinical practice for the study rheumatic diseases in adults, particularly in rheumatoid arthritis [12]. This questionnaire is a useful tool for evaluation of functional status, its change during treatment </w:t>
      </w:r>
      <w:sdt>
        <w:sdtPr>
          <w:citation/>
        </w:sdtPr>
        <w:sdtContent>
          <w:r>
            <w:rPr/>
            <w:fldChar w:fldCharType="begin"/>
          </w:r>
          <w:r>
            <w:rPr/>
            <w:instrText>CITATION Fra14 \l 1033</w:instrText>
          </w:r>
          <w:r>
            <w:rPr/>
            <w:fldChar w:fldCharType="separate"/>
          </w:r>
          <w:r>
            <w:rPr/>
            <w:t>(Frankova &amp; Semenoga, 2014)</w:t>
          </w:r>
          <w:r>
            <w:rPr/>
            <w:fldChar w:fldCharType="end"/>
          </w:r>
        </w:sdtContent>
      </w:sdt>
      <w:r>
        <w:rPr>
          <w:rFonts w:ascii="Times New Roman" w:hAnsi="Times New Roman"/>
          <w:lang w:val="en-US"/>
        </w:rPr>
        <w:t>. HAQ score is also associated with disease activity, mortality, and need in joint replacement [12, 13]. Most often, for the quality of life (</w:t>
      </w:r>
      <w:r>
        <w:rPr>
          <w:rFonts w:ascii="Times New Roman" w:hAnsi="Times New Roman"/>
          <w:lang w:val="en-US"/>
        </w:rPr>
        <w:t>QoL) assessment in adult patients, the SF-36 questionnaire is used [13].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p>
    <w:p>
      <w:pPr>
        <w:pStyle w:val="Normal"/>
        <w:ind w:firstLine="720"/>
        <w:jc w:val="both"/>
        <w:rPr>
          <w:rFonts w:ascii="Times New Roman" w:hAnsi="Times New Roman"/>
          <w:lang w:val="en-US"/>
        </w:rPr>
      </w:pPr>
      <w:r>
        <w:rPr>
          <w:rFonts w:ascii="Times New Roman" w:hAnsi="Times New Roman"/>
          <w:b/>
          <w:lang w:val="en-US"/>
        </w:rPr>
        <w:t>The study aimed</w:t>
      </w:r>
      <w:r>
        <w:rPr>
          <w:rFonts w:ascii="Times New Roman" w:hAnsi="Times New Roman"/>
          <w:lang w:val="en-US"/>
        </w:rPr>
        <w:t xml:space="preserve"> to determine the impact of the disease on the QoL in young adults with JIA during the transition from a pediatric to an adult healthcare service.  </w:t>
      </w:r>
    </w:p>
    <w:p>
      <w:pPr>
        <w:pStyle w:val="Heading1"/>
        <w:rPr>
          <w:lang w:val="en-US"/>
        </w:rPr>
      </w:pPr>
      <w:r>
        <w:rPr>
          <w:lang w:val="en-US"/>
        </w:rPr>
        <w:t>Materials and methods</w:t>
      </w:r>
    </w:p>
    <w:p>
      <w:pPr>
        <w:pStyle w:val="Heading2"/>
        <w:rPr>
          <w:lang w:val="en-US"/>
        </w:rPr>
      </w:pPr>
      <w:r>
        <w:rPr>
          <w:lang w:val="en-US"/>
        </w:rPr>
        <w:t>materials</w:t>
      </w:r>
    </w:p>
    <w:p>
      <w:pPr>
        <w:pStyle w:val="Normal"/>
        <w:rPr/>
      </w:pPr>
      <w:r>
        <w:rPr>
          <w:rFonts w:ascii="Times New Roman" w:hAnsi="Times New Roman"/>
          <w:lang w:val="en-US"/>
        </w:rPr>
        <w:t xml:space="preserve">A study sample included 89 young people aged 16 to 22 years old with a history of JIA, regardless </w:t>
      </w:r>
      <w:r>
        <w:fldChar w:fldCharType="begin"/>
      </w:r>
      <w:r>
        <w:rPr/>
        <w:instrText>ADDIN ZOTERO_ITEM CSL_CITATION {"citationID":"L0t60cNg","properties":{"formattedCitation":"(1)","plainCitation":"(1)","noteIndex":0},"citationItems":[{"id":2,"uris":["http://zotero.org/users/local/ZKJwPGhC/items/AGGYKWLT"],"uri":["http://zotero.org/users/local/ZKJwPGhC/items/AGGYKWLT"],"itemData":{"id":2,"type":"article-journal","title":"Google and suicides: what can we learn about the use of internet to prevent suicides?","container-title":"Public Health","page":"144-150","volume":"154","source":"ScienceDirect","abstract":"Objectives\nThis article studies the statistical relationship between the search propensity of suicide-related terms on Google and the number of suicides.\nStudy design\nSuicide mortality data from all American states from January 2006 to November 2014 (n = 5372) and data on Google search intensity for the same period was collected.\nMethods\nRegression analysis with dynamic components was performed to determine the relationship between search intensity and the number of suicides.\nResults\nFirst, this article finds a positive simultaneous correlation between search intensity and the number of suicides. The magnitude of this relationship has grown from 2006 to 2014 suggesting an increased reliance on the internet for suicide-related information. Second, search propensity is a significant predictor for the number of suicides for youth and for males.\nConclusions\nSuicide prevention websites should therefore be designed knowing that at-risk individuals in both groups are probably more prone to look for suicide-related information online.","DOI":"10.1016/j.puhe.2017.10.016","ISSN":"0033-3506","shortTitle":"Google and suicides","journalAbbreviation":"Public Health","author":[{"family":"Chandler","given":"V."}],"issued":{"date-parts":[["2018",1,1]]}}}],"schema":"https://github.com/citation-style-language/schema/raw/master/csl-citation.json"}</w:instrText>
      </w:r>
      <w:r>
        <w:rPr/>
        <w:fldChar w:fldCharType="separate"/>
      </w:r>
      <w:bookmarkStart w:id="0" w:name="__Fieldmark__41_1948271137"/>
      <w:r>
        <w:rPr/>
      </w:r>
      <w:r>
        <w:rPr>
          <w:rFonts w:ascii="Times New Roman" w:hAnsi="Times New Roman"/>
          <w:lang w:val="en-US"/>
        </w:rPr>
        <w:t>(</w:t>
      </w:r>
      <w:bookmarkStart w:id="1" w:name="__Fieldmark__39_3555270522"/>
      <w:r>
        <w:rPr>
          <w:rFonts w:ascii="Times New Roman" w:hAnsi="Times New Roman"/>
          <w:lang w:val="en-US"/>
        </w:rPr>
        <w:t>1</w:t>
      </w:r>
      <w:bookmarkStart w:id="2" w:name="__Fieldmark__39_712766526"/>
      <w:r>
        <w:rPr>
          <w:rFonts w:ascii="Times New Roman" w:hAnsi="Times New Roman"/>
          <w:lang w:val="en-US"/>
        </w:rPr>
        <w:t>)</w:t>
      </w:r>
      <w:bookmarkStart w:id="3" w:name="__Fieldmark__38_2241033896"/>
      <w:r>
        <w:rPr/>
      </w:r>
      <w:r>
        <w:rPr/>
        <w:fldChar w:fldCharType="end"/>
      </w:r>
      <w:bookmarkStart w:id="4" w:name="__Fieldmark__32_4279585507"/>
      <w:bookmarkStart w:id="5" w:name="__Fieldmark__50_434484431"/>
      <w:bookmarkStart w:id="6" w:name="__Fieldmark__32_1225654907"/>
      <w:bookmarkEnd w:id="0"/>
      <w:bookmarkEnd w:id="1"/>
      <w:bookmarkEnd w:id="2"/>
      <w:bookmarkEnd w:id="3"/>
      <w:bookmarkEnd w:id="4"/>
      <w:bookmarkEnd w:id="5"/>
      <w:bookmarkEnd w:id="6"/>
      <w:r>
        <w:rPr>
          <w:rFonts w:ascii="Times New Roman" w:hAnsi="Times New Roman"/>
          <w:lang w:val="en-US"/>
        </w:rPr>
        <w:t xml:space="preserve">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[14]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p>
    <w:p>
      <w:pPr>
        <w:pStyle w:val="Heading2"/>
        <w:rPr/>
      </w:pPr>
      <w:r>
        <w:rPr>
          <w:lang w:val="en-US"/>
        </w:rPr>
        <w:t>methods</w:t>
      </w:r>
    </w:p>
    <w:p>
      <w:pPr>
        <w:pStyle w:val="Heading3"/>
        <w:numPr>
          <w:ilvl w:val="2"/>
          <w:numId w:val="3"/>
        </w:numPr>
        <w:rPr/>
      </w:pPr>
      <w:r>
        <w:rPr/>
        <w:t>First Method</w:t>
      </w:r>
    </w:p>
    <w:p>
      <w:pPr>
        <w:pStyle w:val="Normal"/>
        <w:rPr>
          <w:rFonts w:ascii="Times New Roman" w:hAnsi="Times New Roman"/>
          <w:lang w:val="en-US"/>
        </w:rPr>
      </w:pPr>
      <w:r>
        <w:rPr>
          <w:rFonts w:ascii="Times New Roman" w:hAnsi="Times New Roman"/>
          <w:lang w:val="en-US"/>
        </w:rPr>
        <w:t>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pPr>
        <w:pStyle w:val="Normal"/>
        <w:rPr/>
      </w:pPr>
      <w:r>
        <w:rPr>
          <w:rFonts w:ascii="Times New Roman" w:hAnsi="Times New Roman"/>
          <w:lang w:val="en-US"/>
        </w:rPr>
        <w:t>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p>
    <w:p>
      <w:pPr>
        <w:pStyle w:val="Heading3"/>
        <w:numPr>
          <w:ilvl w:val="2"/>
          <w:numId w:val="3"/>
        </w:numPr>
        <w:rPr/>
      </w:pPr>
      <w:r>
        <w:rPr/>
        <w:t>Second Method</w:t>
      </w:r>
    </w:p>
    <w:p>
      <w:pPr>
        <w:pStyle w:val="TextBody"/>
        <w:rPr/>
      </w:pPr>
      <w:r>
        <w:rPr/>
        <w:t>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pPr>
        <w:pStyle w:val="Heading1"/>
        <w:rPr>
          <w:lang w:val="en-US"/>
        </w:rPr>
      </w:pPr>
      <w:r>
        <w:rPr>
          <w:lang w:val="en-US"/>
        </w:rPr>
        <w:t>Statistical analysis</w:t>
      </w:r>
    </w:p>
    <w:p>
      <w:pPr>
        <w:pStyle w:val="Normal"/>
        <w:rPr>
          <w:b/>
          <w:b/>
          <w:lang w:val="en-US"/>
        </w:rPr>
      </w:pPr>
      <w:r>
        <w:rPr>
          <w:lang w:val="en-US"/>
        </w:rPr>
        <w:t>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p>
    <w:p>
      <w:pPr>
        <w:pStyle w:val="Heading1"/>
        <w:rPr>
          <w:lang w:val="en-US"/>
        </w:rPr>
      </w:pPr>
      <w:r>
        <w:rPr>
          <w:lang w:val="en-US"/>
        </w:rPr>
        <w:t>Results</w:t>
      </w:r>
    </w:p>
    <w:p>
      <w:pPr>
        <w:pStyle w:val="Normal"/>
        <w:jc w:val="both"/>
        <w:rPr/>
      </w:pPr>
      <w:r>
        <w:rPr>
          <w:rFonts w:ascii="Times New Roman" w:hAnsi="Times New Roman"/>
          <w:lang w:val="en-US"/>
        </w:rPr>
        <w:t>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tbl>
      <w:tblPr>
        <w:tblW w:w="830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6"/>
        <w:gridCol w:w="2077"/>
        <w:gridCol w:w="2076"/>
        <w:gridCol w:w="2077"/>
      </w:tblGrid>
      <w:tr>
        <w:trPr/>
        <w:tc>
          <w:tcPr>
            <w:tcW w:w="415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 colspans</w:t>
            </w:r>
          </w:p>
        </w:tc>
        <w:tc>
          <w:tcPr>
            <w:tcW w:w="4153" w:type="dxa"/>
            <w:gridSpan w:val="2"/>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 colspans 2 rowspans</w:t>
            </w:r>
          </w:p>
        </w:tc>
      </w:tr>
      <w:tr>
        <w:trPr/>
        <w:tc>
          <w:tcPr>
            <w:tcW w:w="2076" w:type="dxa"/>
            <w:tcBorders>
              <w:left w:val="single" w:sz="2" w:space="0" w:color="000000"/>
              <w:bottom w:val="single" w:sz="2" w:space="0" w:color="000000"/>
              <w:insideH w:val="single" w:sz="2" w:space="0" w:color="000000"/>
            </w:tcBorders>
            <w:shd w:fill="auto" w:val="clear"/>
          </w:tcPr>
          <w:p>
            <w:pPr>
              <w:pStyle w:val="TableContents"/>
              <w:rPr/>
            </w:pPr>
            <w:r>
              <w:rPr/>
            </w:r>
          </w:p>
        </w:tc>
        <w:tc>
          <w:tcPr>
            <w:tcW w:w="2077" w:type="dxa"/>
            <w:tcBorders>
              <w:left w:val="single" w:sz="2" w:space="0" w:color="000000"/>
              <w:bottom w:val="single" w:sz="2" w:space="0" w:color="000000"/>
              <w:insideH w:val="single" w:sz="2" w:space="0" w:color="000000"/>
            </w:tcBorders>
            <w:shd w:fill="auto" w:val="clear"/>
          </w:tcPr>
          <w:p>
            <w:pPr>
              <w:pStyle w:val="TableContents"/>
              <w:rPr/>
            </w:pPr>
            <w:r>
              <w:rPr/>
            </w:r>
          </w:p>
        </w:tc>
        <w:tc>
          <w:tcPr>
            <w:tcW w:w="4153" w:type="dxa"/>
            <w:gridSpan w:val="2"/>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4153" w:type="dxa"/>
            <w:gridSpan w:val="2"/>
            <w:vMerge w:val="restart"/>
            <w:tcBorders>
              <w:left w:val="single" w:sz="2" w:space="0" w:color="000000"/>
              <w:bottom w:val="single" w:sz="2" w:space="0" w:color="000000"/>
              <w:insideH w:val="single" w:sz="2" w:space="0" w:color="000000"/>
            </w:tcBorders>
            <w:shd w:fill="auto" w:val="clear"/>
          </w:tcPr>
          <w:p>
            <w:pPr>
              <w:pStyle w:val="TableContents"/>
              <w:rPr/>
            </w:pPr>
            <w:r>
              <w:rPr/>
              <w:t>2 colspans 3 colspans 3 paragpraphs</w:t>
            </w:r>
          </w:p>
          <w:p>
            <w:pPr>
              <w:pStyle w:val="TableContents"/>
              <w:rPr>
                <w:b/>
                <w:b/>
                <w:bCs/>
              </w:rPr>
            </w:pPr>
            <w:r>
              <w:rPr>
                <w:b/>
                <w:bCs/>
              </w:rPr>
              <w:t xml:space="preserve">2nd bold paraphrai with </w:t>
            </w:r>
            <w:r>
              <w:rPr>
                <w:b/>
                <w:bCs/>
                <w:i/>
                <w:iCs/>
              </w:rPr>
              <w:t>italic</w:t>
            </w:r>
          </w:p>
          <w:p>
            <w:pPr>
              <w:pStyle w:val="TableContents"/>
              <w:rPr>
                <w:b/>
                <w:b/>
                <w:bCs/>
              </w:rPr>
            </w:pPr>
            <w:r>
              <w:rPr>
                <w:b/>
                <w:bCs/>
                <w:i/>
                <w:iCs/>
              </w:rPr>
              <w:t xml:space="preserve">3rd bold italic with </w:t>
            </w:r>
            <w:r>
              <w:rPr>
                <w:b/>
                <w:bCs/>
                <w:i/>
                <w:iCs/>
                <w:vertAlign w:val="superscript"/>
              </w:rPr>
              <w:t>superscript</w:t>
            </w:r>
          </w:p>
        </w:tc>
        <w:tc>
          <w:tcPr>
            <w:tcW w:w="2076"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0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2076"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0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vMerge w:val="continue"/>
            <w:tcBorders>
              <w:left w:val="single" w:sz="2" w:space="0" w:color="000000"/>
              <w:bottom w:val="single" w:sz="2" w:space="0" w:color="000000"/>
              <w:insideH w:val="single" w:sz="2" w:space="0" w:color="000000"/>
            </w:tcBorders>
            <w:shd w:fill="auto" w:val="clear"/>
          </w:tcPr>
          <w:p>
            <w:pPr>
              <w:pStyle w:val="TableContents"/>
              <w:rPr/>
            </w:pPr>
            <w:r>
              <w:rPr/>
            </w:r>
          </w:p>
        </w:tc>
        <w:tc>
          <w:tcPr>
            <w:tcW w:w="2076"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0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4153" w:type="dxa"/>
            <w:gridSpan w:val="2"/>
            <w:tcBorders>
              <w:left w:val="single" w:sz="2" w:space="0" w:color="000000"/>
              <w:bottom w:val="single" w:sz="2" w:space="0" w:color="000000"/>
              <w:insideH w:val="single" w:sz="2" w:space="0" w:color="000000"/>
            </w:tcBorders>
            <w:shd w:fill="auto" w:val="clear"/>
          </w:tcPr>
          <w:p>
            <w:pPr>
              <w:pStyle w:val="TableContents"/>
              <w:rPr/>
            </w:pPr>
            <w:r>
              <w:rPr/>
              <w:t>2 colspans</w:t>
            </w:r>
          </w:p>
        </w:tc>
        <w:tc>
          <w:tcPr>
            <w:tcW w:w="2076" w:type="dxa"/>
            <w:tcBorders>
              <w:left w:val="single" w:sz="2" w:space="0" w:color="000000"/>
              <w:bottom w:val="single" w:sz="2" w:space="0" w:color="000000"/>
              <w:insideH w:val="single" w:sz="2" w:space="0" w:color="000000"/>
            </w:tcBorders>
            <w:shd w:fill="auto" w:val="clear"/>
          </w:tcPr>
          <w:p>
            <w:pPr>
              <w:pStyle w:val="TableContents"/>
              <w:rPr/>
            </w:pPr>
            <w:r>
              <w:rPr/>
              <w:t>1 colspan</w:t>
            </w:r>
          </w:p>
        </w:tc>
        <w:tc>
          <w:tcPr>
            <w:tcW w:w="20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 colspan</w:t>
            </w:r>
          </w:p>
        </w:tc>
      </w:tr>
      <w:tr>
        <w:trPr/>
        <w:tc>
          <w:tcPr>
            <w:tcW w:w="8306" w:type="dxa"/>
            <w:gridSpan w:val="4"/>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 colspans</w:t>
            </w:r>
          </w:p>
        </w:tc>
      </w:tr>
      <w:tr>
        <w:trPr/>
        <w:tc>
          <w:tcPr>
            <w:tcW w:w="2076" w:type="dxa"/>
            <w:tcBorders>
              <w:left w:val="single" w:sz="2" w:space="0" w:color="000000"/>
              <w:bottom w:val="single" w:sz="2" w:space="0" w:color="000000"/>
              <w:insideH w:val="single" w:sz="2" w:space="0" w:color="000000"/>
            </w:tcBorders>
            <w:shd w:fill="auto" w:val="clear"/>
          </w:tcPr>
          <w:p>
            <w:pPr>
              <w:pStyle w:val="Normal"/>
              <w:rPr/>
            </w:pPr>
            <w:r>
              <w:rPr/>
            </w:r>
          </w:p>
        </w:tc>
        <w:tc>
          <w:tcPr>
            <w:tcW w:w="2077" w:type="dxa"/>
            <w:tcBorders>
              <w:left w:val="single" w:sz="2" w:space="0" w:color="000000"/>
              <w:bottom w:val="single" w:sz="2" w:space="0" w:color="000000"/>
              <w:insideH w:val="single" w:sz="2" w:space="0" w:color="000000"/>
            </w:tcBorders>
            <w:shd w:fill="auto" w:val="clear"/>
          </w:tcPr>
          <w:p>
            <w:pPr>
              <w:pStyle w:val="Normal"/>
              <w:rPr/>
            </w:pPr>
            <w:r>
              <w:rPr/>
            </w:r>
          </w:p>
        </w:tc>
        <w:tc>
          <w:tcPr>
            <w:tcW w:w="2076" w:type="dxa"/>
            <w:tcBorders>
              <w:left w:val="single" w:sz="2" w:space="0" w:color="000000"/>
              <w:bottom w:val="single" w:sz="2" w:space="0" w:color="000000"/>
              <w:insideH w:val="single" w:sz="2" w:space="0" w:color="000000"/>
            </w:tcBorders>
            <w:shd w:fill="auto" w:val="clear"/>
          </w:tcPr>
          <w:p>
            <w:pPr>
              <w:pStyle w:val="Normal"/>
              <w:rPr/>
            </w:pPr>
            <w:r>
              <w:rPr/>
            </w:r>
          </w:p>
        </w:tc>
        <w:tc>
          <w:tcPr>
            <w:tcW w:w="20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
          </w:p>
        </w:tc>
      </w:tr>
    </w:tbl>
    <w:p>
      <w:pPr>
        <w:pStyle w:val="Normal"/>
        <w:jc w:val="both"/>
        <w:rPr>
          <w:rFonts w:ascii="Times New Roman" w:hAnsi="Times New Roman"/>
          <w:lang w:val="en-US"/>
        </w:rPr>
      </w:pPr>
      <w:r>
        <w:rPr/>
      </w:r>
    </w:p>
    <w:p>
      <w:pPr>
        <w:pStyle w:val="Normal"/>
        <w:jc w:val="both"/>
        <w:rPr>
          <w:rFonts w:ascii="Times New Roman" w:hAnsi="Times New Roman"/>
          <w:lang w:val="en-US"/>
        </w:rPr>
      </w:pPr>
      <w:r>
        <w:rPr>
          <w:rFonts w:ascii="Times New Roman" w:hAnsi="Times New Roman"/>
          <w:lang w:val="en-US"/>
        </w:rPr>
        <w:t>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pPr>
        <w:pStyle w:val="Normal"/>
        <w:jc w:val="both"/>
        <w:rPr>
          <w:rFonts w:ascii="Times New Roman" w:hAnsi="Times New Roman"/>
          <w:lang w:val="en-US"/>
        </w:rPr>
      </w:pPr>
      <w:r>
        <w:rPr>
          <w:rFonts w:ascii="Times New Roman" w:hAnsi="Times New Roman"/>
          <w:lang w:val="en-US"/>
        </w:rPr>
        <w:t>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pPr>
        <w:pStyle w:val="Normal"/>
        <w:jc w:val="center"/>
        <w:rPr>
          <w:rFonts w:ascii="Times New Roman" w:hAnsi="Times New Roman"/>
          <w:lang w:val="en-US"/>
        </w:rPr>
      </w:pPr>
      <w:r>
        <w:rPr>
          <w:rFonts w:ascii="Times New Roman" w:hAnsi="Times New Roman"/>
          <w:lang w:val="en-US"/>
        </w:rPr>
        <w:t>Table 1. Demographic characteristics of patients with JIA.</w:t>
      </w:r>
    </w:p>
    <w:tbl>
      <w:tblPr>
        <w:tblW w:w="823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3780"/>
        <w:gridCol w:w="4450"/>
      </w:tblGrid>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Patients with JIA (n=89)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Sex (M/F)</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41/48 (control group -12/13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 xml:space="preserve">Middle age </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bCs/>
                <w:color w:val="000000"/>
                <w:lang w:val="en-US"/>
              </w:rPr>
              <w:t>19.4±1.8 (control group - 20.1±1.9)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Duration of the disease, years</w:t>
            </w:r>
          </w:p>
          <w:p>
            <w:pPr>
              <w:pStyle w:val="Normal"/>
              <w:jc w:val="both"/>
              <w:rPr>
                <w:rFonts w:ascii="Times New Roman" w:hAnsi="Times New Roman"/>
                <w:lang w:val="en-US"/>
              </w:rPr>
            </w:pPr>
            <w:r>
              <w:rPr>
                <w:rFonts w:ascii="Times New Roman" w:hAnsi="Times New Roman"/>
                <w:lang w:val="en-US"/>
              </w:rPr>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8.7</w:t>
            </w:r>
            <w:r>
              <w:rPr>
                <w:rFonts w:eastAsia="Times New Roman" w:ascii="Times New Roman" w:hAnsi="Times New Roman"/>
                <w:bCs/>
                <w:color w:val="000000"/>
                <w:lang w:val="en-US"/>
              </w:rPr>
              <w:t>±5.1</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Age at onset of JIA, years</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10.2</w:t>
            </w:r>
            <w:r>
              <w:rPr>
                <w:rFonts w:eastAsia="Times New Roman" w:ascii="Times New Roman" w:hAnsi="Times New Roman"/>
                <w:bCs/>
                <w:color w:val="000000"/>
                <w:lang w:val="en-US"/>
              </w:rPr>
              <w:t>±4.9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Time from onset to the diagnosis, months.</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15.6</w:t>
            </w:r>
            <w:r>
              <w:rPr>
                <w:rFonts w:eastAsia="Times New Roman" w:ascii="Times New Roman" w:hAnsi="Times New Roman"/>
                <w:bCs/>
                <w:color w:val="000000"/>
                <w:lang w:val="en-US"/>
              </w:rPr>
              <w:t>±25.9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Persistent oligoarthritis</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20 (22.5%)</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Common oligoarthritis</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 (11.2%)</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Polyarthritis RF -</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widowControl/>
              <w:bidi w:val="0"/>
              <w:jc w:val="left"/>
              <w:rPr>
                <w:rFonts w:ascii="Times New Roman" w:hAnsi="Times New Roman"/>
                <w:lang w:val="en-US"/>
              </w:rPr>
            </w:pPr>
            <w:r>
              <w:rPr>
                <w:rFonts w:ascii="Times New Roman" w:hAnsi="Times New Roman"/>
                <w:lang w:val="en-US"/>
              </w:rPr>
              <w:t>Enthesitis-related arthritis + psoriatic arthritis</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18 (16.9%)</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Systemic JIA</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13 (14.6%)</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GCs took earlier / at the moment</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60 (67.4%)/24 (27%)</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Remission</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37 (41.6%)</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NSAIDs</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w:t>
            </w:r>
          </w:p>
        </w:tc>
      </w:tr>
      <w:tr>
        <w:trPr/>
        <w:tc>
          <w:tcPr>
            <w:tcW w:w="82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eastAsia="Times New Roman" w:ascii="Times New Roman" w:hAnsi="Times New Roman"/>
                <w:lang w:val="en-US" w:eastAsia="ru-RU"/>
              </w:rPr>
              <w:t>DMARD (n=75)</w:t>
            </w:r>
          </w:p>
        </w:tc>
      </w:tr>
      <w:tr>
        <w:trPr>
          <w:trHeight w:val="269"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Methotrexate</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55/75</w:t>
            </w:r>
          </w:p>
        </w:tc>
      </w:tr>
      <w:tr>
        <w:trPr>
          <w:trHeight w:val="324"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Plaquenil</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12/75</w:t>
            </w:r>
          </w:p>
        </w:tc>
      </w:tr>
      <w:tr>
        <w:trPr>
          <w:trHeight w:val="311"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Sulfasalazine</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6/75</w:t>
            </w:r>
          </w:p>
        </w:tc>
      </w:tr>
      <w:tr>
        <w:trPr>
          <w:trHeight w:val="310" w:hRule="atLeast"/>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Azathioprine</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2/75</w:t>
            </w:r>
          </w:p>
        </w:tc>
      </w:tr>
      <w:tr>
        <w:trPr>
          <w:trHeight w:val="353" w:hRule="atLeast"/>
        </w:trPr>
        <w:tc>
          <w:tcPr>
            <w:tcW w:w="823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Immunobiology (n=23)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Anti-TNF (ETA / ADA))</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19/23 (16/3)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Tocilizumab</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r>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keepNext w:val="true"/>
              <w:jc w:val="both"/>
              <w:rPr>
                <w:rFonts w:ascii="Times New Roman" w:hAnsi="Times New Roman"/>
                <w:lang w:val="en-US"/>
              </w:rPr>
            </w:pPr>
            <w:r>
              <w:rPr>
                <w:rFonts w:ascii="Times New Roman" w:hAnsi="Times New Roman"/>
                <w:lang w:val="en-US"/>
              </w:rPr>
              <w:t>Rituximab</w:t>
            </w:r>
          </w:p>
        </w:tc>
        <w:tc>
          <w:tcPr>
            <w:tcW w:w="4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bl>
    <w:p>
      <w:pPr>
        <w:pStyle w:val="Table"/>
        <w:rPr/>
      </w:pPr>
      <w:r>
        <w:rPr/>
        <w:t xml:space="preserve">Table </w:t>
      </w:r>
      <w:r>
        <w:rPr/>
        <w:fldChar w:fldCharType="begin"/>
      </w:r>
      <w:r>
        <w:rPr/>
        <w:instrText> SEQ Table \* ARABIC </w:instrText>
      </w:r>
      <w:r>
        <w:rPr/>
        <w:fldChar w:fldCharType="separate"/>
      </w:r>
      <w:r>
        <w:rPr/>
        <w:t>1</w:t>
      </w:r>
      <w:r>
        <w:rPr/>
        <w:fldChar w:fldCharType="end"/>
      </w:r>
      <w:r>
        <w:rPr/>
        <w:t>: This is caption</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All patients from JIA and control group received quality assessment questionnaires SF-36 and functional status HAQ. The results of the evaluation are presented in Table 2.</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Table 2. Quality of life in young patients with JIA and control group</w:t>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Indexes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Patients with JIA (n=89)</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Control group (n=25)</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patient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SF- 36</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physical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74.3± 20.9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94.7±8.7</w:t>
            </w:r>
          </w:p>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RF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64.6±29.9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b/>
                <w:bCs/>
                <w:color w:val="000000"/>
                <w:lang w:val="en-US"/>
              </w:rPr>
              <w:t>83.8±19.5 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BP</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59.0±24.2</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84.5±21.6</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GH</w:t>
            </w:r>
          </w:p>
          <w:p>
            <w:pPr>
              <w:pStyle w:val="Normal"/>
              <w:jc w:val="center"/>
              <w:rPr>
                <w:rFonts w:ascii="Times New Roman" w:hAnsi="Times New Roman"/>
                <w:lang w:val="en-US"/>
              </w:rPr>
            </w:pPr>
            <w:r>
              <w:rPr>
                <w:rFonts w:eastAsia="Times New Roman" w:ascii="Times New Roman" w:hAnsi="Times New Roman"/>
                <w:color w:val="000000"/>
                <w:lang w:val="en-US"/>
              </w:rPr>
              <w:t>56.5</w:t>
            </w:r>
            <w:r>
              <w:rPr>
                <w:rFonts w:eastAsia="Times New Roman" w:ascii="Times New Roman" w:hAnsi="Times New Roman"/>
                <w:bCs/>
                <w:color w:val="000000"/>
                <w:lang w:val="en-US"/>
              </w:rPr>
              <w:t>±</w:t>
            </w:r>
            <w:r>
              <w:rPr>
                <w:rFonts w:eastAsia="Times New Roman" w:ascii="Times New Roman" w:hAnsi="Times New Roman"/>
                <w:color w:val="000000"/>
                <w:lang w:val="en-US"/>
              </w:rPr>
              <w:t>22.6</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7" w:name="__DdeLink__815_4279585507"/>
            <w:r>
              <w:rPr>
                <w:rFonts w:eastAsia="Times New Roman" w:ascii="Times New Roman" w:hAnsi="Times New Roman"/>
                <w:color w:val="000000"/>
                <w:lang w:val="en-US"/>
              </w:rPr>
              <w:t>60.1</w:t>
            </w:r>
            <w:r>
              <w:rPr>
                <w:rFonts w:eastAsia="Times New Roman" w:ascii="Times New Roman" w:hAnsi="Times New Roman"/>
                <w:bCs/>
                <w:color w:val="000000"/>
                <w:lang w:val="en-US"/>
              </w:rPr>
              <w:t>±</w:t>
            </w:r>
            <w:r>
              <w:rPr>
                <w:rFonts w:eastAsia="Times New Roman" w:ascii="Times New Roman" w:hAnsi="Times New Roman"/>
                <w:color w:val="000000"/>
                <w:lang w:val="en-US"/>
              </w:rPr>
              <w:t>17.1</w:t>
            </w:r>
            <w:bookmarkEnd w:id="7"/>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0.54</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58.2</w:t>
            </w:r>
            <w:r>
              <w:rPr>
                <w:rFonts w:eastAsia="Times New Roman" w:ascii="Times New Roman" w:hAnsi="Times New Roman"/>
                <w:bCs/>
                <w:color w:val="000000"/>
                <w:lang w:val="en-US"/>
              </w:rPr>
              <w:t>±</w:t>
            </w:r>
            <w:r>
              <w:rPr>
                <w:rFonts w:eastAsia="Times New Roman" w:ascii="Times New Roman" w:hAnsi="Times New Roman"/>
                <w:color w:val="000000"/>
                <w:lang w:val="en-US"/>
              </w:rPr>
              <w:t>19.1</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59.8</w:t>
            </w:r>
            <w:r>
              <w:rPr>
                <w:rFonts w:eastAsia="Times New Roman" w:ascii="Times New Roman" w:hAnsi="Times New Roman"/>
                <w:bCs/>
                <w:color w:val="000000"/>
                <w:lang w:val="en-US"/>
              </w:rPr>
              <w:t>±</w:t>
            </w:r>
            <w:r>
              <w:rPr>
                <w:rFonts w:eastAsia="Times New Roman" w:ascii="Times New Roman" w:hAnsi="Times New Roman"/>
                <w:color w:val="000000"/>
                <w:lang w:val="en-US"/>
              </w:rPr>
              <w:t>20.0</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0.77</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psychological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w:t>
            </w:r>
          </w:p>
        </w:tc>
        <w:tc>
          <w:tcPr>
            <w:tcW w:w="2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8" w:name="__DdeLink__823_4279585507"/>
            <w:r>
              <w:rPr>
                <w:rFonts w:eastAsia="Times New Roman" w:ascii="Times New Roman" w:hAnsi="Times New Roman"/>
                <w:color w:val="000000"/>
                <w:lang w:val="en-US"/>
              </w:rPr>
              <w:t>75.8</w:t>
            </w:r>
            <w:bookmarkEnd w:id="8"/>
            <w:r>
              <w:rPr>
                <w:rFonts w:eastAsia="Times New Roman" w:ascii="Times New Roman" w:hAnsi="Times New Roman"/>
                <w:bCs/>
                <w:color w:val="000000"/>
                <w:lang w:val="en-US"/>
              </w:rPr>
              <w:t>±</w:t>
            </w:r>
            <w:r>
              <w:rPr>
                <w:rFonts w:eastAsia="Times New Roman" w:ascii="Times New Roman" w:hAnsi="Times New Roman"/>
                <w:color w:val="000000"/>
                <w:lang w:val="en-US"/>
              </w:rPr>
              <w:t>21.2</w:t>
            </w:r>
          </w:p>
          <w:p>
            <w:pPr>
              <w:pStyle w:val="Normal"/>
              <w:jc w:val="center"/>
              <w:rPr>
                <w:rFonts w:ascii="Times New Roman" w:hAnsi="Times New Roman"/>
                <w:lang w:val="en-US"/>
              </w:rPr>
            </w:pPr>
            <w:r>
              <w:rPr>
                <w:rFonts w:eastAsia="Times New Roman" w:ascii="Times New Roman" w:hAnsi="Times New Roman"/>
                <w:color w:val="000000"/>
                <w:lang w:val="en-US"/>
              </w:rPr>
              <w:t>69.2</w:t>
            </w:r>
            <w:r>
              <w:rPr>
                <w:rFonts w:eastAsia="Times New Roman" w:ascii="Times New Roman" w:hAnsi="Times New Roman"/>
                <w:bCs/>
                <w:color w:val="000000"/>
                <w:lang w:val="en-US"/>
              </w:rPr>
              <w:t>±</w:t>
            </w:r>
            <w:r>
              <w:rPr>
                <w:rFonts w:eastAsia="Times New Roman" w:ascii="Times New Roman" w:hAnsi="Times New Roman"/>
                <w:color w:val="000000"/>
                <w:lang w:val="en-US"/>
              </w:rPr>
              <w:t>33.8</w:t>
            </w:r>
          </w:p>
          <w:p>
            <w:pPr>
              <w:pStyle w:val="Normal"/>
              <w:jc w:val="center"/>
              <w:rPr>
                <w:rFonts w:ascii="Times New Roman" w:hAnsi="Times New Roman"/>
                <w:lang w:val="en-US"/>
              </w:rPr>
            </w:pPr>
            <w:r>
              <w:rPr>
                <w:rFonts w:eastAsia="Times New Roman" w:ascii="Times New Roman" w:hAnsi="Times New Roman"/>
                <w:color w:val="000000"/>
                <w:lang w:val="en-US"/>
              </w:rPr>
              <w:t>69.3</w:t>
            </w:r>
            <w:r>
              <w:rPr>
                <w:rFonts w:eastAsia="Times New Roman" w:ascii="Times New Roman" w:hAnsi="Times New Roman"/>
                <w:bCs/>
                <w:color w:val="000000"/>
                <w:lang w:val="en-US"/>
              </w:rPr>
              <w:t>±</w:t>
            </w:r>
            <w:r>
              <w:rPr>
                <w:rFonts w:eastAsia="Times New Roman" w:ascii="Times New Roman" w:hAnsi="Times New Roman"/>
                <w:color w:val="000000"/>
                <w:lang w:val="en-US"/>
              </w:rPr>
              <w:t>18.6</w:t>
            </w:r>
          </w:p>
          <w:p>
            <w:pPr>
              <w:pStyle w:val="Normal"/>
              <w:jc w:val="center"/>
              <w:rPr>
                <w:rFonts w:ascii="Times New Roman" w:hAnsi="Times New Roman"/>
                <w:b/>
                <w:b/>
                <w:lang w:val="en-US"/>
              </w:rPr>
            </w:pPr>
            <w:bookmarkStart w:id="9" w:name="__DdeLink__825_4279585507"/>
            <w:bookmarkStart w:id="10" w:name="__DdeLink__827_4279585507"/>
            <w:r>
              <w:rPr>
                <w:rFonts w:eastAsia="Times New Roman" w:ascii="Times New Roman" w:hAnsi="Times New Roman"/>
                <w:b/>
                <w:bCs/>
                <w:lang w:val="en-US"/>
              </w:rPr>
              <w:t>46.3±8.7</w:t>
            </w:r>
            <w:bookmarkEnd w:id="9"/>
            <w:bookmarkEnd w:id="10"/>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80.5</w:t>
            </w:r>
            <w:r>
              <w:rPr>
                <w:rFonts w:eastAsia="Times New Roman" w:ascii="Times New Roman" w:hAnsi="Times New Roman"/>
                <w:bCs/>
                <w:color w:val="000000"/>
                <w:lang w:val="en-US"/>
              </w:rPr>
              <w:t>±</w:t>
            </w:r>
            <w:r>
              <w:rPr>
                <w:rFonts w:eastAsia="Times New Roman" w:ascii="Times New Roman" w:hAnsi="Times New Roman"/>
                <w:color w:val="000000"/>
                <w:lang w:val="en-US"/>
              </w:rPr>
              <w:t>18.2</w:t>
            </w:r>
          </w:p>
        </w:tc>
        <w:tc>
          <w:tcPr>
            <w:tcW w:w="206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0.41</w:t>
            </w:r>
          </w:p>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RE</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75.0</w:t>
            </w:r>
            <w:r>
              <w:rPr>
                <w:rFonts w:eastAsia="Times New Roman" w:ascii="Times New Roman" w:hAnsi="Times New Roman"/>
                <w:bCs/>
                <w:color w:val="000000"/>
                <w:lang w:val="en-US"/>
              </w:rPr>
              <w:t>±</w:t>
            </w:r>
            <w:r>
              <w:rPr>
                <w:rFonts w:eastAsia="Times New Roman" w:ascii="Times New Roman" w:hAnsi="Times New Roman"/>
                <w:color w:val="000000"/>
                <w:lang w:val="en-US"/>
              </w:rPr>
              <w:t>26.7</w:t>
            </w:r>
          </w:p>
        </w:tc>
        <w:tc>
          <w:tcPr>
            <w:tcW w:w="206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MH</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68.4</w:t>
            </w:r>
            <w:r>
              <w:rPr>
                <w:rFonts w:eastAsia="Times New Roman" w:ascii="Times New Roman" w:hAnsi="Times New Roman"/>
                <w:bCs/>
                <w:color w:val="000000"/>
                <w:lang w:val="en-US"/>
              </w:rPr>
              <w:t>±</w:t>
            </w:r>
            <w:r>
              <w:rPr>
                <w:rFonts w:eastAsia="Times New Roman" w:ascii="Times New Roman" w:hAnsi="Times New Roman"/>
                <w:color w:val="000000"/>
                <w:lang w:val="en-US"/>
              </w:rPr>
              <w:t>18.9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0.86</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PCS</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55.7±6.9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0.0001</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MCS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47.0</w:t>
            </w:r>
            <w:r>
              <w:rPr>
                <w:rFonts w:eastAsia="Times New Roman" w:ascii="Times New Roman" w:hAnsi="Times New Roman"/>
                <w:bCs/>
                <w:color w:val="000000"/>
                <w:lang w:val="en-US"/>
              </w:rPr>
              <w:t>±</w:t>
            </w:r>
            <w:r>
              <w:rPr>
                <w:rFonts w:eastAsia="Times New Roman" w:ascii="Times New Roman" w:hAnsi="Times New Roman"/>
                <w:color w:val="000000"/>
                <w:lang w:val="en-US"/>
              </w:rPr>
              <w:t>10.5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45.1</w:t>
            </w:r>
            <w:r>
              <w:rPr>
                <w:rFonts w:eastAsia="Times New Roman" w:ascii="Times New Roman" w:hAnsi="Times New Roman"/>
                <w:bCs/>
                <w:color w:val="000000"/>
                <w:lang w:val="en-US"/>
              </w:rPr>
              <w:t>±</w:t>
            </w:r>
            <w:r>
              <w:rPr>
                <w:rFonts w:eastAsia="Times New Roman" w:ascii="Times New Roman" w:hAnsi="Times New Roman"/>
                <w:color w:val="000000"/>
                <w:lang w:val="en-US"/>
              </w:rPr>
              <w:t>11.7</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PHQ-9</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5.8 </w:t>
            </w:r>
            <w:r>
              <w:rPr>
                <w:rFonts w:eastAsia="Times New Roman" w:ascii="Times New Roman" w:hAnsi="Times New Roman"/>
                <w:bCs/>
                <w:color w:val="000000"/>
                <w:lang w:val="en-US"/>
              </w:rPr>
              <w:t>±</w:t>
            </w:r>
            <w:r>
              <w:rPr>
                <w:rFonts w:eastAsia="Times New Roman" w:ascii="Times New Roman" w:hAnsi="Times New Roman"/>
                <w:color w:val="000000"/>
                <w:lang w:val="en-US"/>
              </w:rPr>
              <w:t>5.5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4.3 </w:t>
            </w:r>
            <w:r>
              <w:rPr>
                <w:rFonts w:eastAsia="Times New Roman" w:ascii="Times New Roman" w:hAnsi="Times New Roman"/>
                <w:bCs/>
                <w:color w:val="000000"/>
                <w:lang w:val="en-US"/>
              </w:rPr>
              <w:t>±</w:t>
            </w:r>
            <w:r>
              <w:rPr>
                <w:rFonts w:eastAsia="Times New Roman" w:ascii="Times New Roman" w:hAnsi="Times New Roman"/>
                <w:color w:val="000000"/>
                <w:lang w:val="en-US"/>
              </w:rPr>
              <w:t>3.1</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0.12</w:t>
            </w:r>
          </w:p>
        </w:tc>
      </w:tr>
    </w:tbl>
    <w:p>
      <w:pPr>
        <w:pStyle w:val="Normal"/>
        <w:jc w:val="both"/>
        <w:rPr/>
      </w:pPr>
      <w:r>
        <w:rPr>
          <w:rFonts w:ascii="Times New Roman" w:hAnsi="Times New Roman"/>
          <w:lang w:val="en-US"/>
        </w:rPr>
        <w:t xml:space="preserve">* Notes: PF - physical functioning; RP - role functioning due to physical condition, BP- pain intensity, GH - general health status, VT - vital activity, SF - social functioning, RE - role function, conditioned by emotional state, MH - mental health, PCS - Physical well-being, </w:t>
      </w:r>
      <w:bookmarkStart w:id="11" w:name="__DdeLink__846_4279585507"/>
      <w:r>
        <w:rPr>
          <w:rFonts w:ascii="Times New Roman" w:hAnsi="Times New Roman"/>
          <w:lang w:val="en-US"/>
        </w:rPr>
        <w:t>PCS - psychological well-being</w:t>
      </w:r>
      <w:bookmarkEnd w:id="11"/>
      <w:r>
        <w:rPr>
          <w:rFonts w:ascii="Times New Roman" w:hAnsi="Times New Roman"/>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bookmarkStart w:id="12" w:name="__DdeLink__844_4279585507"/>
            <w:r>
              <w:rPr>
                <w:rFonts w:eastAsia="Times New Roman" w:ascii="Times New Roman" w:hAnsi="Times New Roman"/>
                <w:color w:val="000000"/>
                <w:lang w:val="en-US"/>
              </w:rPr>
              <w:t>80.99</w:t>
            </w:r>
            <w:bookmarkEnd w:id="12"/>
            <w:r>
              <w:rPr>
                <w:rFonts w:eastAsia="Times New Roman" w:ascii="Times New Roman" w:hAnsi="Times New Roman"/>
                <w:bCs/>
                <w:color w:val="000000"/>
                <w:lang w:val="en-US"/>
              </w:rPr>
              <w:t>±</w:t>
            </w:r>
            <w:r>
              <w:rPr>
                <w:rFonts w:eastAsia="Times New Roman" w:ascii="Times New Roman" w:hAnsi="Times New Roman"/>
                <w:color w:val="000000"/>
                <w:lang w:val="en-US"/>
              </w:rPr>
              <w:t>18.29</w:t>
            </w:r>
          </w:p>
          <w:p>
            <w:pPr>
              <w:pStyle w:val="Normal"/>
              <w:jc w:val="center"/>
              <w:rPr/>
            </w:pPr>
            <w:bookmarkStart w:id="13" w:name="__DdeLink__842_4279585507"/>
            <w:r>
              <w:rPr>
                <w:rFonts w:eastAsia="Times New Roman" w:ascii="Times New Roman" w:hAnsi="Times New Roman"/>
                <w:color w:val="000000"/>
                <w:lang w:val="en-US"/>
              </w:rPr>
              <w:t>75.99</w:t>
            </w:r>
            <w:bookmarkEnd w:id="13"/>
            <w:r>
              <w:rPr>
                <w:rFonts w:eastAsia="Times New Roman" w:ascii="Times New Roman" w:hAnsi="Times New Roman"/>
                <w:bCs/>
                <w:color w:val="000000"/>
                <w:lang w:val="en-US"/>
              </w:rPr>
              <w:t>±</w:t>
            </w:r>
            <w:r>
              <w:rPr>
                <w:rFonts w:eastAsia="Times New Roman" w:ascii="Times New Roman" w:hAnsi="Times New Roman"/>
                <w:color w:val="000000"/>
                <w:lang w:val="en-US"/>
              </w:rPr>
              <w:t>26.79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34.55</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 xml:space="preserve">VAS patient - </w:t>
            </w: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32.33</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68.99</w:t>
            </w:r>
            <w:r>
              <w:rPr>
                <w:rFonts w:eastAsia="Times New Roman" w:ascii="Times New Roman" w:hAnsi="Times New Roman"/>
                <w:bCs/>
                <w:color w:val="000000"/>
                <w:lang w:val="en-US"/>
              </w:rPr>
              <w:t>±</w:t>
            </w:r>
            <w:r>
              <w:rPr>
                <w:rFonts w:eastAsia="Times New Roman" w:ascii="Times New Roman" w:hAnsi="Times New Roman"/>
                <w:color w:val="000000"/>
                <w:lang w:val="en-US"/>
              </w:rPr>
              <w:t>18.99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26.55</w:t>
            </w:r>
          </w:p>
        </w:tc>
      </w:tr>
    </w:tbl>
    <w:p>
      <w:pPr>
        <w:pStyle w:val="Normal"/>
        <w:ind w:firstLine="720"/>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pPr>
        <w:pStyle w:val="Normal"/>
        <w:jc w:val="both"/>
        <w:rPr>
          <w:rFonts w:ascii="Times New Roman" w:hAnsi="Times New Roman"/>
          <w:lang w:val="en-US"/>
        </w:rPr>
      </w:pPr>
      <w:r>
        <w:rPr>
          <w:rFonts w:ascii="Times New Roman" w:hAnsi="Times New Roman"/>
          <w:lang w:val="en-US"/>
        </w:rPr>
        <w:t>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lang w:val="en-US"/>
        </w:rPr>
      </w:pPr>
      <w:r>
        <w:rPr>
          <w:rFonts w:ascii="Times New Roman" w:hAnsi="Times New Roman"/>
          <w:lang w:val="en-US"/>
        </w:rPr>
        <w:t>Table 3. Communication of functional activity with quality of life.</w:t>
      </w:r>
    </w:p>
    <w:tbl>
      <w:tblPr>
        <w:tblW w:w="10774" w:type="dxa"/>
        <w:jc w:val="left"/>
        <w:tblInd w:w="-8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852"/>
        <w:gridCol w:w="1136"/>
        <w:gridCol w:w="850"/>
        <w:gridCol w:w="1127"/>
        <w:gridCol w:w="858"/>
        <w:gridCol w:w="1132"/>
        <w:gridCol w:w="850"/>
        <w:gridCol w:w="998"/>
        <w:gridCol w:w="1132"/>
        <w:gridCol w:w="885"/>
        <w:gridCol w:w="952"/>
      </w:tblGrid>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Times New Roman" w:hAnsi="Times New Roman" w:eastAsia="Times New Roman"/>
                <w:lang w:val="en-US"/>
              </w:rPr>
            </w:pPr>
            <w:r>
              <w:rPr>
                <w:rFonts w:eastAsia="Times New Roman" w:ascii="Times New Roman" w:hAnsi="Times New Roman"/>
                <w:lang w:val="en-US"/>
              </w:rPr>
              <w:t> </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PCS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MCS</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PF</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RF</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BP</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GH</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VT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SF</w:t>
            </w:r>
          </w:p>
        </w:tc>
        <w:tc>
          <w:tcPr>
            <w:tcW w:w="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RE</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MH</w:t>
            </w:r>
          </w:p>
        </w:tc>
      </w:tr>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xml:space="preserve"> </w:t>
            </w:r>
            <w:r>
              <w:rPr>
                <w:rFonts w:eastAsia="Times New Roman" w:ascii="Times New Roman" w:hAnsi="Times New Roman"/>
                <w:color w:val="000000"/>
                <w:lang w:val="en-US"/>
              </w:rPr>
              <w:t>HAQ</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-0.59</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-0.25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-0.56</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-0.60</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-0.40</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-0.48</w:t>
            </w:r>
          </w:p>
        </w:tc>
        <w:tc>
          <w:tcPr>
            <w:tcW w:w="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-0.08</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-0.42</w:t>
            </w:r>
          </w:p>
        </w:tc>
      </w:tr>
      <w:tr>
        <w:trPr>
          <w:trHeight w:val="311"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w:t>
            </w:r>
            <w:r>
              <w:rPr>
                <w:rFonts w:eastAsia="Times New Roman" w:ascii="Times New Roman" w:hAnsi="Times New Roman"/>
                <w:color w:val="000000"/>
                <w:lang w:val="en-US"/>
              </w:rPr>
              <w:t>P</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0.035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0.001</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НД</w:t>
            </w:r>
          </w:p>
        </w:tc>
        <w:tc>
          <w:tcPr>
            <w:tcW w:w="9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&lt;0.001</w:t>
            </w:r>
          </w:p>
        </w:tc>
      </w:tr>
    </w:tbl>
    <w:p>
      <w:pPr>
        <w:pStyle w:val="Normal"/>
        <w:jc w:val="both"/>
        <w:rPr>
          <w:rFonts w:ascii="Times New Roman" w:hAnsi="Times New Roman"/>
          <w:b/>
          <w:b/>
          <w:lang w:val="en-US"/>
        </w:rPr>
      </w:pPr>
      <w:r>
        <w:rPr>
          <w:rFonts w:ascii="Times New Roman" w:hAnsi="Times New Roman"/>
          <w:b/>
          <w:lang w:val="en-US"/>
        </w:rPr>
      </w:r>
    </w:p>
    <w:p>
      <w:pPr>
        <w:pStyle w:val="Normal"/>
        <w:jc w:val="both"/>
        <w:rPr>
          <w:rFonts w:ascii="Times New Roman" w:hAnsi="Times New Roman"/>
          <w:lang w:val="en-US"/>
        </w:rPr>
      </w:pPr>
      <w:r>
        <w:rPr>
          <w:rFonts w:ascii="Times New Roman" w:hAnsi="Times New Roman"/>
          <w:lang w:val="en-US"/>
        </w:rPr>
        <w:t>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 xml:space="preserve">Figure 1. Quality of life in young patients with JIA and healthy individuals according to the </w:t>
      </w:r>
      <w:bookmarkStart w:id="14" w:name="__DdeLink__930_1948271137"/>
      <w:r>
        <w:rPr>
          <w:rFonts w:ascii="Times New Roman" w:hAnsi="Times New Roman"/>
          <w:lang w:val="en-US"/>
        </w:rPr>
        <w:t>SF-36 questionnaire</w:t>
      </w:r>
      <w:bookmarkEnd w:id="14"/>
      <w:r>
        <w:rPr>
          <w:rFonts w:ascii="Times New Roman" w:hAnsi="Times New Roman"/>
          <w:lang w:val="en-US"/>
        </w:rPr>
        <w:t>.</w:t>
      </w:r>
    </w:p>
    <w:p>
      <w:pPr>
        <w:pStyle w:val="Normal"/>
        <w:jc w:val="both"/>
        <w:rPr>
          <w:rFonts w:ascii="Times New Roman" w:hAnsi="Times New Roman"/>
          <w:lang w:val="en-US"/>
        </w:rPr>
      </w:pPr>
      <w:r>
        <w:rPr/>
        <w:drawing>
          <wp:inline distT="0" distB="0" distL="0" distR="0">
            <wp:extent cx="4568825" cy="27400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rFonts w:ascii="Times New Roman" w:hAnsi="Times New Roman"/>
          <w:lang w:val="en-US"/>
        </w:rPr>
      </w:pPr>
      <w:r>
        <w:rPr>
          <w:rFonts w:ascii="Times New Roman" w:hAnsi="Times New Roman"/>
          <w:lang w:val="en-US"/>
        </w:rPr>
        <w:t>*Notes: * - statistical significance p&lt;0.001, † - statistical significance p=0.05</w:t>
      </w:r>
    </w:p>
    <w:p>
      <w:pPr>
        <w:pStyle w:val="Heading1"/>
        <w:rPr/>
      </w:pPr>
      <w:r>
        <w:rPr>
          <w:lang w:val="en-US"/>
        </w:rPr>
        <w:t>Discussion</w:t>
      </w:r>
    </w:p>
    <w:p>
      <w:pPr>
        <w:pStyle w:val="Heading3"/>
        <w:numPr>
          <w:ilvl w:val="2"/>
          <w:numId w:val="2"/>
        </w:numPr>
        <w:rPr/>
      </w:pPr>
      <w:r>
        <w:rPr/>
        <w:t>Heading 3</w:t>
      </w:r>
    </w:p>
    <w:p>
      <w:pPr>
        <w:pStyle w:val="Normal"/>
        <w:jc w:val="both"/>
        <w:rPr>
          <w:rFonts w:ascii="Times New Roman" w:hAnsi="Times New Roman"/>
          <w:lang w:val="en-US"/>
        </w:rPr>
      </w:pPr>
      <w:r>
        <w:rPr>
          <w:rFonts w:eastAsia="Times New Roman" w:ascii="Times New Roman" w:hAnsi="Times New Roman"/>
          <w:bCs/>
          <w:kern w:val="2"/>
          <w:lang w:val="en-US"/>
        </w:rPr>
        <w:t>As we expected, QoL in patients with JIA was worse than in the control group. Our findings were confirmed by data published earlier that showed a worse QoL in young people with JIA than in the control group of the corresponding age and sex [9, 16, 17, 18, 19, 20, 21]. However, our results in patients with JIA and healthy individuals are different from the data from Wipff J. et al., where authors analyzed data on patients with JIA at the stage of transmission of patients from child to an adult healthcare services during biologic therapy [22]. The SF-36 score for physical and psychological health was less influenced by the JIA in our sample than in previously published studies. These results were quite unexpected because in Ukraine biological therapy is not available for many patients [16, 18, 19, 20, 22]. There are several possible explanations for these results, including:</w:t>
      </w:r>
    </w:p>
    <w:p>
      <w:pPr>
        <w:pStyle w:val="Normal"/>
        <w:numPr>
          <w:ilvl w:val="0"/>
          <w:numId w:val="6"/>
        </w:numPr>
        <w:jc w:val="both"/>
        <w:rPr>
          <w:rFonts w:ascii="Times New Roman" w:hAnsi="Times New Roman"/>
          <w:lang w:val="en-US"/>
        </w:rPr>
      </w:pPr>
      <w:bookmarkStart w:id="15" w:name="__DdeLink__888_1225654907"/>
      <w:r>
        <w:rPr>
          <w:rFonts w:ascii="Times New Roman" w:hAnsi="Times New Roman"/>
          <w:lang w:val="en-US"/>
        </w:rPr>
        <w:t xml:space="preserve">Our patients </w:t>
      </w:r>
      <w:bookmarkEnd w:id="15"/>
      <w:r>
        <w:rPr>
          <w:rFonts w:ascii="Times New Roman" w:hAnsi="Times New Roman"/>
          <w:lang w:val="en-US"/>
        </w:rPr>
        <w:t>often received GCs, which reduced the activity of the disease.</w:t>
      </w:r>
    </w:p>
    <w:p>
      <w:pPr>
        <w:pStyle w:val="Normal"/>
        <w:numPr>
          <w:ilvl w:val="0"/>
          <w:numId w:val="6"/>
        </w:numPr>
        <w:jc w:val="both"/>
        <w:rPr>
          <w:lang w:val="en-US"/>
        </w:rPr>
      </w:pPr>
      <w:r>
        <w:rPr>
          <w:rFonts w:ascii="Times New Roman" w:hAnsi="Times New Roman"/>
          <w:lang w:val="en-US"/>
        </w:rPr>
        <w:t>Our sample included not only patients with JIA in the active phase that needed constant observation but also those who were in complete clinical remission and did not require medical therapy.</w:t>
      </w:r>
    </w:p>
    <w:p>
      <w:pPr>
        <w:pStyle w:val="Normal"/>
        <w:numPr>
          <w:ilvl w:val="1"/>
          <w:numId w:val="6"/>
        </w:numPr>
        <w:jc w:val="both"/>
        <w:rPr/>
      </w:pPr>
      <w:r>
        <w:rPr>
          <w:rFonts w:ascii="Times New Roman" w:hAnsi="Times New Roman"/>
          <w:lang w:val="en-US"/>
        </w:rPr>
        <w:t>Nested List item 1</w:t>
      </w:r>
    </w:p>
    <w:p>
      <w:pPr>
        <w:pStyle w:val="Normal"/>
        <w:numPr>
          <w:ilvl w:val="1"/>
          <w:numId w:val="6"/>
        </w:numPr>
        <w:jc w:val="both"/>
        <w:rPr/>
      </w:pPr>
      <w:r>
        <w:rPr>
          <w:rFonts w:ascii="Times New Roman" w:hAnsi="Times New Roman"/>
          <w:lang w:val="en-US"/>
        </w:rPr>
        <w:t>Nested List item 2</w:t>
      </w:r>
    </w:p>
    <w:p>
      <w:pPr>
        <w:pStyle w:val="Normal"/>
        <w:widowControl w:val="false"/>
        <w:numPr>
          <w:ilvl w:val="0"/>
          <w:numId w:val="5"/>
        </w:numPr>
        <w:spacing w:before="0" w:after="240"/>
        <w:jc w:val="both"/>
        <w:rPr>
          <w:rFonts w:ascii="Times New Roman" w:hAnsi="Times New Roman"/>
          <w:lang w:val="en-US"/>
        </w:rPr>
      </w:pPr>
      <w:r>
        <w:rPr>
          <w:rFonts w:ascii="Times New Roman" w:hAnsi="Times New Roman"/>
          <w:lang w:val="en-US"/>
        </w:rPr>
        <w:t>Our results confirmed that JIA's greatest impact was on "physical functioning" and "pain intensity," which are parts of the physical well-being SF-36 factor. Thus, JIA has a greater impact on physical health than on the mental health of patients, which corresponds to scientific data [16, 18, 19, 20, 23, 24].</w:t>
      </w:r>
    </w:p>
    <w:p>
      <w:pPr>
        <w:pStyle w:val="Normal"/>
        <w:widowControl w:val="false"/>
        <w:spacing w:before="0" w:after="240"/>
        <w:jc w:val="both"/>
        <w:rPr>
          <w:rFonts w:ascii="Times New Roman" w:hAnsi="Times New Roman"/>
          <w:lang w:val="en-US"/>
        </w:rPr>
      </w:pPr>
      <w:r>
        <w:rPr>
          <w:rFonts w:ascii="Times New Roman" w:hAnsi="Times New Roman"/>
          <w:lang w:val="en-US"/>
        </w:rPr>
        <w:t>There is evidence of a negative relationship between QoL and the duration of the disease by the results of work by Minden K. et al. [25]. Foster et al. also noted this tendency in patients with JIA [16].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[1] we have shown that QoL depends on the X-ray definite degree of JIA’s progression .</w:t>
      </w:r>
    </w:p>
    <w:p>
      <w:pPr>
        <w:pStyle w:val="Normal"/>
        <w:widowControl w:val="false"/>
        <w:spacing w:before="0" w:after="240"/>
        <w:jc w:val="both"/>
        <w:rPr>
          <w:rFonts w:ascii="Times New Roman" w:hAnsi="Times New Roman"/>
          <w:lang w:val="en-US"/>
        </w:rPr>
      </w:pPr>
      <w:r>
        <w:rPr>
          <w:rFonts w:ascii="Times New Roman" w:hAnsi="Times New Roman"/>
          <w:lang w:val="en-US"/>
        </w:rPr>
        <w:t>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 [26].</w:t>
      </w:r>
    </w:p>
    <w:p>
      <w:pPr>
        <w:pStyle w:val="Normal"/>
        <w:widowControl w:val="false"/>
        <w:spacing w:before="0" w:after="240"/>
        <w:jc w:val="both"/>
        <w:rPr>
          <w:rFonts w:ascii="Times New Roman" w:hAnsi="Times New Roman"/>
          <w:lang w:val="en-US"/>
        </w:rPr>
      </w:pPr>
      <w:r>
        <w:rPr>
          <w:rFonts w:ascii="Times New Roman" w:hAnsi="Times New Roman"/>
          <w:lang w:val="en-US"/>
        </w:rPr>
        <w:t>Patients with JIA may also have a low QoL while in remission. In our study, it was found that 3 out of 33 patients in the remission stage had a low physical well-being. In 5 out of 33 patients - a low level of mental well-being. These data coincide with the results of the study [22], in which 8/38 patients with JIA in the remission stage had a low physical well-being.</w:t>
      </w:r>
    </w:p>
    <w:p>
      <w:pPr>
        <w:pStyle w:val="Normal"/>
        <w:widowControl w:val="false"/>
        <w:spacing w:before="0" w:after="240"/>
        <w:jc w:val="both"/>
        <w:rPr>
          <w:rFonts w:ascii="Times New Roman" w:hAnsi="Times New Roman"/>
          <w:lang w:val="en-US"/>
        </w:rPr>
      </w:pPr>
      <w:r>
        <w:rPr>
          <w:rFonts w:ascii="Times New Roman" w:hAnsi="Times New Roman"/>
          <w:lang w:val="en-US"/>
        </w:rPr>
        <w:t>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[27, 28]. Third, we did not evaluate the effect of treatment on QoL, especially on biological therapy, although a number of studies have shown that QoL with JIA is improved against the background of biological therapy [29, 30].</w:t>
      </w:r>
    </w:p>
    <w:p>
      <w:pPr>
        <w:pStyle w:val="Normal"/>
        <w:widowControl w:val="false"/>
        <w:spacing w:before="0" w:after="240"/>
        <w:jc w:val="both"/>
        <w:rPr>
          <w:rFonts w:ascii="Times New Roman" w:hAnsi="Times New Roman"/>
          <w:lang w:val="en-US"/>
        </w:rPr>
      </w:pPr>
      <w:r>
        <w:rPr>
          <w:rFonts w:ascii="Times New Roman" w:hAnsi="Times New Roman"/>
          <w:lang w:val="en-US"/>
        </w:rPr>
        <w:t>Our research also has the strengths:</w:t>
      </w:r>
    </w:p>
    <w:p>
      <w:pPr>
        <w:pStyle w:val="Normal"/>
        <w:widowControl w:val="false"/>
        <w:numPr>
          <w:ilvl w:val="0"/>
          <w:numId w:val="7"/>
        </w:numPr>
        <w:spacing w:before="0" w:after="240"/>
        <w:jc w:val="both"/>
        <w:rPr/>
      </w:pPr>
      <w:r>
        <w:rPr>
          <w:rFonts w:ascii="Times New Roman" w:hAnsi="Times New Roman"/>
          <w:lang w:val="en-US"/>
        </w:rPr>
        <w:t>The experimental group consisted of patients with JIA that met the criteria for ILAR in the transition period.</w:t>
      </w:r>
    </w:p>
    <w:p>
      <w:pPr>
        <w:pStyle w:val="Normal"/>
        <w:widowControl w:val="false"/>
        <w:numPr>
          <w:ilvl w:val="0"/>
          <w:numId w:val="7"/>
        </w:numPr>
        <w:spacing w:before="0" w:after="240"/>
        <w:jc w:val="both"/>
        <w:rPr/>
      </w:pPr>
      <w:r>
        <w:rPr>
          <w:rFonts w:ascii="Times New Roman" w:hAnsi="Times New Roman"/>
          <w:lang w:val="en-US"/>
        </w:rPr>
        <w:t>The results of evaluation were compared with the control groups comprised of healthy individuals.</w:t>
      </w:r>
    </w:p>
    <w:p>
      <w:pPr>
        <w:pStyle w:val="Normal"/>
        <w:widowControl w:val="false"/>
        <w:numPr>
          <w:ilvl w:val="0"/>
          <w:numId w:val="7"/>
        </w:numPr>
        <w:spacing w:before="0" w:after="240"/>
        <w:jc w:val="both"/>
        <w:rPr/>
      </w:pPr>
      <w:r>
        <w:rPr>
          <w:rFonts w:ascii="Times New Roman" w:hAnsi="Times New Roman"/>
          <w:lang w:val="en-US"/>
        </w:rPr>
        <w:t>This is the first study in Ukraine that included biologic therapy as a potential factor affecting QoL in the transition period.</w:t>
      </w:r>
    </w:p>
    <w:p>
      <w:pPr>
        <w:pStyle w:val="Heading1"/>
        <w:rPr>
          <w:rFonts w:eastAsia="MS Mincho"/>
          <w:lang w:val="en-US"/>
        </w:rPr>
      </w:pPr>
      <w:r>
        <w:rPr>
          <w:rFonts w:eastAsia="MS Mincho"/>
          <w:lang w:val="en-US"/>
        </w:rPr>
        <w:t>Conclusion</w:t>
      </w:r>
    </w:p>
    <w:p>
      <w:pPr>
        <w:pStyle w:val="Normal"/>
        <w:rPr>
          <w:lang w:val="en-US"/>
        </w:rPr>
      </w:pPr>
      <w:r>
        <w:rPr>
          <w:lang w:val="en-US"/>
        </w:rPr>
        <w:t>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pPr>
        <w:pStyle w:val="Heading1"/>
        <w:rPr>
          <w:lang w:val="en-US"/>
        </w:rPr>
      </w:pPr>
      <w:r>
        <w:rPr>
          <w:lang w:val="en-US"/>
        </w:rPr>
        <w:t>Another conclusion</w:t>
      </w:r>
    </w:p>
    <w:p>
      <w:pPr>
        <w:pStyle w:val="Normal"/>
        <w:rPr/>
      </w:pPr>
      <w:r>
        <w:rPr/>
        <w:t>Звичаний</w:t>
      </w:r>
      <w:r>
        <w:rPr>
          <w:lang w:val="en-US"/>
        </w:rPr>
        <w:t xml:space="preserve"> </w:t>
      </w:r>
      <w:r>
        <w:rPr/>
        <w:t>текст</w:t>
      </w:r>
      <w:r>
        <w:rPr>
          <w:lang w:val="en-US"/>
        </w:rPr>
        <w:t xml:space="preserve"> </w:t>
      </w:r>
      <w:r>
        <w:rPr/>
        <w:t>тут</w:t>
      </w:r>
      <w:r>
        <w:rPr>
          <w:lang w:val="en-US"/>
        </w:rPr>
        <w:t>.</w:t>
      </w:r>
    </w:p>
    <w:p>
      <w:pPr>
        <w:pStyle w:val="Normal"/>
        <w:rPr>
          <w:lang w:val="en-US"/>
        </w:rPr>
      </w:pPr>
      <w:r>
        <w:rPr>
          <w:lang w:val="en-US"/>
        </w:rPr>
      </w:r>
    </w:p>
    <w:p>
      <w:pPr>
        <w:pStyle w:val="Bibliography"/>
        <w:rPr>
          <w:lang w:val="en-US"/>
        </w:rPr>
      </w:pPr>
      <w:r>
        <w:rPr/>
        <w:t>References</w:t>
      </w:r>
    </w:p>
    <w:p>
      <w:pPr>
        <w:pStyle w:val="Bibliography"/>
        <w:numPr>
          <w:ilvl w:val="0"/>
          <w:numId w:val="4"/>
        </w:numPr>
        <w:rPr>
          <w:rFonts w:ascii="Times New Roman" w:hAnsi="Times New Roman"/>
          <w:lang w:val="en-US"/>
        </w:rPr>
      </w:pPr>
      <w:r>
        <w:rPr>
          <w:rFonts w:ascii="Times New Roman" w:hAnsi="Times New Roman"/>
          <w:lang w:val="en-US"/>
        </w:rPr>
        <w:t>Dzhus MB. Psycho-emotional condition of young adults with juvenile idiopathic arthritis.</w:t>
      </w:r>
      <w:r>
        <w:rPr>
          <w:rFonts w:ascii="Times New Roman" w:hAnsi="Times New Roman"/>
          <w:bCs/>
          <w:lang w:val="en-US"/>
        </w:rPr>
        <w:t xml:space="preserve"> Acta Medica Leopoliensia. </w:t>
      </w:r>
      <w:r>
        <w:rPr>
          <w:rFonts w:ascii="Times New Roman" w:hAnsi="Times New Roman"/>
          <w:lang w:val="en-US"/>
        </w:rPr>
        <w:t>2017; 23 (1-2): 44-51.</w:t>
      </w:r>
    </w:p>
    <w:p>
      <w:pPr>
        <w:pStyle w:val="Bibliography"/>
        <w:numPr>
          <w:ilvl w:val="0"/>
          <w:numId w:val="4"/>
        </w:numPr>
        <w:rPr/>
      </w:pPr>
      <w:r>
        <w:rPr>
          <w:rFonts w:ascii="Times New Roman" w:hAnsi="Times New Roman"/>
          <w:lang w:val="en-US"/>
        </w:rPr>
        <w:t xml:space="preserve">Hersh A, Scheven E, Yelin E. Adult outcome of childhood-onset rheumatic diseases. Nat Rev Rheumatol. 2011;7(5):290-295. DOI: </w:t>
      </w:r>
      <w:hyperlink r:id="rId3">
        <w:r>
          <w:rPr>
            <w:rStyle w:val="InternetLink"/>
            <w:rFonts w:ascii="Times New Roman" w:hAnsi="Times New Roman"/>
            <w:lang w:val="en-US"/>
          </w:rPr>
          <w:t>https://doi.org/10.1038/nrrheum.2011.38</w:t>
        </w:r>
      </w:hyperlink>
      <w:r>
        <w:rPr>
          <w:rFonts w:ascii="Times New Roman" w:hAnsi="Times New Roman"/>
          <w:lang w:val="en-US"/>
        </w:rPr>
        <w:t xml:space="preserve"> PMID: </w:t>
      </w:r>
      <w:hyperlink r:id="rId4">
        <w:r>
          <w:rPr>
            <w:rStyle w:val="InternetLink"/>
            <w:rFonts w:ascii="Times New Roman" w:hAnsi="Times New Roman"/>
            <w:lang w:val="en-US"/>
          </w:rPr>
          <w:t>https://www.ncbi.nlm.nih.gov/pubmed/21487383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Scal P, Horvath K, Garwick A. Preparing for adulthood: health care transition counseling for youth with arthritis. Arthritis Rheum. 2009;61(1):52-57. DOI: </w:t>
      </w:r>
      <w:hyperlink r:id="rId5">
        <w:r>
          <w:rPr>
            <w:rStyle w:val="InternetLink"/>
            <w:rFonts w:ascii="Times New Roman" w:hAnsi="Times New Roman"/>
            <w:lang w:val="en-US"/>
          </w:rPr>
          <w:t>https://doi.org/10.1002/art.24088</w:t>
        </w:r>
      </w:hyperlink>
      <w:r>
        <w:rPr>
          <w:rFonts w:ascii="Times New Roman" w:hAnsi="Times New Roman"/>
          <w:lang w:val="en-US"/>
        </w:rPr>
        <w:t xml:space="preserve"> PMID: </w:t>
      </w:r>
      <w:hyperlink r:id="rId6">
        <w:r>
          <w:rPr>
            <w:rStyle w:val="InternetLink"/>
            <w:rFonts w:ascii="Times New Roman" w:hAnsi="Times New Roman"/>
            <w:lang w:val="en-US"/>
          </w:rPr>
          <w:t>https://www.ncbi.nlm.nih.gov/pubmed/19116976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Ammerlaan JW, Scholtus LW, Bijlsma HJ, Prakken BJ, Kruize AA. An urge for change: transitional care for young adults with juvenile idiopathic arthritis. Patient Educ Couns. 2013;92(1):127–129. DOI: </w:t>
      </w:r>
      <w:hyperlink r:id="rId7">
        <w:r>
          <w:rPr>
            <w:rStyle w:val="InternetLink"/>
            <w:rFonts w:ascii="Times New Roman" w:hAnsi="Times New Roman"/>
            <w:lang w:val="en-US"/>
          </w:rPr>
          <w:t>https://doi.org/10.1016/j.pec.2013.02.006</w:t>
        </w:r>
      </w:hyperlink>
      <w:r>
        <w:rPr>
          <w:rFonts w:ascii="Times New Roman" w:hAnsi="Times New Roman"/>
          <w:lang w:val="en-US"/>
        </w:rPr>
        <w:t xml:space="preserve"> PMID: </w:t>
      </w:r>
      <w:hyperlink r:id="rId8">
        <w:r>
          <w:rPr>
            <w:rStyle w:val="InternetLink"/>
            <w:rFonts w:ascii="Times New Roman" w:hAnsi="Times New Roman"/>
            <w:lang w:val="en-US"/>
          </w:rPr>
          <w:t>https://www.ncbi.nlm.nih.gov/pubmed/23490174</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Wells CK, McMorris BJ, Horvath KJ, Garwick AW, Scal PB. Youth report of healthcare transition counseling and autonomy support from their rheumatologist. Pediatr Rheumatol Online J. 2012;10:36. DOI: </w:t>
      </w:r>
      <w:hyperlink r:id="rId9">
        <w:r>
          <w:rPr>
            <w:rStyle w:val="InternetLink"/>
            <w:rFonts w:ascii="Times New Roman" w:hAnsi="Times New Roman"/>
            <w:lang w:val="en-US"/>
          </w:rPr>
          <w:t>https://doi.org/10.1186/1546-0096-10-36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Shaw KL, Southwood TR, McDonagh JE. User perspectives of transitional care for adolescents with juvenile idiopathic arthritis. Rheumatology. 2004;43(6):770–778. </w:t>
      </w:r>
      <w:hyperlink r:id="rId10">
        <w:r>
          <w:rPr>
            <w:rStyle w:val="InternetLink"/>
            <w:rFonts w:ascii="Times New Roman" w:hAnsi="Times New Roman"/>
            <w:lang w:val="en-US"/>
          </w:rPr>
          <w:t>https://doi.org/10.1093/rheumatology/keh175</w:t>
        </w:r>
      </w:hyperlink>
      <w:r>
        <w:rPr>
          <w:rFonts w:ascii="Times New Roman" w:hAnsi="Times New Roman"/>
          <w:lang w:val="en-US"/>
        </w:rPr>
        <w:t xml:space="preserve"> PMID: </w:t>
      </w:r>
      <w:hyperlink r:id="rId11">
        <w:r>
          <w:rPr>
            <w:rStyle w:val="InternetLink"/>
            <w:rFonts w:ascii="Times New Roman" w:hAnsi="Times New Roman"/>
            <w:lang w:val="en-US"/>
          </w:rPr>
          <w:t>https://www.ncbi.nlm.nih.gov/pubmed/15039498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Eyckmans L, Hilderson D, Westhovens R, Wouters C, Moons P. What does it mean to grow up with juvenile idiopathic arthritis? A qualitative study on the perspectives of patients. Clin Rheumatol. 2011;30(4):459–465. DOI: </w:t>
      </w:r>
      <w:hyperlink r:id="rId12">
        <w:r>
          <w:rPr>
            <w:rStyle w:val="InternetLink"/>
            <w:rFonts w:ascii="Times New Roman" w:hAnsi="Times New Roman"/>
            <w:lang w:val="en-US"/>
          </w:rPr>
          <w:t>https://doi.org/10.1007/s10067-010-1444-0</w:t>
        </w:r>
      </w:hyperlink>
      <w:r>
        <w:rPr>
          <w:rFonts w:ascii="Times New Roman" w:hAnsi="Times New Roman"/>
          <w:lang w:val="en-US"/>
        </w:rPr>
        <w:t xml:space="preserve"> PMID: </w:t>
      </w:r>
      <w:hyperlink r:id="rId13">
        <w:r>
          <w:rPr>
            <w:rStyle w:val="InternetLink"/>
            <w:rFonts w:ascii="Times New Roman" w:hAnsi="Times New Roman"/>
            <w:lang w:val="en-US"/>
          </w:rPr>
          <w:t>https://www.ncbi.nlm.nih.gov/pubmed/20383546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Tong A, Jones J, Craig JC, Singh-Grewal D. Children’s experiences of living with juvenile idiopathic arthritis: a thematic synthesis of qualitative studies. Arthritis Care Res (Hoboken). 2012;64(9):1392–1404. DOI: </w:t>
      </w:r>
      <w:hyperlink r:id="rId14">
        <w:r>
          <w:rPr>
            <w:rStyle w:val="InternetLink"/>
            <w:rFonts w:ascii="Times New Roman" w:hAnsi="Times New Roman"/>
            <w:lang w:val="en-US"/>
          </w:rPr>
          <w:t>https://doi.org/10.1002/acr.21695</w:t>
        </w:r>
      </w:hyperlink>
      <w:r>
        <w:rPr>
          <w:rFonts w:ascii="Times New Roman" w:hAnsi="Times New Roman"/>
          <w:lang w:val="en-US"/>
        </w:rPr>
        <w:t xml:space="preserve">   PMID: </w:t>
      </w:r>
      <w:hyperlink r:id="rId15">
        <w:r>
          <w:rPr>
            <w:rStyle w:val="InternetLink"/>
            <w:rFonts w:ascii="Times New Roman" w:hAnsi="Times New Roman"/>
            <w:lang w:val="en-US"/>
          </w:rPr>
          <w:t>https://www.ncbi.nlm.nih.gov/pubmed/22504867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Packham JC, Hall MA. Long-term follow-up of 246 adults with juvenile idiopathic arthritis: functional outcome. Rheumatology (Oxford). 2002;41(12):1428–1435. DOI: </w:t>
      </w:r>
      <w:hyperlink r:id="rId16">
        <w:r>
          <w:rPr>
            <w:rStyle w:val="InternetLink"/>
            <w:rFonts w:ascii="Times New Roman" w:hAnsi="Times New Roman"/>
            <w:lang w:val="en-US"/>
          </w:rPr>
          <w:t>https://doi.org/10.1093/rheumatology/41.12.1436</w:t>
        </w:r>
      </w:hyperlink>
      <w:r>
        <w:rPr>
          <w:rFonts w:ascii="Times New Roman" w:hAnsi="Times New Roman"/>
          <w:lang w:val="en-US"/>
        </w:rPr>
        <w:t xml:space="preserve"> PMID: </w:t>
      </w:r>
      <w:hyperlink r:id="rId17">
        <w:r>
          <w:rPr>
            <w:rStyle w:val="InternetLink"/>
            <w:rFonts w:ascii="Times New Roman" w:hAnsi="Times New Roman"/>
            <w:lang w:val="en-US"/>
          </w:rPr>
          <w:t>https://www.ncbi.nlm.nih.gov/pubmed/12468825</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Magni-Manzoni S, Ruperto N, Pistorio A, Sala E, Solari N, Palmisani E, Cugno C, Bozzola E, Martini A, Ravelli A. Development and validation of a preliminary definition of minimal disease activity in juvenile idiopathic arthritis. Arthritis Rheum. 2008;59(8):1120–1127. DOI: </w:t>
      </w:r>
      <w:hyperlink r:id="rId18">
        <w:r>
          <w:rPr>
            <w:rStyle w:val="InternetLink"/>
            <w:rFonts w:ascii="Times New Roman" w:hAnsi="Times New Roman"/>
            <w:lang w:val="en-US"/>
          </w:rPr>
          <w:t>https://doi.org/10.1002/art.23916</w:t>
        </w:r>
      </w:hyperlink>
      <w:r>
        <w:rPr>
          <w:rFonts w:ascii="Times New Roman" w:hAnsi="Times New Roman"/>
          <w:lang w:val="en-US"/>
        </w:rPr>
        <w:t xml:space="preserve"> PMID: </w:t>
      </w:r>
      <w:hyperlink r:id="rId19">
        <w:r>
          <w:rPr>
            <w:rStyle w:val="InternetLink"/>
            <w:rFonts w:ascii="Times New Roman" w:hAnsi="Times New Roman"/>
            <w:lang w:val="en-US"/>
          </w:rPr>
          <w:t>https://www.ncbi.nlm.nih.gov/pubmed/18668599</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Haverman L, Grootenhuis MA, Berg JM, Veenendaal M, Dolman KM, Swart JF, Kuijpers TW, Rossum MA. Predictors of health- related quality of life in children and adolescents with juvenile idiopathic arthritis: results from a Web-based survey. Arthritis Care Res (Hoboken). 2012;64(5):694–703. DOI: </w:t>
      </w:r>
      <w:hyperlink r:id="rId20">
        <w:r>
          <w:rPr>
            <w:rStyle w:val="InternetLink"/>
            <w:rFonts w:ascii="Times New Roman" w:hAnsi="Times New Roman"/>
            <w:lang w:val="en-US"/>
          </w:rPr>
          <w:t>https://doi.org/10.1002/acr.21609</w:t>
        </w:r>
      </w:hyperlink>
      <w:r>
        <w:rPr>
          <w:rFonts w:ascii="Times New Roman" w:hAnsi="Times New Roman"/>
          <w:lang w:val="en-US"/>
        </w:rPr>
        <w:t xml:space="preserve"> PMID: </w:t>
      </w:r>
      <w:hyperlink r:id="rId21">
        <w:r>
          <w:rPr>
            <w:rStyle w:val="InternetLink"/>
            <w:rFonts w:ascii="Times New Roman" w:hAnsi="Times New Roman"/>
            <w:lang w:val="en-US"/>
          </w:rPr>
          <w:t>https://www.ncbi.nlm.nih.gov/pubmed/22238240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Kalyoncu U, Dougados M, Daurès JP, Gossec L. Reporting of patient-reported out- comes in recent trials in rheumatoid arthritis: a systematic literature review. Ann Rheum Dis. 2009;68(2):183–190. DOI: </w:t>
      </w:r>
      <w:hyperlink r:id="rId22">
        <w:r>
          <w:rPr>
            <w:rStyle w:val="InternetLink"/>
            <w:rFonts w:ascii="Times New Roman" w:hAnsi="Times New Roman"/>
            <w:lang w:val="en-US"/>
          </w:rPr>
          <w:t>https://doi.org/10.1136/ard.2007.084848</w:t>
        </w:r>
      </w:hyperlink>
      <w:r>
        <w:rPr>
          <w:rFonts w:ascii="Times New Roman" w:hAnsi="Times New Roman"/>
          <w:lang w:val="en-US"/>
        </w:rPr>
        <w:t xml:space="preserve"> PMID: </w:t>
      </w:r>
      <w:hyperlink r:id="rId23">
        <w:r>
          <w:rPr>
            <w:rStyle w:val="InternetLink"/>
            <w:rFonts w:ascii="Times New Roman" w:hAnsi="Times New Roman"/>
            <w:lang w:val="en-US"/>
          </w:rPr>
          <w:t>https://www.ncbi.nlm.nih.gov/pubmed/18375533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Bruce B, Fries JF. The Health Assessment Questionnaire (HAQ). Clin Exp Rheumatol. 2005;23(5):14–18. PMID: </w:t>
      </w:r>
      <w:hyperlink r:id="rId24">
        <w:r>
          <w:rPr>
            <w:rStyle w:val="InternetLink"/>
            <w:rFonts w:ascii="Times New Roman" w:hAnsi="Times New Roman"/>
            <w:lang w:val="en-US"/>
          </w:rPr>
          <w:t>https://www.ncbi.nlm.nih.gov/pubmed/16273780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Petty RE, Southwood TR, Manners P, Baum J, Glass DN, Goldenberg J, He X, Maldonado-Cocco J, Orozco-Alcala J, Prieur AM, Suarez-Almazor ME, Woo P. International League of Associations for Rheumatology classification of juvenile idiopathic arthritis: second revision, Edmonton, 2001. J Rheumatol. 2004;31(2):390–392. PMID: </w:t>
      </w:r>
      <w:hyperlink r:id="rId25">
        <w:r>
          <w:rPr>
            <w:rStyle w:val="InternetLink"/>
            <w:rFonts w:ascii="Times New Roman" w:hAnsi="Times New Roman"/>
            <w:lang w:val="en-US"/>
          </w:rPr>
          <w:t>https://www.ncbi.nlm.nih.gov/pubmed/14760812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Beukelman T, Patkar NM, Saag KG, Tolleson-Rinehart S, Cron RQ, DeWitt EM, Ilowite NT, Kimura Y, Laxer RM, Lovell DJ, Martini A, Rabinovich CE, Ruperto N. 2011 American College of Rheumatology recommendations for the treatment of juvenile idiopathic arthritis: initiation and safety monitoring of therapeutic agents for the treatment of arthritis and systemic features. Arthritis Care Res. 2011;63(4):465–482. DOI: </w:t>
      </w:r>
      <w:hyperlink r:id="rId26">
        <w:r>
          <w:rPr>
            <w:rStyle w:val="InternetLink"/>
            <w:rFonts w:ascii="Times New Roman" w:hAnsi="Times New Roman"/>
            <w:lang w:val="en-US"/>
          </w:rPr>
          <w:t>https://doi.org/10.1002/acr.20460</w:t>
        </w:r>
      </w:hyperlink>
      <w:r>
        <w:rPr>
          <w:rFonts w:ascii="Times New Roman" w:hAnsi="Times New Roman"/>
          <w:lang w:val="en-US"/>
        </w:rPr>
        <w:t xml:space="preserve">  PMID: </w:t>
      </w:r>
      <w:hyperlink r:id="rId27">
        <w:r>
          <w:rPr>
            <w:rStyle w:val="InternetLink"/>
            <w:rFonts w:ascii="Times New Roman" w:hAnsi="Times New Roman"/>
            <w:lang w:val="en-US"/>
          </w:rPr>
          <w:t>https://www.ncbi.nlm.nih.gov/pubmed/21452260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Foster HE, Marshall N, Myers A, Dunkley P, Griffiths ID. Outcome in adults with juvenile idiopathic arthritis: a quality of life study. Arthritis Rheum. 2003;48(3):767–775. DOI: </w:t>
      </w:r>
      <w:hyperlink r:id="rId28">
        <w:r>
          <w:rPr>
            <w:rStyle w:val="InternetLink"/>
            <w:rFonts w:ascii="Times New Roman" w:hAnsi="Times New Roman"/>
            <w:lang w:val="en-US"/>
          </w:rPr>
          <w:t>https://doi.org/10.1002/art.10863</w:t>
        </w:r>
      </w:hyperlink>
      <w:r>
        <w:rPr>
          <w:rFonts w:ascii="Times New Roman" w:hAnsi="Times New Roman"/>
          <w:lang w:val="en-US"/>
        </w:rPr>
        <w:t xml:space="preserve"> PMID: </w:t>
      </w:r>
      <w:hyperlink r:id="rId29">
        <w:r>
          <w:rPr>
            <w:rStyle w:val="InternetLink"/>
            <w:rFonts w:ascii="Times New Roman" w:hAnsi="Times New Roman"/>
            <w:lang w:val="en-US"/>
          </w:rPr>
          <w:t>https://www.ncbi.nlm.nih.gov/pubmed/12632431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Ruperto N, Levinson JE, Ravelli A, Shear ES, Link Tague B, Murray K, Martini A, Giannini EH. Long-term health outcomes and quality of life in American and Italian inception cohorts of patients with juvenile rheumatoid arthritis; I; Outcome status. J Rheumatol. 1997;24(5):945–951. PMID: </w:t>
      </w:r>
      <w:hyperlink r:id="rId30">
        <w:r>
          <w:rPr>
            <w:rStyle w:val="InternetLink"/>
            <w:rFonts w:ascii="Times New Roman" w:hAnsi="Times New Roman"/>
            <w:lang w:val="en-US"/>
          </w:rPr>
          <w:t>https://www.ncbi.nlm.nih.gov/pubmed/9150087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Flatø B, Aasland A, Vinje O, Førre O. Outcome and predictive factors in juvenile rheumatoid arthritis and juvenile spondyloarthropathy. J Rheumatol. 1998;25(2):366–375. PMID: </w:t>
      </w:r>
      <w:hyperlink r:id="rId31">
        <w:r>
          <w:rPr>
            <w:rStyle w:val="InternetLink"/>
            <w:rFonts w:ascii="Times New Roman" w:hAnsi="Times New Roman"/>
            <w:lang w:val="en-US"/>
          </w:rPr>
          <w:t>https://www.ncbi.nlm.nih.gov/pubmed/9489836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Peterson LS, Mason T, Nelson AM, O'Fallon WM, Gabriel SE. Psychosocial outcomes and health status of adults who have had juvenile rheumatoid arthritis: a controlled, population-based study. Arthritis Rheum. 1997;40(12):2235–2240.  PMID:  </w:t>
      </w:r>
      <w:hyperlink r:id="rId32">
        <w:r>
          <w:rPr>
            <w:rStyle w:val="InternetLink"/>
            <w:rFonts w:ascii="Times New Roman" w:hAnsi="Times New Roman"/>
            <w:lang w:val="en-US"/>
          </w:rPr>
          <w:t>https://www.ncbi.nlm.nih.gov/pubmed/9416862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Arkela-Kautiainen M, Haapasaari J, Kautiainen H, Vikkumaa I, Malkia E, Leirisalo-Repo M. Favourable social functioning and health related quality of life of patients with JIA in early adulthood. Ann Rheum Dis. 2005;64(6):875–880. DOI: </w:t>
      </w:r>
      <w:hyperlink r:id="rId33">
        <w:r>
          <w:rPr>
            <w:rStyle w:val="InternetLink"/>
            <w:rFonts w:ascii="Times New Roman" w:hAnsi="Times New Roman"/>
            <w:lang w:val="en-US"/>
          </w:rPr>
          <w:t>https://doi.org/10.1136/ard.2004.026591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Oen K, Malleson PN, Cabral DA, Rosenberg AM, Petty RE, Reed M, Schroeder ML, Cheang M. Early predictors of longterm outcome in patients with juvenile rheumatoid arthritis: subset-specific correlations. J Rheumatol. 2003;30(3):585–593. URL: </w:t>
      </w:r>
      <w:hyperlink r:id="rId34">
        <w:r>
          <w:rPr>
            <w:rStyle w:val="InternetLink"/>
            <w:rFonts w:ascii="Times New Roman" w:hAnsi="Times New Roman"/>
            <w:lang w:val="en-US"/>
          </w:rPr>
          <w:t>http://www.jrheum.org/content/30/3/585.long</w:t>
        </w:r>
      </w:hyperlink>
      <w:r>
        <w:rPr>
          <w:rFonts w:ascii="Times New Roman" w:hAnsi="Times New Roman"/>
          <w:lang w:val="en-US"/>
        </w:rPr>
        <w:t xml:space="preserve"> PMID: </w:t>
      </w:r>
      <w:hyperlink r:id="rId35">
        <w:r>
          <w:rPr>
            <w:rStyle w:val="InternetLink"/>
            <w:rFonts w:ascii="Times New Roman" w:hAnsi="Times New Roman"/>
            <w:lang w:val="en-US"/>
          </w:rPr>
          <w:t>https://www.ncbi.nlm.nih.gov/pubmed/12610821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Wipff J, Sparsa L, Lohse A, Quartier</w:t>
      </w:r>
      <w:r>
        <w:rPr/>
        <w:t xml:space="preserve"> </w:t>
      </w:r>
      <w:r>
        <w:rPr>
          <w:rFonts w:ascii="Times New Roman" w:hAnsi="Times New Roman"/>
          <w:lang w:val="en-US"/>
        </w:rPr>
        <w:t>P, Kahan</w:t>
      </w:r>
      <w:r>
        <w:rPr/>
        <w:t xml:space="preserve"> </w:t>
      </w:r>
      <w:r>
        <w:rPr>
          <w:rFonts w:ascii="Times New Roman" w:hAnsi="Times New Roman"/>
          <w:lang w:val="en-US"/>
        </w:rPr>
        <w:t>A, Deslandre</w:t>
      </w:r>
      <w:r>
        <w:rPr/>
        <w:t xml:space="preserve"> </w:t>
      </w:r>
      <w:r>
        <w:rPr>
          <w:rFonts w:ascii="Times New Roman" w:hAnsi="Times New Roman"/>
          <w:lang w:val="en-US"/>
        </w:rPr>
        <w:t xml:space="preserve">CJ. Impact of juvenile idiopathic arthritis on quality of life during transition period at the era of biotherapies. Joint Bone Spine. 2015 </w:t>
      </w:r>
      <w:hyperlink r:id="rId36">
        <w:r>
          <w:rPr>
            <w:rStyle w:val="InternetLink"/>
            <w:rFonts w:ascii="Times New Roman" w:hAnsi="Times New Roman"/>
            <w:lang w:val="en-US"/>
          </w:rPr>
          <w:t>https://doi.org/10.1016/j.jbspin.2015.03.005</w:t>
        </w:r>
      </w:hyperlink>
      <w:r>
        <w:rPr>
          <w:rFonts w:ascii="Times New Roman" w:hAnsi="Times New Roman"/>
          <w:lang w:val="en-US"/>
        </w:rPr>
        <w:t xml:space="preserve"> PMID: </w:t>
      </w:r>
      <w:hyperlink r:id="rId37">
        <w:r>
          <w:rPr>
            <w:rStyle w:val="InternetLink"/>
            <w:rFonts w:ascii="Times New Roman" w:hAnsi="Times New Roman"/>
            <w:lang w:val="en-US"/>
          </w:rPr>
          <w:t>https://www.ncbi.nlm.nih.gov/pubmed/26231098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Ding T, Hall A, Jacobs K, David J. Psychological functioning of children and adolescents with juvenile idiopathic arthritis is related to physical disability but not to disease status. Rheumatology (Oxford). 2008;47(5): 660–664. DOI: </w:t>
      </w:r>
      <w:hyperlink r:id="rId38">
        <w:r>
          <w:rPr>
            <w:rStyle w:val="InternetLink"/>
            <w:rFonts w:ascii="Times New Roman" w:hAnsi="Times New Roman"/>
            <w:lang w:val="en-US"/>
          </w:rPr>
          <w:t>https://doi.org/10.1093/rheumatology/ken095</w:t>
        </w:r>
      </w:hyperlink>
      <w:r>
        <w:rPr>
          <w:rFonts w:ascii="Times New Roman" w:hAnsi="Times New Roman"/>
          <w:lang w:val="en-US"/>
        </w:rPr>
        <w:t xml:space="preserve"> PMID: </w:t>
      </w:r>
      <w:hyperlink r:id="rId39">
        <w:r>
          <w:rPr>
            <w:rStyle w:val="InternetLink"/>
            <w:rFonts w:ascii="Times New Roman" w:hAnsi="Times New Roman"/>
            <w:lang w:val="en-US"/>
          </w:rPr>
          <w:t>https://www.ncbi.nlm.nih.gov/pubmed/18356173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LeBovidge JS, Lavigne JV, Donenberg GR, Miller ML. Psychological adjustment of children and adolescents with chronic arthritis: a meta-analytic review. J Pediatr Psychol. 2003;28(1):29–39. DOI: </w:t>
      </w:r>
      <w:hyperlink r:id="rId40">
        <w:r>
          <w:rPr>
            <w:rStyle w:val="InternetLink"/>
            <w:rFonts w:ascii="Times New Roman" w:hAnsi="Times New Roman"/>
            <w:lang w:val="en-US"/>
          </w:rPr>
          <w:t>https://doi.org/10.1093/jpepsy/28.1.29</w:t>
        </w:r>
      </w:hyperlink>
      <w:r>
        <w:rPr>
          <w:rFonts w:ascii="Times New Roman" w:hAnsi="Times New Roman"/>
          <w:lang w:val="en-US"/>
        </w:rPr>
        <w:t xml:space="preserve"> PMID: </w:t>
      </w:r>
      <w:hyperlink r:id="rId41">
        <w:r>
          <w:rPr>
            <w:rStyle w:val="InternetLink"/>
            <w:rFonts w:ascii="Times New Roman" w:hAnsi="Times New Roman"/>
            <w:lang w:val="en-US"/>
          </w:rPr>
          <w:t>https://www.ncbi.nlm.nih.gov/pubmed/12490628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Minden K, Niewerth M, Listing J, Biedermann T, Bollow M, Schöntube M, Zink A. Long-term outcome in patients with juvenile idiopathic arthritis. Arthritis Rheum. 2002;46(9):2392–2401. DOI: </w:t>
      </w:r>
      <w:hyperlink r:id="rId42">
        <w:r>
          <w:rPr>
            <w:rStyle w:val="InternetLink"/>
            <w:rFonts w:ascii="Times New Roman" w:hAnsi="Times New Roman"/>
            <w:lang w:val="en-US"/>
          </w:rPr>
          <w:t>https://doi.org/10.1002/art.10444</w:t>
        </w:r>
      </w:hyperlink>
      <w:r>
        <w:rPr>
          <w:rFonts w:ascii="Times New Roman" w:hAnsi="Times New Roman"/>
          <w:lang w:val="en-US"/>
        </w:rPr>
        <w:t xml:space="preserve"> PMID: </w:t>
      </w:r>
      <w:hyperlink r:id="rId43">
        <w:r>
          <w:rPr>
            <w:rStyle w:val="InternetLink"/>
            <w:rFonts w:ascii="Times New Roman" w:hAnsi="Times New Roman"/>
            <w:lang w:val="en-US"/>
          </w:rPr>
          <w:t>https://www.ncbi.nlm.nih.gov/pubmed/12355487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Stinson JN, Luca N, Jibb LA. Assessment and management of pain in juvenile idiopathic arthritis. Pain Res Manag. 2012;17(6):91–396. DOI: </w:t>
      </w:r>
      <w:hyperlink r:id="rId44">
        <w:r>
          <w:rPr>
            <w:rStyle w:val="InternetLink"/>
            <w:rFonts w:ascii="Times New Roman" w:hAnsi="Times New Roman"/>
            <w:lang w:val="en-US"/>
          </w:rPr>
          <w:t>https://doi.org/10.1155/2012/237258</w:t>
        </w:r>
      </w:hyperlink>
      <w:r>
        <w:rPr>
          <w:rFonts w:ascii="Times New Roman" w:hAnsi="Times New Roman"/>
          <w:lang w:val="en-US"/>
        </w:rPr>
        <w:t xml:space="preserve"> PMID: </w:t>
      </w:r>
      <w:hyperlink r:id="rId45">
        <w:r>
          <w:rPr>
            <w:rStyle w:val="InternetLink"/>
            <w:rFonts w:ascii="Times New Roman" w:hAnsi="Times New Roman"/>
            <w:lang w:val="en-US"/>
          </w:rPr>
          <w:t>https://www.ncbi.nlm.nih.gov/pubmed/23248812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Jordan JM. Effect of race and ethnicity on outcomes in arthritis and rheumatic conditions. Curr Opin Rheumatol. 1999; 11(2):98–103. DOI: </w:t>
      </w:r>
      <w:hyperlink r:id="rId46">
        <w:r>
          <w:rPr>
            <w:rStyle w:val="InternetLink"/>
            <w:rFonts w:ascii="Times New Roman" w:hAnsi="Times New Roman"/>
            <w:lang w:val="en-US"/>
          </w:rPr>
          <w:t>https://doi.org/10.1097/00002281-199903000-00003</w:t>
        </w:r>
      </w:hyperlink>
      <w:r>
        <w:rPr>
          <w:rFonts w:ascii="Times New Roman" w:hAnsi="Times New Roman"/>
          <w:lang w:val="en-US"/>
        </w:rPr>
        <w:t xml:space="preserve"> PMID: </w:t>
      </w:r>
      <w:hyperlink r:id="rId47">
        <w:r>
          <w:rPr>
            <w:rStyle w:val="InternetLink"/>
            <w:rFonts w:ascii="Times New Roman" w:hAnsi="Times New Roman"/>
            <w:lang w:val="en-US"/>
          </w:rPr>
          <w:t>https://www.ncbi.nlm.nih.gov/pubmed/10319211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Baker TA, Green CR. Intrarace differences among black and white Americans presenting for chronic pain management: the influence of age, physical health, and psychosocial factors. Pain Med. 2005;6(1):29–38. DOI: </w:t>
      </w:r>
      <w:hyperlink r:id="rId48">
        <w:r>
          <w:rPr>
            <w:rStyle w:val="InternetLink"/>
            <w:rFonts w:ascii="Times New Roman" w:hAnsi="Times New Roman"/>
            <w:lang w:val="en-US"/>
          </w:rPr>
          <w:t>https://doi.org/10.1111/j.1526-4637.2005.05014.x</w:t>
        </w:r>
      </w:hyperlink>
      <w:r>
        <w:rPr>
          <w:rFonts w:ascii="Times New Roman" w:hAnsi="Times New Roman"/>
          <w:lang w:val="en-US"/>
        </w:rPr>
        <w:t xml:space="preserve"> PMID: </w:t>
      </w:r>
      <w:hyperlink r:id="rId49">
        <w:r>
          <w:rPr>
            <w:rStyle w:val="InternetLink"/>
            <w:rFonts w:ascii="Times New Roman" w:hAnsi="Times New Roman"/>
            <w:lang w:val="en-US"/>
          </w:rPr>
          <w:t>https://www.ncbi.nlm.nih.gov/pubmed/15669948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Klotsche J, Minden K, Thon A, Ganser G, Urban A, Horneff G. Improvement in Health-related Quality of Life for children with juvenile idiopathic arthritis after start of treatment with etanercept. Arthritis Care Res (Hoboken). 2014;66(2):253–262. DOI: </w:t>
      </w:r>
      <w:hyperlink r:id="rId50">
        <w:r>
          <w:rPr>
            <w:rStyle w:val="InternetLink"/>
            <w:rFonts w:ascii="Times New Roman" w:hAnsi="Times New Roman"/>
            <w:lang w:val="en-US"/>
          </w:rPr>
          <w:t>https://doi.org/10.1002/acr.22112</w:t>
        </w:r>
      </w:hyperlink>
      <w:r>
        <w:rPr>
          <w:rFonts w:ascii="Times New Roman" w:hAnsi="Times New Roman"/>
          <w:lang w:val="en-US"/>
        </w:rPr>
        <w:t xml:space="preserve"> PMID: </w:t>
      </w:r>
      <w:hyperlink r:id="rId51">
        <w:r>
          <w:rPr>
            <w:rStyle w:val="InternetLink"/>
            <w:rFonts w:ascii="Times New Roman" w:hAnsi="Times New Roman"/>
            <w:lang w:val="en-US"/>
          </w:rPr>
          <w:t>https://www.ncbi.nlm.nih.gov/pubmed/23983081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Prince FH, Geerdink LM, Borsboom GJ, Twilt M, Rossum MA, Hoppenreijs EP, Cate RT, Koopman-Keemink Y, Santen-Hoeufft M, Raat H, Suijlekom-Smit LW. Major improvement in health-related quality of life during the use of etanercept in patients with previously refractory juvenile idiopathic arthritis. Ann Rheum Dis. 2010; 69(1):138–142. DOI: </w:t>
      </w:r>
      <w:hyperlink r:id="rId52">
        <w:r>
          <w:rPr>
            <w:rStyle w:val="InternetLink"/>
            <w:rFonts w:ascii="Times New Roman" w:hAnsi="Times New Roman"/>
            <w:lang w:val="en-US"/>
          </w:rPr>
          <w:t>https://doi.org/10.1136/ard.2009.111260</w:t>
        </w:r>
      </w:hyperlink>
      <w:r>
        <w:rPr>
          <w:rFonts w:ascii="Times New Roman" w:hAnsi="Times New Roman"/>
          <w:lang w:val="en-US"/>
        </w:rPr>
        <w:t xml:space="preserve"> PMID: </w:t>
      </w:r>
      <w:hyperlink r:id="rId53">
        <w:r>
          <w:rPr>
            <w:rStyle w:val="InternetLink"/>
            <w:rFonts w:ascii="Times New Roman" w:hAnsi="Times New Roman"/>
            <w:lang w:val="en-US"/>
          </w:rPr>
          <w:t>https://www.ncbi.nlm.nih.gov/pubmed/19581280</w:t>
        </w:r>
      </w:hyperlink>
      <w:r>
        <w:rPr>
          <w:rFonts w:ascii="Times New Roman" w:hAnsi="Times New Roman"/>
          <w:lang w:val="en-US"/>
        </w:rPr>
        <w:t xml:space="preserve"> </w:t>
      </w:r>
    </w:p>
    <w:sdt>
      <w:sdtPr>
        <w:docPartObj>
          <w:docPartGallery w:val="Bibliographies"/>
          <w:docPartUnique w:val="true"/>
        </w:docPartObj>
        <w:id w:val="439369039"/>
      </w:sdtPr>
      <w:sdtContent>
        <w:p>
          <w:pPr>
            <w:pStyle w:val="Heading1"/>
            <w:rPr>
              <w:lang w:val="en-US"/>
            </w:rPr>
          </w:pPr>
          <w:r>
            <w:rPr>
              <w:lang w:val="en-US"/>
            </w:rPr>
            <w:t>Bibliography</w:t>
          </w:r>
        </w:p>
        <w:p>
          <w:pPr>
            <w:pStyle w:val="Bibliography"/>
            <w:ind w:left="720" w:hanging="720"/>
            <w:rPr>
              <w:lang w:val="en-US"/>
            </w:rPr>
          </w:pPr>
          <w:r>
            <w:fldChar w:fldCharType="begin"/>
          </w:r>
          <w:r>
            <w:rPr/>
            <w:instrText> BIBLIOGRAPHY </w:instrText>
          </w:r>
          <w:r>
            <w:rPr/>
            <w:fldChar w:fldCharType="separate"/>
          </w:r>
          <w:r>
            <w:rPr>
              <w:lang w:val="en-US"/>
            </w:rPr>
            <w:t xml:space="preserve">Frankova, I. A., &amp; Semenoga, P. P. (2014). Second journal article title. </w:t>
          </w:r>
          <w:r>
            <w:rPr>
              <w:i/>
              <w:iCs/>
              <w:lang w:val="en-US"/>
            </w:rPr>
            <w:t>Demo Journal</w:t>
          </w:r>
          <w:r>
            <w:rPr>
              <w:lang w:val="en-US"/>
            </w:rPr>
            <w:t>, 224-255.</w:t>
          </w:r>
        </w:p>
        <w:p>
          <w:pPr>
            <w:pStyle w:val="Normal"/>
            <w:rPr/>
          </w:pPr>
          <w:r>
            <w:rPr>
              <w:lang w:val="en-US"/>
            </w:rPr>
            <w:t xml:space="preserve">Moroz, F. S., &amp; Bezsheiko, V. G. (21 4 2018 </w:t>
          </w:r>
          <w:r>
            <w:rPr/>
            <w:t>г</w:t>
          </w:r>
          <w:r>
            <w:rPr>
              <w:lang w:val="en-US"/>
            </w:rPr>
            <w:t xml:space="preserve">.). Simple journal article: first citation. </w:t>
          </w:r>
          <w:r>
            <w:rPr>
              <w:i/>
              <w:iCs/>
            </w:rPr>
            <w:t>Demo Journal</w:t>
          </w:r>
          <w:r>
            <w:rPr/>
            <w:t>, стр.</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Heading"/>
        <w:rPr>
          <w:lang w:val="en-US"/>
        </w:rPr>
      </w:pPr>
      <w:r>
        <w:rPr>
          <w:lang w:val="en-US"/>
        </w:rPr>
        <w:t>Zotero</w:t>
      </w:r>
      <w:bookmarkStart w:id="16" w:name="_GoBack"/>
      <w:bookmarkEnd w:id="16"/>
    </w:p>
    <w:p>
      <w:pPr>
        <w:pStyle w:val="Bibliography"/>
        <w:rPr/>
      </w:pPr>
      <w:r>
        <w:fldChar w:fldCharType="begin"/>
      </w:r>
      <w:r>
        <w:rPr/>
        <w:instrText>ADDIN ZOTERO_BIBL {"uncited":[],"omitted":[],"custom":[]} CSL_BIBLIOGRAPHY</w:instrText>
      </w:r>
      <w:r>
        <w:rPr/>
        <w:fldChar w:fldCharType="separate"/>
      </w:r>
      <w:bookmarkStart w:id="17" w:name="__Fieldmark__895_1948271137"/>
      <w:r>
        <w:rPr/>
      </w:r>
      <w:r>
        <w:rPr>
          <w:rFonts w:ascii="Times New Roman" w:hAnsi="Times New Roman"/>
          <w:lang w:val="en-US"/>
        </w:rPr>
        <w:t>1</w:t>
      </w:r>
      <w:bookmarkStart w:id="18" w:name="__Fieldmark__890_3555270522"/>
      <w:r>
        <w:rPr>
          <w:rFonts w:ascii="Times New Roman" w:hAnsi="Times New Roman"/>
          <w:lang w:val="en-US"/>
        </w:rPr>
        <w:t>.</w:t>
      </w:r>
      <w:bookmarkStart w:id="19" w:name="__Fieldmark__883_712766526"/>
      <w:r>
        <w:rPr>
          <w:rFonts w:ascii="Times New Roman" w:hAnsi="Times New Roman"/>
          <w:lang w:val="en-US"/>
        </w:rPr>
        <w:t xml:space="preserve"> </w:t>
      </w:r>
      <w:bookmarkStart w:id="20" w:name="__Fieldmark__879_2241033896"/>
      <w:r>
        <w:rPr>
          <w:rFonts w:ascii="Times New Roman" w:hAnsi="Times New Roman"/>
          <w:lang w:val="en-US"/>
        </w:rPr>
        <w:tab/>
      </w:r>
      <w:bookmarkStart w:id="21" w:name="__Fieldmark__872_1225654907"/>
      <w:r>
        <w:rPr>
          <w:rFonts w:ascii="Times New Roman" w:hAnsi="Times New Roman"/>
          <w:lang w:val="en-US"/>
        </w:rPr>
        <w:t>C</w:t>
      </w:r>
      <w:bookmarkStart w:id="22" w:name="__Fieldmark__803_4279585507"/>
      <w:r>
        <w:rPr>
          <w:rFonts w:ascii="Times New Roman" w:hAnsi="Times New Roman"/>
          <w:lang w:val="en-US"/>
        </w:rPr>
        <w:t>h</w:t>
      </w:r>
      <w:bookmarkStart w:id="23" w:name="__Fieldmark__1213_434484431"/>
      <w:r>
        <w:rPr>
          <w:rFonts w:ascii="Times New Roman" w:hAnsi="Times New Roman"/>
          <w:lang w:val="en-US"/>
        </w:rPr>
        <w:t xml:space="preserve">andler V. Google and suicides: what can we learn about the use of internet to prevent suicides? </w:t>
      </w:r>
      <w:r>
        <w:rPr>
          <w:rFonts w:ascii="Times New Roman" w:hAnsi="Times New Roman"/>
        </w:rPr>
        <w:t xml:space="preserve">Public Health. 2018 Jan 1;154:144–50. </w:t>
      </w:r>
      <w:r>
        <w:rPr/>
      </w:r>
      <w:r>
        <w:rPr/>
        <w:fldChar w:fldCharType="end"/>
      </w:r>
      <w:bookmarkEnd w:id="17"/>
      <w:bookmarkEnd w:id="18"/>
      <w:bookmarkEnd w:id="19"/>
      <w:bookmarkEnd w:id="20"/>
      <w:bookmarkEnd w:id="21"/>
      <w:bookmarkEnd w:id="22"/>
      <w:bookmarkEnd w:id="23"/>
    </w:p>
    <w:p>
      <w:pPr>
        <w:pStyle w:val="Normal"/>
        <w:widowControl w:val="false"/>
        <w:tabs>
          <w:tab w:val="left" w:pos="220" w:leader="none"/>
          <w:tab w:val="left" w:pos="720" w:leader="none"/>
        </w:tabs>
        <w:spacing w:before="0" w:after="240"/>
        <w:jc w:val="both"/>
        <w:rPr>
          <w:rFonts w:ascii="Times New Roman" w:hAnsi="Times New Roman"/>
          <w:lang w:val="en-US"/>
        </w:rPr>
      </w:pPr>
      <w:r>
        <w:rPr>
          <w:rFonts w:ascii="Times New Roman" w:hAnsi="Times New Roman"/>
          <w:lang w:val="en-US"/>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Lucida Grande CY">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MS Mincho" w:cs="Times New Roman"/>
      <w:color w:val="auto"/>
      <w:kern w:val="0"/>
      <w:sz w:val="24"/>
      <w:szCs w:val="24"/>
      <w:lang w:val="ru-RU" w:eastAsia="en-US" w:bidi="ar-SA"/>
    </w:rPr>
  </w:style>
  <w:style w:type="paragraph" w:styleId="Heading1">
    <w:name w:val="Heading 1"/>
    <w:basedOn w:val="Normal"/>
    <w:uiPriority w:val="9"/>
    <w:qFormat/>
    <w:rsid w:val="00353922"/>
    <w:pPr>
      <w:keepNext w:val="true"/>
      <w:spacing w:before="240" w:after="60"/>
      <w:outlineLvl w:val="0"/>
    </w:pPr>
    <w:rPr>
      <w:rFonts w:ascii="Calibri Light" w:hAnsi="Calibri Light" w:eastAsia="Times New Roman"/>
      <w:bCs/>
      <w:color w:val="5B9BD5" w:themeColor="accent1"/>
      <w:kern w:val="2"/>
      <w:sz w:val="36"/>
      <w:szCs w:val="32"/>
    </w:rPr>
  </w:style>
  <w:style w:type="paragraph" w:styleId="Heading2">
    <w:name w:val="Heading 2"/>
    <w:basedOn w:val="Normal"/>
    <w:uiPriority w:val="9"/>
    <w:qFormat/>
    <w:rsid w:val="00fa7da8"/>
    <w:pPr>
      <w:keepNext w:val="true"/>
      <w:spacing w:before="240" w:after="60"/>
      <w:outlineLvl w:val="1"/>
    </w:pPr>
    <w:rPr>
      <w:rFonts w:ascii="Calibri Light" w:hAnsi="Calibri Light" w:eastAsia="Times New Roman"/>
      <w:b/>
      <w:bCs/>
      <w:i/>
      <w:iCs/>
      <w:sz w:val="28"/>
      <w:szCs w:val="28"/>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Style11" w:customStyle="1">
    <w:name w:val="Текст выноски Знак"/>
    <w:uiPriority w:val="99"/>
    <w:semiHidden/>
    <w:qFormat/>
    <w:rsid w:val="00867fc0"/>
    <w:rPr>
      <w:rFonts w:ascii="Lucida Grande CY" w:hAnsi="Lucida Grande CY" w:cs="Lucida Grande CY"/>
      <w:sz w:val="18"/>
      <w:szCs w:val="18"/>
    </w:rPr>
  </w:style>
  <w:style w:type="character" w:styleId="1" w:customStyle="1">
    <w:name w:val="Заголовок 1 Знак"/>
    <w:link w:val="10"/>
    <w:uiPriority w:val="9"/>
    <w:qFormat/>
    <w:rsid w:val="00353922"/>
    <w:rPr>
      <w:rFonts w:ascii="Calibri Light" w:hAnsi="Calibri Light" w:eastAsia="Times New Roman"/>
      <w:bCs/>
      <w:color w:val="5B9BD5" w:themeColor="accent1"/>
      <w:kern w:val="2"/>
      <w:sz w:val="36"/>
      <w:szCs w:val="32"/>
      <w:lang w:val="ru-RU"/>
    </w:rPr>
  </w:style>
  <w:style w:type="character" w:styleId="Strong">
    <w:name w:val="Strong"/>
    <w:uiPriority w:val="22"/>
    <w:qFormat/>
    <w:rsid w:val="007b2cff"/>
    <w:rPr>
      <w:b/>
      <w:bCs/>
    </w:rPr>
  </w:style>
  <w:style w:type="character" w:styleId="Annotationreference">
    <w:name w:val="annotation reference"/>
    <w:uiPriority w:val="99"/>
    <w:semiHidden/>
    <w:unhideWhenUsed/>
    <w:qFormat/>
    <w:rsid w:val="006153d5"/>
    <w:rPr>
      <w:sz w:val="16"/>
      <w:szCs w:val="16"/>
    </w:rPr>
  </w:style>
  <w:style w:type="character" w:styleId="Style12" w:customStyle="1">
    <w:name w:val="Текст примечания Знак"/>
    <w:uiPriority w:val="99"/>
    <w:semiHidden/>
    <w:qFormat/>
    <w:rsid w:val="006153d5"/>
    <w:rPr>
      <w:lang w:val="ru-RU"/>
    </w:rPr>
  </w:style>
  <w:style w:type="character" w:styleId="Style13" w:customStyle="1">
    <w:name w:val="Тема примечания Знак"/>
    <w:uiPriority w:val="99"/>
    <w:semiHidden/>
    <w:qFormat/>
    <w:rsid w:val="006153d5"/>
    <w:rPr>
      <w:b/>
      <w:bCs/>
      <w:lang w:val="ru-RU"/>
    </w:rPr>
  </w:style>
  <w:style w:type="character" w:styleId="InternetLink" w:customStyle="1">
    <w:name w:val="Internet Link"/>
    <w:uiPriority w:val="99"/>
    <w:unhideWhenUsed/>
    <w:rsid w:val="00bb759d"/>
    <w:rPr>
      <w:color w:val="0000FF"/>
      <w:u w:val="single"/>
    </w:rPr>
  </w:style>
  <w:style w:type="character" w:styleId="FollowedHyperlink">
    <w:name w:val="FollowedHyperlink"/>
    <w:uiPriority w:val="99"/>
    <w:semiHidden/>
    <w:unhideWhenUsed/>
    <w:qFormat/>
    <w:rsid w:val="00bb759d"/>
    <w:rPr>
      <w:color w:val="954F72"/>
      <w:u w:val="single"/>
    </w:rPr>
  </w:style>
  <w:style w:type="character" w:styleId="2" w:customStyle="1">
    <w:name w:val="Заголовок 2 Знак"/>
    <w:link w:val="20"/>
    <w:uiPriority w:val="9"/>
    <w:qFormat/>
    <w:rsid w:val="00fa7da8"/>
    <w:rPr>
      <w:rFonts w:ascii="Calibri Light" w:hAnsi="Calibri Light" w:eastAsia="Times New Roman" w:cs="Times New Roman"/>
      <w:b/>
      <w:bCs/>
      <w:i/>
      <w:iCs/>
      <w:sz w:val="28"/>
      <w:szCs w:val="28"/>
      <w:lang w:val="ru-RU"/>
    </w:rPr>
  </w:style>
  <w:style w:type="character" w:styleId="Style14" w:customStyle="1">
    <w:name w:val="Схема документа Знак"/>
    <w:basedOn w:val="DefaultParagraphFont"/>
    <w:uiPriority w:val="99"/>
    <w:semiHidden/>
    <w:qFormat/>
    <w:rsid w:val="00f41fb2"/>
    <w:rPr>
      <w:rFonts w:ascii="Times New Roman" w:hAnsi="Times New Roman"/>
      <w:sz w:val="24"/>
      <w:szCs w:val="24"/>
      <w:lang w:val="ru-RU"/>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MS Mincho"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ascii="Times New Roman" w:hAnsi="Times New Roman" w:eastAsia="MS Mincho"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lang w:val="en-US"/>
    </w:rPr>
  </w:style>
  <w:style w:type="character" w:styleId="ListLabel19">
    <w:name w:val="ListLabel 19"/>
    <w:qFormat/>
    <w:rPr>
      <w:rFonts w:ascii="Times New Roman" w:hAnsi="Times New Roman"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lang w:val="en-US"/>
    </w:rPr>
  </w:style>
  <w:style w:type="character" w:styleId="ListLabel38">
    <w:name w:val="ListLabel 38"/>
    <w:qFormat/>
    <w:rPr>
      <w:rFonts w:ascii="Times New Roman" w:hAnsi="Times New Roman" w:cs="Times New Roman"/>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New Roman" w:hAnsi="Times New Roman" w:cs="Times New Roman"/>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lang w:val="en-US"/>
    </w:rPr>
  </w:style>
  <w:style w:type="character" w:styleId="ListLabel57">
    <w:name w:val="ListLabel 57"/>
    <w:qFormat/>
    <w:rPr>
      <w:rFonts w:ascii="Times New Roman" w:hAnsi="Times New Roman" w:cs="Times New Roman"/>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Times New Roman"/>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lang w:val="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6">
    <w:name w:val="ListLabel 76"/>
    <w:qFormat/>
    <w:rPr>
      <w:rFonts w:ascii="Times New Roman" w:hAnsi="Times New Roman" w:cs="Times New Roman"/>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Times New Roman"/>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lang w:val="en-US"/>
    </w:rPr>
  </w:style>
  <w:style w:type="character" w:styleId="ListLabel95">
    <w:name w:val="ListLabel 95"/>
    <w:qFormat/>
    <w:rPr>
      <w:rFonts w:ascii="Times New Roman" w:hAnsi="Times New Roman" w:cs="Times New Roman"/>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Times New Roman"/>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lang w:val="en-US"/>
    </w:rPr>
  </w:style>
  <w:style w:type="character" w:styleId="ListLabel114">
    <w:name w:val="ListLabel 114"/>
    <w:qFormat/>
    <w:rPr>
      <w:rFonts w:ascii="Times New Roman" w:hAnsi="Times New Roman" w:cs="Times New Roman"/>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Times New Roman"/>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lang w:val="en-US"/>
    </w:rPr>
  </w:style>
  <w:style w:type="character" w:styleId="ListLabel133">
    <w:name w:val="ListLabel 133"/>
    <w:qFormat/>
    <w:rPr>
      <w:rFonts w:ascii="Times New Roman" w:hAnsi="Times New Roman" w:cs="Times New Roman"/>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Times New Roman" w:hAnsi="Times New Roman" w:cs="Times New Roman"/>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Times New Roman" w:hAnsi="Times New Roman"/>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uiPriority w:val="99"/>
    <w:semiHidden/>
    <w:unhideWhenUsed/>
    <w:qFormat/>
    <w:rsid w:val="00867fc0"/>
    <w:pPr/>
    <w:rPr>
      <w:rFonts w:ascii="Lucida Grande CY" w:hAnsi="Lucida Grande CY" w:cs="Lucida Grande CY"/>
      <w:sz w:val="18"/>
      <w:szCs w:val="18"/>
    </w:rPr>
  </w:style>
  <w:style w:type="paragraph" w:styleId="NormalWeb">
    <w:name w:val="Normal (Web)"/>
    <w:basedOn w:val="Normal"/>
    <w:uiPriority w:val="99"/>
    <w:semiHidden/>
    <w:unhideWhenUsed/>
    <w:qFormat/>
    <w:rsid w:val="00923b58"/>
    <w:pPr>
      <w:spacing w:beforeAutospacing="1" w:afterAutospacing="1"/>
    </w:pPr>
    <w:rPr>
      <w:rFonts w:ascii="Times" w:hAnsi="Times"/>
      <w:sz w:val="20"/>
      <w:szCs w:val="20"/>
    </w:rPr>
  </w:style>
  <w:style w:type="paragraph" w:styleId="Annotationtext">
    <w:name w:val="annotation text"/>
    <w:basedOn w:val="Normal"/>
    <w:uiPriority w:val="99"/>
    <w:semiHidden/>
    <w:unhideWhenUsed/>
    <w:qFormat/>
    <w:rsid w:val="006153d5"/>
    <w:pPr/>
    <w:rPr>
      <w:sz w:val="20"/>
      <w:szCs w:val="20"/>
    </w:rPr>
  </w:style>
  <w:style w:type="paragraph" w:styleId="Annotationsubject">
    <w:name w:val="annotation subject"/>
    <w:basedOn w:val="Annotationtext"/>
    <w:uiPriority w:val="99"/>
    <w:semiHidden/>
    <w:unhideWhenUsed/>
    <w:qFormat/>
    <w:rsid w:val="006153d5"/>
    <w:pPr/>
    <w:rPr>
      <w:b/>
      <w:bCs/>
    </w:rPr>
  </w:style>
  <w:style w:type="paragraph" w:styleId="Revision">
    <w:name w:val="Revision"/>
    <w:uiPriority w:val="71"/>
    <w:qFormat/>
    <w:rsid w:val="00ef6e2e"/>
    <w:pPr>
      <w:widowControl/>
      <w:bidi w:val="0"/>
      <w:jc w:val="left"/>
    </w:pPr>
    <w:rPr>
      <w:rFonts w:ascii="Cambria" w:hAnsi="Cambria" w:eastAsia="MS Mincho" w:cs="Times New Roman"/>
      <w:color w:val="auto"/>
      <w:kern w:val="0"/>
      <w:sz w:val="24"/>
      <w:szCs w:val="24"/>
      <w:lang w:val="ru-RU" w:eastAsia="en-US" w:bidi="ar-SA"/>
    </w:rPr>
  </w:style>
  <w:style w:type="paragraph" w:styleId="DocumentMap">
    <w:name w:val="Document Map"/>
    <w:basedOn w:val="Normal"/>
    <w:uiPriority w:val="99"/>
    <w:semiHidden/>
    <w:unhideWhenUsed/>
    <w:qFormat/>
    <w:rsid w:val="00f41fb2"/>
    <w:pPr/>
    <w:rPr>
      <w:rFonts w:ascii="Times New Roman" w:hAnsi="Times New Roman"/>
    </w:rPr>
  </w:style>
  <w:style w:type="paragraph" w:styleId="Bibliography">
    <w:name w:val="Bibliography"/>
    <w:basedOn w:val="Normal"/>
    <w:uiPriority w:val="70"/>
    <w:unhideWhenUsed/>
    <w:qFormat/>
    <w:rsid w:val="00f20a19"/>
    <w:pPr>
      <w:tabs>
        <w:tab w:val="left" w:pos="384" w:leader="none"/>
      </w:tabs>
      <w:spacing w:before="0" w:after="240"/>
      <w:ind w:left="384" w:hanging="3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59"/>
    <w:rsid w:val="00185f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s://doi.org/10.1038/nrrheum.2011.38" TargetMode="External"/><Relationship Id="rId4" Type="http://schemas.openxmlformats.org/officeDocument/2006/relationships/hyperlink" Target="https://www.ncbi.nlm.nih.gov/pubmed/21487383" TargetMode="External"/><Relationship Id="rId5" Type="http://schemas.openxmlformats.org/officeDocument/2006/relationships/hyperlink" Target="https://doi.org/10.1002/art.24088" TargetMode="External"/><Relationship Id="rId6" Type="http://schemas.openxmlformats.org/officeDocument/2006/relationships/hyperlink" Target="https://www.ncbi.nlm.nih.gov/pubmed/19116976" TargetMode="External"/><Relationship Id="rId7" Type="http://schemas.openxmlformats.org/officeDocument/2006/relationships/hyperlink" Target="https://doi.org/10.1016/j.pec.2013.02.006" TargetMode="External"/><Relationship Id="rId8" Type="http://schemas.openxmlformats.org/officeDocument/2006/relationships/hyperlink" Target="https://www.ncbi.nlm.nih.gov/pubmed/23490174" TargetMode="External"/><Relationship Id="rId9" Type="http://schemas.openxmlformats.org/officeDocument/2006/relationships/hyperlink" Target="https://doi.org/10.1186/1546-0096-10-36" TargetMode="External"/><Relationship Id="rId10" Type="http://schemas.openxmlformats.org/officeDocument/2006/relationships/hyperlink" Target="https://doi.org/10.1093/rheumatology/keh175" TargetMode="External"/><Relationship Id="rId11" Type="http://schemas.openxmlformats.org/officeDocument/2006/relationships/hyperlink" Target="https://www.ncbi.nlm.nih.gov/pubmed/15039498" TargetMode="External"/><Relationship Id="rId12" Type="http://schemas.openxmlformats.org/officeDocument/2006/relationships/hyperlink" Target="https://doi.org/10.1007/s10067-010-1444-0" TargetMode="External"/><Relationship Id="rId13" Type="http://schemas.openxmlformats.org/officeDocument/2006/relationships/hyperlink" Target="https://www.ncbi.nlm.nih.gov/pubmed/20383546" TargetMode="External"/><Relationship Id="rId14" Type="http://schemas.openxmlformats.org/officeDocument/2006/relationships/hyperlink" Target="https://doi.org/10.1002/acr.21695" TargetMode="External"/><Relationship Id="rId15" Type="http://schemas.openxmlformats.org/officeDocument/2006/relationships/hyperlink" Target="https://www.ncbi.nlm.nih.gov/pubmed/22504867" TargetMode="External"/><Relationship Id="rId16" Type="http://schemas.openxmlformats.org/officeDocument/2006/relationships/hyperlink" Target="https://doi.org/10.1093/rheumatology/41.12.1436" TargetMode="External"/><Relationship Id="rId17" Type="http://schemas.openxmlformats.org/officeDocument/2006/relationships/hyperlink" Target="https://www.ncbi.nlm.nih.gov/pubmed/12468825" TargetMode="External"/><Relationship Id="rId18" Type="http://schemas.openxmlformats.org/officeDocument/2006/relationships/hyperlink" Target="https://doi.org/10.1002/art.23916" TargetMode="External"/><Relationship Id="rId19" Type="http://schemas.openxmlformats.org/officeDocument/2006/relationships/hyperlink" Target="https://www.ncbi.nlm.nih.gov/pubmed/18668599" TargetMode="External"/><Relationship Id="rId20" Type="http://schemas.openxmlformats.org/officeDocument/2006/relationships/hyperlink" Target="https://doi.org/10.1002/acr.21609" TargetMode="External"/><Relationship Id="rId21" Type="http://schemas.openxmlformats.org/officeDocument/2006/relationships/hyperlink" Target="https://www.ncbi.nlm.nih.gov/pubmed/22238240" TargetMode="External"/><Relationship Id="rId22" Type="http://schemas.openxmlformats.org/officeDocument/2006/relationships/hyperlink" Target="https://doi.org/10.1136/ard.2007.084848" TargetMode="External"/><Relationship Id="rId23" Type="http://schemas.openxmlformats.org/officeDocument/2006/relationships/hyperlink" Target="https://www.ncbi.nlm.nih.gov/pubmed/18375533" TargetMode="External"/><Relationship Id="rId24" Type="http://schemas.openxmlformats.org/officeDocument/2006/relationships/hyperlink" Target="https://www.ncbi.nlm.nih.gov/pubmed/16273780" TargetMode="External"/><Relationship Id="rId25" Type="http://schemas.openxmlformats.org/officeDocument/2006/relationships/hyperlink" Target="https://www.ncbi.nlm.nih.gov/pubmed/14760812" TargetMode="External"/><Relationship Id="rId26" Type="http://schemas.openxmlformats.org/officeDocument/2006/relationships/hyperlink" Target="https://doi.org/10.1002/acr.20460" TargetMode="External"/><Relationship Id="rId27" Type="http://schemas.openxmlformats.org/officeDocument/2006/relationships/hyperlink" Target="https://www.ncbi.nlm.nih.gov/pubmed/21452260" TargetMode="External"/><Relationship Id="rId28" Type="http://schemas.openxmlformats.org/officeDocument/2006/relationships/hyperlink" Target="https://doi.org/10.1002/art.10863" TargetMode="External"/><Relationship Id="rId29" Type="http://schemas.openxmlformats.org/officeDocument/2006/relationships/hyperlink" Target="https://www.ncbi.nlm.nih.gov/pubmed/12632431" TargetMode="External"/><Relationship Id="rId30" Type="http://schemas.openxmlformats.org/officeDocument/2006/relationships/hyperlink" Target="https://www.ncbi.nlm.nih.gov/pubmed/9150087" TargetMode="External"/><Relationship Id="rId31" Type="http://schemas.openxmlformats.org/officeDocument/2006/relationships/hyperlink" Target="https://www.ncbi.nlm.nih.gov/pubmed/9489836" TargetMode="External"/><Relationship Id="rId32" Type="http://schemas.openxmlformats.org/officeDocument/2006/relationships/hyperlink" Target="https://www.ncbi.nlm.nih.gov/pubmed/9416862" TargetMode="External"/><Relationship Id="rId33" Type="http://schemas.openxmlformats.org/officeDocument/2006/relationships/hyperlink" Target="https://doi.org/10.1136/ard.2004.026591" TargetMode="External"/><Relationship Id="rId34" Type="http://schemas.openxmlformats.org/officeDocument/2006/relationships/hyperlink" Target="http://www.jrheum.org/content/30/3/585.long" TargetMode="External"/><Relationship Id="rId35" Type="http://schemas.openxmlformats.org/officeDocument/2006/relationships/hyperlink" Target="https://www.ncbi.nlm.nih.gov/pubmed/12610821" TargetMode="External"/><Relationship Id="rId36" Type="http://schemas.openxmlformats.org/officeDocument/2006/relationships/hyperlink" Target="https://doi.org/10.1016/j.jbspin.2015.03.005" TargetMode="External"/><Relationship Id="rId37" Type="http://schemas.openxmlformats.org/officeDocument/2006/relationships/hyperlink" Target="https://www.ncbi.nlm.nih.gov/pubmed/26231098" TargetMode="External"/><Relationship Id="rId38" Type="http://schemas.openxmlformats.org/officeDocument/2006/relationships/hyperlink" Target="https://doi.org/10.1093/rheumatology/ken095" TargetMode="External"/><Relationship Id="rId39" Type="http://schemas.openxmlformats.org/officeDocument/2006/relationships/hyperlink" Target="https://www.ncbi.nlm.nih.gov/pubmed/18356173" TargetMode="External"/><Relationship Id="rId40" Type="http://schemas.openxmlformats.org/officeDocument/2006/relationships/hyperlink" Target="https://doi.org/10.1093/jpepsy/28.1.29" TargetMode="External"/><Relationship Id="rId41" Type="http://schemas.openxmlformats.org/officeDocument/2006/relationships/hyperlink" Target="https://www.ncbi.nlm.nih.gov/pubmed/12490628" TargetMode="External"/><Relationship Id="rId42" Type="http://schemas.openxmlformats.org/officeDocument/2006/relationships/hyperlink" Target="https://doi.org/10.1002/art.10444" TargetMode="External"/><Relationship Id="rId43" Type="http://schemas.openxmlformats.org/officeDocument/2006/relationships/hyperlink" Target="https://www.ncbi.nlm.nih.gov/pubmed/12355487" TargetMode="External"/><Relationship Id="rId44" Type="http://schemas.openxmlformats.org/officeDocument/2006/relationships/hyperlink" Target="https://doi.org/10.1155/2012/237258" TargetMode="External"/><Relationship Id="rId45" Type="http://schemas.openxmlformats.org/officeDocument/2006/relationships/hyperlink" Target="https://www.ncbi.nlm.nih.gov/pubmed/23248812" TargetMode="External"/><Relationship Id="rId46" Type="http://schemas.openxmlformats.org/officeDocument/2006/relationships/hyperlink" Target="https://doi.org/10.1097/00002281-199903000-00003" TargetMode="External"/><Relationship Id="rId47" Type="http://schemas.openxmlformats.org/officeDocument/2006/relationships/hyperlink" Target="https://www.ncbi.nlm.nih.gov/pubmed/10319211" TargetMode="External"/><Relationship Id="rId48" Type="http://schemas.openxmlformats.org/officeDocument/2006/relationships/hyperlink" Target="https://doi.org/10.1111/j.1526-4637.2005.05014.x" TargetMode="External"/><Relationship Id="rId49" Type="http://schemas.openxmlformats.org/officeDocument/2006/relationships/hyperlink" Target="https://www.ncbi.nlm.nih.gov/pubmed/15669948" TargetMode="External"/><Relationship Id="rId50" Type="http://schemas.openxmlformats.org/officeDocument/2006/relationships/hyperlink" Target="https://doi.org/10.1002/acr.22112" TargetMode="External"/><Relationship Id="rId51" Type="http://schemas.openxmlformats.org/officeDocument/2006/relationships/hyperlink" Target="https://www.ncbi.nlm.nih.gov/pubmed/23983081" TargetMode="External"/><Relationship Id="rId52" Type="http://schemas.openxmlformats.org/officeDocument/2006/relationships/hyperlink" Target="https://doi.org/10.1136/ard.2009.111260" TargetMode="External"/><Relationship Id="rId53" Type="http://schemas.openxmlformats.org/officeDocument/2006/relationships/hyperlink" Target="https://www.ncbi.nlm.nih.gov/pubmed/19581280"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SF-36</a:t>
            </a:r>
          </a:p>
        </c:rich>
      </c:tx>
      <c:overlay val="0"/>
    </c:title>
    <c:autoTitleDeleted val="0"/>
    <c:plotArea>
      <c:barChart>
        <c:barDir val="col"/>
        <c:grouping val="clustered"/>
        <c:varyColors val="0"/>
        <c:ser>
          <c:idx val="0"/>
          <c:order val="0"/>
          <c:tx>
            <c:strRef>
              <c:f>label 0</c:f>
              <c:strCache>
                <c:ptCount val="1"/>
                <c:pt idx="0">
                  <c:v>Хворі на ЮІА</c:v>
                </c:pt>
              </c:strCache>
            </c:strRef>
          </c:tx>
          <c:spPr>
            <a:solidFill>
              <a:srgbClr val="5b9bd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0</c:f>
              <c:numCache>
                <c:formatCode>General</c:formatCode>
                <c:ptCount val="10"/>
                <c:pt idx="0">
                  <c:v>46.2977108433735</c:v>
                </c:pt>
                <c:pt idx="1">
                  <c:v>46.9592771084337</c:v>
                </c:pt>
                <c:pt idx="2">
                  <c:v>74.2592592592592</c:v>
                </c:pt>
                <c:pt idx="3">
                  <c:v>64.5833333333332</c:v>
                </c:pt>
                <c:pt idx="4">
                  <c:v>58.9864197530863</c:v>
                </c:pt>
                <c:pt idx="5">
                  <c:v>56.4691358024691</c:v>
                </c:pt>
                <c:pt idx="6">
                  <c:v>58.233950617284</c:v>
                </c:pt>
                <c:pt idx="7">
                  <c:v>75.7716049382716</c:v>
                </c:pt>
                <c:pt idx="8">
                  <c:v>69.2386419753086</c:v>
                </c:pt>
                <c:pt idx="9">
                  <c:v>69.3209876543209</c:v>
                </c:pt>
              </c:numCache>
            </c:numRef>
          </c:val>
        </c:ser>
        <c:ser>
          <c:idx val="1"/>
          <c:order val="1"/>
          <c:tx>
            <c:strRef>
              <c:f>label 1</c:f>
              <c:strCache>
                <c:ptCount val="1"/>
                <c:pt idx="0">
                  <c:v>Контроль</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1</c:f>
              <c:numCache>
                <c:formatCode>General</c:formatCode>
                <c:ptCount val="10"/>
                <c:pt idx="0">
                  <c:v>55.665</c:v>
                </c:pt>
                <c:pt idx="1">
                  <c:v>45.0825</c:v>
                </c:pt>
                <c:pt idx="2">
                  <c:v>94.6868749999999</c:v>
                </c:pt>
                <c:pt idx="3">
                  <c:v>83.813125</c:v>
                </c:pt>
                <c:pt idx="4">
                  <c:v>84.5</c:v>
                </c:pt>
                <c:pt idx="5">
                  <c:v>60.125</c:v>
                </c:pt>
                <c:pt idx="6">
                  <c:v>59.765625</c:v>
                </c:pt>
                <c:pt idx="7">
                  <c:v>80.46875</c:v>
                </c:pt>
                <c:pt idx="8">
                  <c:v>75</c:v>
                </c:pt>
                <c:pt idx="9">
                  <c:v>68.4375</c:v>
                </c:pt>
              </c:numCache>
            </c:numRef>
          </c:val>
        </c:ser>
        <c:gapWidth val="150"/>
        <c:overlap val="0"/>
        <c:axId val="59157129"/>
        <c:axId val="98315343"/>
      </c:barChart>
      <c:catAx>
        <c:axId val="59157129"/>
        <c:scaling>
          <c:orientation val="minMax"/>
        </c:scaling>
        <c:delete val="0"/>
        <c:axPos val="b"/>
        <c:numFmt formatCode="MM/DD/YYYY" sourceLinked="1"/>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98315343"/>
        <c:crosses val="autoZero"/>
        <c:auto val="1"/>
        <c:lblAlgn val="ctr"/>
        <c:lblOffset val="100"/>
      </c:catAx>
      <c:valAx>
        <c:axId val="98315343"/>
        <c:scaling>
          <c:orientation val="minMax"/>
        </c:scaling>
        <c:delete val="0"/>
        <c:axPos val="l"/>
        <c:majorGridlines>
          <c:spPr>
            <a:ln w="6480">
              <a:solidFill>
                <a:srgbClr val="8b8b8b"/>
              </a:solidFill>
              <a:round/>
            </a:ln>
          </c:spPr>
        </c:majorGridlines>
        <c:numFmt formatCode="0"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59157129"/>
        <c:crosses val="autoZero"/>
      </c:valAx>
      <c:spPr>
        <a:solidFill>
          <a:srgbClr val="ffffff"/>
        </a:solidFill>
        <a:ln>
          <a:noFill/>
        </a:ln>
      </c:spPr>
    </c:plotArea>
    <c:legend>
      <c:layout>
        <c:manualLayout>
          <c:xMode val="edge"/>
          <c:yMode val="edge"/>
          <c:x val="0.725"/>
          <c:y val="0.0448888888888889"/>
          <c:w val="0.213888368023001"/>
          <c:h val="0.181464607178575"/>
        </c:manualLayout>
      </c:layout>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ArticleInAPeriodical</b:SourceType>
    <b:Guid>{C532085E-3C6C-4836-ABA5-F78D652827B1}</b:Guid>
    <b:Title>Simple journal article: first citation</b:Title>
    <b:Year>2018</b:Year>
    <b:Pages>4-12</b:Pages>
    <b:Author>
      <b:Author>
        <b:NameList>
          <b:Person>
            <b:Last>Moroz</b:Last>
            <b:Middle>S</b:Middle>
            <b:First>F</b:First>
          </b:Person>
          <b:Person>
            <b:Last>Bezsheiko</b:Last>
            <b:Middle>G</b:Middle>
            <b:First>V</b:First>
          </b:Person>
        </b:NameList>
      </b:Author>
    </b:Author>
    <b:PeriodicalTitle>Demo Journal</b:PeriodicalTitle>
    <b:Month>4</b:Month>
    <b:Day>21</b:Day>
    <b:RefOrder>1</b:RefOrder>
  </b:Source>
  <b:Source>
    <b:Tag>Fra14</b:Tag>
    <b:SourceType>JournalArticle</b:SourceType>
    <b:Guid>{E49E59C0-A199-4CC5-ABBA-0D024DA3652D}</b:Guid>
    <b:Title>Second journal article title</b:Title>
    <b:Year>2014</b:Year>
    <b:Pages>224-255</b:Pages>
    <b:JournalName>Demo Journal</b:JournalName>
    <b:Author>
      <b:Author>
        <b:NameList>
          <b:Person>
            <b:Last>Frankova</b:Last>
            <b:Middle>Alexandrovna</b:Middle>
            <b:First>Iryna</b:First>
          </b:Person>
          <b:Person>
            <b:Last>Semenoga</b:Last>
            <b:Middle>Petrovich</b:Middle>
            <b:First>Petro</b:First>
          </b:Person>
        </b:NameList>
      </b:Author>
    </b:Author>
    <b:RefOrder>2</b:RefOrder>
  </b:Source>
</b:Sources>
</file>

<file path=customXml/itemProps1.xml><?xml version="1.0" encoding="utf-8"?>
<ds:datastoreItem xmlns:ds="http://schemas.openxmlformats.org/officeDocument/2006/customXml" ds:itemID="{0D775F5A-3E27-4D5B-B5B9-6C568F0B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2537</TotalTime>
  <Application>LibreOffice/6.0.6.2$Linux_X86_64 LibreOffice_project/00m0$Build-2</Application>
  <Pages>11</Pages>
  <Words>3398</Words>
  <Characters>20723</Characters>
  <CharactersWithSpaces>23860</CharactersWithSpaces>
  <Paragraphs>256</Paragraphs>
  <Company>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2017-12-01T03:59:00Z</dcterms:created>
  <dc:creator>1 2</dc:creator>
  <dc:description/>
  <dc:language>en-US</dc:language>
  <cp:lastModifiedBy/>
  <dcterms:modified xsi:type="dcterms:W3CDTF">2018-12-06T00:59:55Z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zotero-version="5.0.55"&gt;&lt;session id="4xMCZDSZ"/&gt;&lt;style id="http://www.zotero.org/styles/vancouver" locale="en-GB" hasBibliography="1" bibliographyStyleHasBeenSet="1"/&gt;&lt;prefs&gt;&lt;pref name="fieldType" value="Field"/&gt;&lt;/prefs&gt;&lt;/data&gt;</vt:lpwstr>
  </property>
</Properties>
</file>