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w:t>
      </w:r>
      <w:hyperlink r:id="rId2">
        <w:r>
          <w:rPr>
            <w:rStyle w:val="InternetLink"/>
            <w:rFonts w:ascii="Times New Roman" w:hAnsi="Times New Roman"/>
            <w:lang w:val="en-US"/>
          </w:rPr>
          <w:t>The link</w:t>
        </w:r>
      </w:hyperlink>
      <w:r>
        <w:rPr>
          <w:rFonts w:ascii="Times New Roman" w:hAnsi="Times New Roman"/>
          <w:lang w:val="en-US"/>
        </w:rPr>
        <w:t>)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Heading2"/>
        <w:rPr/>
      </w:pPr>
      <w:r>
        <w:rPr/>
        <w:t>Heading 2</w:t>
      </w:r>
    </w:p>
    <w:p>
      <w:pPr>
        <w:pStyle w:val="Normal"/>
        <w:numPr>
          <w:ilvl w:val="0"/>
          <w:numId w:val="8"/>
        </w:numPr>
        <w:jc w:val="both"/>
        <w:rPr/>
      </w:pPr>
      <w:r>
        <w:rPr>
          <w:rFonts w:ascii="Times New Roman" w:hAnsi="Times New Roman"/>
          <w:lang w:val="en-US"/>
        </w:rPr>
        <w:t>First</w:t>
      </w:r>
    </w:p>
    <w:p>
      <w:pPr>
        <w:pStyle w:val="Normal"/>
        <w:numPr>
          <w:ilvl w:val="0"/>
          <w:numId w:val="8"/>
        </w:numPr>
        <w:jc w:val="both"/>
        <w:rPr/>
      </w:pPr>
      <w:r>
        <w:rPr>
          <w:rFonts w:ascii="Times New Roman" w:hAnsi="Times New Roman"/>
          <w:lang w:val="en-US"/>
        </w:rPr>
        <w:t>Second</w:t>
      </w:r>
    </w:p>
    <w:p>
      <w:pPr>
        <w:pStyle w:val="Normal"/>
        <w:numPr>
          <w:ilvl w:val="1"/>
          <w:numId w:val="8"/>
        </w:numPr>
        <w:jc w:val="both"/>
        <w:rPr/>
      </w:pPr>
      <w:r>
        <w:rPr>
          <w:rFonts w:ascii="Times New Roman" w:hAnsi="Times New Roman"/>
          <w:lang w:val="en-US"/>
        </w:rPr>
        <w:t>Level 2 First</w:t>
      </w:r>
    </w:p>
    <w:p>
      <w:pPr>
        <w:pStyle w:val="Normal"/>
        <w:numPr>
          <w:ilvl w:val="2"/>
          <w:numId w:val="8"/>
        </w:numPr>
        <w:jc w:val="both"/>
        <w:rPr/>
      </w:pPr>
      <w:r>
        <w:rPr>
          <w:rFonts w:ascii="Times New Roman" w:hAnsi="Times New Roman"/>
          <w:lang w:val="en-US"/>
        </w:rPr>
        <w:t>Level 3 First</w:t>
      </w:r>
    </w:p>
    <w:p>
      <w:pPr>
        <w:pStyle w:val="Normal"/>
        <w:numPr>
          <w:ilvl w:val="2"/>
          <w:numId w:val="8"/>
        </w:numPr>
        <w:jc w:val="both"/>
        <w:rPr/>
      </w:pPr>
      <w:r>
        <w:rPr>
          <w:rFonts w:ascii="Times New Roman" w:hAnsi="Times New Roman"/>
          <w:lang w:val="en-US"/>
        </w:rPr>
        <w:t>Level 3 Second</w:t>
      </w:r>
    </w:p>
    <w:p>
      <w:pPr>
        <w:pStyle w:val="Normal"/>
        <w:numPr>
          <w:ilvl w:val="1"/>
          <w:numId w:val="8"/>
        </w:numPr>
        <w:jc w:val="both"/>
        <w:rPr/>
      </w:pPr>
      <w:r>
        <w:rPr>
          <w:rFonts w:ascii="Times New Roman" w:hAnsi="Times New Roman"/>
          <w:lang w:val="en-US"/>
        </w:rPr>
        <w:t>Level 2 Second</w:t>
      </w:r>
    </w:p>
    <w:p>
      <w:pPr>
        <w:pStyle w:val="Normal"/>
        <w:numPr>
          <w:ilvl w:val="0"/>
          <w:numId w:val="8"/>
        </w:numPr>
        <w:jc w:val="both"/>
        <w:rPr/>
      </w:pPr>
      <w:r>
        <w:rPr>
          <w:rFonts w:ascii="Times New Roman" w:hAnsi="Times New Roman"/>
          <w:lang w:val="en-US"/>
        </w:rPr>
        <w:t>Third</w:t>
      </w:r>
    </w:p>
    <w:p>
      <w:pPr>
        <w:pStyle w:val="Normal"/>
        <w:numPr>
          <w:ilvl w:val="1"/>
          <w:numId w:val="8"/>
        </w:numPr>
        <w:jc w:val="both"/>
        <w:rPr/>
      </w:pPr>
      <w:r>
        <w:rPr>
          <w:rFonts w:ascii="Times New Roman" w:hAnsi="Times New Roman"/>
          <w:lang w:val="en-US"/>
        </w:rPr>
        <w:t>Level 2 Third</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fldChar w:fldCharType="separate"/>
      </w:r>
      <w:bookmarkStart w:id="0" w:name="__Fieldmark__47_2459672641"/>
      <w:r>
        <w:rPr/>
      </w:r>
      <w:r>
        <w:rPr>
          <w:rFonts w:ascii="Times New Roman" w:hAnsi="Times New Roman"/>
          <w:lang w:val="en-US"/>
        </w:rPr>
        <w:t>(</w:t>
      </w:r>
      <w:bookmarkStart w:id="1" w:name="__Fieldmark__41_1205966819"/>
      <w:r>
        <w:rPr>
          <w:rFonts w:ascii="Times New Roman" w:hAnsi="Times New Roman"/>
          <w:lang w:val="en-US"/>
        </w:rPr>
        <w:t>1</w:t>
      </w:r>
      <w:bookmarkStart w:id="2" w:name="__Fieldmark__41_1948271137"/>
      <w:r>
        <w:rPr>
          <w:rFonts w:ascii="Times New Roman" w:hAnsi="Times New Roman"/>
          <w:lang w:val="en-US"/>
        </w:rPr>
        <w:t>)</w:t>
      </w:r>
      <w:bookmarkStart w:id="3" w:name="__Fieldmark__39_3555270522"/>
      <w:r>
        <w:rPr/>
      </w:r>
      <w:r>
        <w:rPr/>
        <w:fldChar w:fldCharType="end"/>
      </w:r>
      <w:bookmarkStart w:id="4" w:name="__Fieldmark__38_2241033896"/>
      <w:bookmarkStart w:id="5" w:name="__Fieldmark__32_4279585507"/>
      <w:bookmarkStart w:id="6" w:name="__Fieldmark__50_434484431"/>
      <w:bookmarkStart w:id="7" w:name="__Fieldmark__32_1225654907"/>
      <w:bookmarkStart w:id="8" w:name="__Fieldmark__39_712766526"/>
      <w:bookmarkEnd w:id="0"/>
      <w:bookmarkEnd w:id="1"/>
      <w:bookmarkEnd w:id="2"/>
      <w:bookmarkEnd w:id="3"/>
      <w:bookmarkEnd w:id="4"/>
      <w:bookmarkEnd w:id="5"/>
      <w:bookmarkEnd w:id="6"/>
      <w:bookmarkEnd w:id="7"/>
      <w:bookmarkEnd w:id="8"/>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pPr>
      <w:r>
        <w:rPr>
          <w:lang w:val="en-US"/>
        </w:rPr>
        <w:t>methods</w:t>
      </w:r>
    </w:p>
    <w:p>
      <w:pPr>
        <w:pStyle w:val="Heading3"/>
        <w:numPr>
          <w:ilvl w:val="2"/>
          <w:numId w:val="3"/>
        </w:numPr>
        <w:rPr/>
      </w:pPr>
      <w:r>
        <w:rPr/>
        <w:t>First Method</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3"/>
        <w:numPr>
          <w:ilvl w:val="2"/>
          <w:numId w:val="3"/>
        </w:numPr>
        <w:rPr/>
      </w:pPr>
      <w:r>
        <w:rPr/>
        <w:t>Second Method</w:t>
      </w:r>
    </w:p>
    <w:p>
      <w:pPr>
        <w:pStyle w:val="TextBody"/>
        <w:rPr/>
      </w:pPr>
      <w:r>
        <w:rPr/>
        <w:t>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tbl>
      <w:tblPr>
        <w:tblW w:w="830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76"/>
        <w:gridCol w:w="2077"/>
        <w:gridCol w:w="2075"/>
        <w:gridCol w:w="2"/>
        <w:gridCol w:w="2075"/>
      </w:tblGrid>
      <w:tr>
        <w:trPr/>
        <w:tc>
          <w:tcPr>
            <w:tcW w:w="415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w:t>
            </w:r>
          </w:p>
        </w:tc>
        <w:tc>
          <w:tcPr>
            <w:tcW w:w="4152" w:type="dxa"/>
            <w:gridSpan w:val="3"/>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colspans 2 rowspans</w:t>
            </w:r>
          </w:p>
        </w:tc>
      </w:tr>
      <w:tr>
        <w:trPr/>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152" w:type="dxa"/>
            <w:gridSpan w:val="3"/>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153" w:type="dxa"/>
            <w:gridSpan w:val="2"/>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 3 colspans 3 paragpraphs</w:t>
            </w:r>
          </w:p>
          <w:p>
            <w:pPr>
              <w:pStyle w:val="TableContents"/>
              <w:rPr>
                <w:b/>
                <w:b/>
                <w:bCs/>
              </w:rPr>
            </w:pPr>
            <w:r>
              <w:rPr>
                <w:b/>
                <w:bCs/>
              </w:rPr>
              <w:t xml:space="preserve">2nd bold paraphrai with </w:t>
            </w:r>
            <w:r>
              <w:rPr>
                <w:b/>
                <w:bCs/>
                <w:i/>
                <w:iCs/>
              </w:rPr>
              <w:t>italic</w:t>
            </w:r>
          </w:p>
          <w:p>
            <w:pPr>
              <w:pStyle w:val="TableContents"/>
              <w:rPr>
                <w:b/>
                <w:b/>
                <w:bCs/>
              </w:rPr>
            </w:pPr>
            <w:r>
              <w:rPr>
                <w:b/>
                <w:bCs/>
                <w:i/>
                <w:iCs/>
              </w:rPr>
              <w:t xml:space="preserve">3rd bold italic with </w:t>
            </w:r>
            <w:r>
              <w:rPr>
                <w:b/>
                <w:bCs/>
                <w:i/>
                <w:iCs/>
                <w:vertAlign w:val="superscript"/>
              </w:rPr>
              <w:t>superscript</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colspan</w:t>
            </w:r>
          </w:p>
        </w:tc>
        <w:tc>
          <w:tcPr>
            <w:tcW w:w="20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colspan</w:t>
            </w:r>
          </w:p>
        </w:tc>
      </w:tr>
      <w:tr>
        <w:trPr/>
        <w:tc>
          <w:tcPr>
            <w:tcW w:w="8305"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 colspans</w:t>
            </w:r>
          </w:p>
        </w:tc>
      </w:tr>
      <w:tr>
        <w:trPr/>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2077"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2077"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r>
          </w:p>
        </w:tc>
        <w:tc>
          <w:tcPr>
            <w:tcW w:w="2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3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780"/>
        <w:gridCol w:w="4449"/>
      </w:tblGrid>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Sex (M/F)</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 xml:space="preserve">Middle age </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Age at onset of JIA, years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Time from onset to the diagnosis, months.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Persistent oligoarthritis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Common oligoarthritis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Enthesitis-related arthritis + psoriatic arthritis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Systemic JIA</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GCs took earlier / at the moment</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Remission</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NSAIDs</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Methotrexate</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Plaquenil</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Sulfasalazine</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Azathioprine</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Immunobiology (n=23)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Anti-TNF (ETA / ADA))</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Tocilizumab</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Rituximab</w:t>
            </w:r>
          </w:p>
        </w:tc>
        <w:tc>
          <w:tcPr>
            <w:tcW w:w="44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Table"/>
        <w:rPr/>
      </w:pPr>
      <w:r>
        <w:rPr/>
        <w:t xml:space="preserve">Table </w:t>
      </w:r>
      <w:r>
        <w:rPr/>
        <w:fldChar w:fldCharType="begin"/>
      </w:r>
      <w:r>
        <w:rPr/>
        <w:instrText> SEQ Table \* ARABIC </w:instrText>
      </w:r>
      <w:r>
        <w:rPr/>
        <w:fldChar w:fldCharType="separate"/>
      </w:r>
      <w:r>
        <w:rPr/>
        <w:t>1</w:t>
      </w:r>
      <w:r>
        <w:rPr/>
        <w:fldChar w:fldCharType="end"/>
      </w:r>
      <w:r>
        <w:rPr/>
        <w:t>: This is caption</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9"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9"/>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10" w:name="__DdeLink__823_4279585507"/>
            <w:r>
              <w:rPr>
                <w:rFonts w:eastAsia="Times New Roman" w:ascii="Times New Roman" w:hAnsi="Times New Roman"/>
                <w:color w:val="000000"/>
                <w:lang w:val="en-US"/>
              </w:rPr>
              <w:t>75.8</w:t>
            </w:r>
            <w:bookmarkEnd w:id="10"/>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11" w:name="__DdeLink__825_4279585507"/>
            <w:bookmarkStart w:id="12" w:name="__DdeLink__827_4279585507"/>
            <w:r>
              <w:rPr>
                <w:rFonts w:eastAsia="Times New Roman" w:ascii="Times New Roman" w:hAnsi="Times New Roman"/>
                <w:b/>
                <w:bCs/>
                <w:lang w:val="en-US"/>
              </w:rPr>
              <w:t>46.3±8.7</w:t>
            </w:r>
            <w:bookmarkEnd w:id="11"/>
            <w:bookmarkEnd w:id="12"/>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13" w:name="__DdeLink__846_4279585507"/>
      <w:r>
        <w:rPr>
          <w:rFonts w:ascii="Times New Roman" w:hAnsi="Times New Roman"/>
          <w:lang w:val="en-US"/>
        </w:rPr>
        <w:t>PCS - psychological well-being</w:t>
      </w:r>
      <w:bookmarkEnd w:id="13"/>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14" w:name="__DdeLink__844_4279585507"/>
            <w:r>
              <w:rPr>
                <w:rFonts w:eastAsia="Times New Roman" w:ascii="Times New Roman" w:hAnsi="Times New Roman"/>
                <w:color w:val="000000"/>
                <w:lang w:val="en-US"/>
              </w:rPr>
              <w:t>80.99</w:t>
            </w:r>
            <w:bookmarkEnd w:id="14"/>
            <w:r>
              <w:rPr>
                <w:rFonts w:eastAsia="Times New Roman" w:ascii="Times New Roman" w:hAnsi="Times New Roman"/>
                <w:bCs/>
                <w:color w:val="000000"/>
                <w:lang w:val="en-US"/>
              </w:rPr>
              <w:t>±</w:t>
            </w:r>
            <w:r>
              <w:rPr>
                <w:rFonts w:eastAsia="Times New Roman" w:ascii="Times New Roman" w:hAnsi="Times New Roman"/>
                <w:color w:val="000000"/>
                <w:lang w:val="en-US"/>
              </w:rPr>
              <w:t>18.29</w:t>
            </w:r>
          </w:p>
          <w:p>
            <w:pPr>
              <w:pStyle w:val="Normal"/>
              <w:jc w:val="center"/>
              <w:rPr/>
            </w:pPr>
            <w:bookmarkStart w:id="15" w:name="__DdeLink__842_4279585507"/>
            <w:r>
              <w:rPr>
                <w:rFonts w:eastAsia="Times New Roman" w:ascii="Times New Roman" w:hAnsi="Times New Roman"/>
                <w:color w:val="000000"/>
                <w:lang w:val="en-US"/>
              </w:rPr>
              <w:t>75.99</w:t>
            </w:r>
            <w:bookmarkEnd w:id="15"/>
            <w:r>
              <w:rPr>
                <w:rFonts w:eastAsia="Times New Roman" w:ascii="Times New Roman" w:hAnsi="Times New Roman"/>
                <w:bCs/>
                <w:color w:val="000000"/>
                <w:lang w:val="en-US"/>
              </w:rPr>
              <w:t>±</w:t>
            </w:r>
            <w:r>
              <w:rPr>
                <w:rFonts w:eastAsia="Times New Roman" w:ascii="Times New Roman" w:hAnsi="Times New Roman"/>
                <w:color w:val="000000"/>
                <w:lang w:val="en-US"/>
              </w:rPr>
              <w:t>26.79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68.99</w:t>
            </w:r>
            <w:r>
              <w:rPr>
                <w:rFonts w:eastAsia="Times New Roman" w:ascii="Times New Roman" w:hAnsi="Times New Roman"/>
                <w:bCs/>
                <w:color w:val="000000"/>
                <w:lang w:val="en-US"/>
              </w:rPr>
              <w:t>±</w:t>
            </w:r>
            <w:r>
              <w:rPr>
                <w:rFonts w:eastAsia="Times New Roman" w:ascii="Times New Roman" w:hAnsi="Times New Roman"/>
                <w:color w:val="000000"/>
                <w:lang w:val="en-US"/>
              </w:rPr>
              <w:t>18.99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852"/>
        <w:gridCol w:w="1136"/>
        <w:gridCol w:w="850"/>
        <w:gridCol w:w="1127"/>
        <w:gridCol w:w="858"/>
        <w:gridCol w:w="1132"/>
        <w:gridCol w:w="850"/>
        <w:gridCol w:w="998"/>
        <w:gridCol w:w="1132"/>
        <w:gridCol w:w="887"/>
        <w:gridCol w:w="950"/>
      </w:tblGrid>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pPr>
      <w:r>
        <w:rPr>
          <w:rFonts w:ascii="Times New Roman" w:hAnsi="Times New Roman"/>
          <w:lang w:val="en-US"/>
        </w:rPr>
      </w:r>
      <w:r>
        <mc:AlternateContent>
          <mc:Choice Requires="wps">
            <w:drawing>
              <wp:inline distT="0" distB="0" distL="0" distR="0">
                <wp:extent cx="5277485" cy="3404235"/>
                <wp:effectExtent l="0" t="0" r="0" b="0"/>
                <wp:docPr id="1" name="Frame1"/>
                <a:graphic xmlns:a="http://schemas.openxmlformats.org/drawingml/2006/main">
                  <a:graphicData uri="http://schemas.microsoft.com/office/word/2010/wordprocessingShape">
                    <wps:wsp>
                      <wps:cNvSpPr txBox="1"/>
                      <wps:spPr>
                        <a:xfrm>
                          <a:off x="0" y="0"/>
                          <a:ext cx="5277485" cy="3404235"/>
                        </a:xfrm>
                        <a:prstGeom prst="rect"/>
                      </wps:spPr>
                      <wps:txb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Quality of life in young patients with JIA and healthy individuals according to the SF-36 questionnaire.</w:t>
                            </w:r>
                          </w:p>
                        </w:txbxContent>
                      </wps:txbx>
                      <wps:bodyPr anchor="t" lIns="0" tIns="0" rIns="0" bIns="0">
                        <a:noAutofit/>
                      </wps:bodyPr>
                    </wps:wsp>
                  </a:graphicData>
                </a:graphic>
              </wp:inline>
            </w:drawing>
          </mc:Choice>
          <mc:Fallback>
            <w:pict>
              <v:rect style="position:absolute;rotation:0;width:415.55pt;height:268.05pt;mso-wrap-distance-left:0pt;mso-wrap-distance-right:0pt;mso-wrap-distance-top:0pt;mso-wrap-distance-bottom:0pt;margin-top:-268.05pt;mso-position-vertical:top;mso-position-vertical-relative:text;margin-left:0pt;mso-position-horizontal-relative:text">
                <v:textbox inset="0in,0in,0in,0in">
                  <w:txbxContent>
                    <w:p>
                      <w:pPr>
                        <w:pStyle w:val="Figure"/>
                        <w:spacing w:before="120" w:after="120"/>
                        <w:rPr/>
                      </w:pPr>
                      <w:r>
                        <w:rPr/>
                        <w:t xml:space="preserve">Figure </w:t>
                        <w:pict>
                          <v:group id="shape_0" style="position:absolute;margin-left:0pt;margin-top:0pt;width:415.5pt;height:234pt" coordorigin="0,0" coordsize="8310,468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2" stroked="f" style="position:absolute;left:0;top:0;width:8309;height:4679;mso-position-horizontal:center;mso-position-vertical:top" type="shapetype_75">
                              <v:imagedata r:id="rId3" o:detectmouseclick="t"/>
                              <w10:wrap type="none"/>
                              <v:stroke color="#3465a4" joinstyle="round" endcap="flat"/>
                            </v:shape>
                          </v:group>
                        </w:pict>
                      </w:r>
                      <w:r>
                        <w:rPr/>
                        <w:fldChar w:fldCharType="begin"/>
                      </w:r>
                      <w:r>
                        <w:rPr/>
                        <w:instrText> SEQ Figure \* ARABIC </w:instrText>
                      </w:r>
                      <w:r>
                        <w:rPr/>
                        <w:fldChar w:fldCharType="separate"/>
                      </w:r>
                      <w:r>
                        <w:rPr/>
                        <w:t>1</w:t>
                      </w:r>
                      <w:r>
                        <w:rPr/>
                        <w:fldChar w:fldCharType="end"/>
                      </w:r>
                      <w:r>
                        <w:rPr/>
                        <w:t>: Quality of life in young patients with JIA and healthy individuals according to the SF-36 questionnaire.</w:t>
                      </w:r>
                    </w:p>
                  </w:txbxContent>
                </v:textbox>
                <w10:wrap type="square"/>
              </v:rect>
            </w:pict>
          </mc:Fallback>
        </mc:AlternateContent>
      </w:r>
      <w:r>
        <mc:AlternateContent>
          <mc:Choice Requires="wp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7485" cy="2972435"/>
                <wp:effectExtent l="0" t="0" r="0" b="0"/>
                <wp:wrapTopAndBottom/>
                <wp:docPr id="3" name=""/>
                <a:graphic xmlns:a="http://schemas.openxmlformats.org/drawingml/2006/main">
                  <a:graphicData uri="http://schemas.microsoft.com/office/word/2010/wordprocessingGroup">
                    <wpg:wgp>
                      <wpg:cNvGrpSpPr/>
                      <wpg:grpSpPr>
                        <a:xfrm>
                          <a:off x="0" y="0"/>
                          <a:ext cx="5276880" cy="2971800"/>
                        </a:xfrm>
                      </wpg:grpSpPr>
                      <pic:pic xmlns:pic="http://schemas.openxmlformats.org/drawingml/2006/picture">
                        <pic:nvPicPr>
                          <pic:cNvPr id="0" name="Shape 2" descr=""/>
                          <pic:cNvPicPr/>
                        </pic:nvPicPr>
                        <pic:blipFill>
                          <a:blip r:embed="rId3"/>
                          <a:stretch/>
                        </pic:blipFill>
                        <pic:spPr>
                          <a:xfrm>
                            <a:off x="0" y="0"/>
                            <a:ext cx="5276880" cy="2971800"/>
                          </a:xfrm>
                          <a:prstGeom prst="rect">
                            <a:avLst/>
                          </a:prstGeom>
                          <a:ln>
                            <a:noFill/>
                          </a:ln>
                        </pic:spPr>
                      </pic:pic>
                    </wpg:wgp>
                  </a:graphicData>
                </a:graphic>
              </wp:anchor>
            </w:drawing>
          </mc:Choice>
          <mc:Fallback>
            <w:pict>
              <v:group id="shape_0" style="position:absolute;margin-left:0pt;margin-top:0pt;width:415.5pt;height:234pt" coordorigin="0,0" coordsize="8310,4680">
                <v:shape id="shape_0" ID="Shape 2" stroked="f" style="position:absolute;left:0;top:0;width:8309;height:4679;mso-position-horizontal:center;mso-position-vertical:top" type="shapetype_75">
                  <v:imagedata r:id="rId3" o:detectmouseclick="t"/>
                  <w10:wrap type="none"/>
                  <v:stroke color="#3465a4" joinstyle="round" endcap="flat"/>
                </v:shape>
              </v:group>
            </w:pict>
          </mc:Fallback>
        </mc:AlternateContent>
      </w:r>
    </w:p>
    <w:p>
      <w:pPr>
        <w:pStyle w:val="Normal"/>
        <w:jc w:val="both"/>
        <w:rPr/>
      </w:pPr>
      <w:r>
        <w:rPr/>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pPr>
      <w:r>
        <w:rPr>
          <w:lang w:val="en-US"/>
        </w:rPr>
        <w:t>Discussion</w:t>
      </w:r>
    </w:p>
    <w:p>
      <w:pPr>
        <w:pStyle w:val="Heading3"/>
        <w:numPr>
          <w:ilvl w:val="2"/>
          <w:numId w:val="2"/>
        </w:numPr>
        <w:rPr/>
      </w:pPr>
      <w:r>
        <w:rPr/>
        <w:t>Heading 3</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6"/>
        </w:numPr>
        <w:jc w:val="both"/>
        <w:rPr>
          <w:rFonts w:ascii="Times New Roman" w:hAnsi="Times New Roman"/>
          <w:lang w:val="en-US"/>
        </w:rPr>
      </w:pPr>
      <w:bookmarkStart w:id="16" w:name="__DdeLink__888_1225654907"/>
      <w:r>
        <w:rPr>
          <w:rFonts w:ascii="Times New Roman" w:hAnsi="Times New Roman"/>
          <w:lang w:val="en-US"/>
        </w:rPr>
        <w:t xml:space="preserve">Our patients </w:t>
      </w:r>
      <w:bookmarkEnd w:id="16"/>
      <w:r>
        <w:rPr>
          <w:rFonts w:ascii="Times New Roman" w:hAnsi="Times New Roman"/>
          <w:lang w:val="en-US"/>
        </w:rPr>
        <w:t>often received GCs, which reduced the activity of the disease.</w:t>
      </w:r>
    </w:p>
    <w:p>
      <w:pPr>
        <w:pStyle w:val="Normal"/>
        <w:numPr>
          <w:ilvl w:val="0"/>
          <w:numId w:val="6"/>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6"/>
        </w:numPr>
        <w:jc w:val="both"/>
        <w:rPr/>
      </w:pPr>
      <w:r>
        <w:rPr>
          <w:rFonts w:ascii="Times New Roman" w:hAnsi="Times New Roman"/>
          <w:lang w:val="en-US"/>
        </w:rPr>
        <w:t>Nested List item 1</w:t>
      </w:r>
    </w:p>
    <w:p>
      <w:pPr>
        <w:pStyle w:val="Normal"/>
        <w:numPr>
          <w:ilvl w:val="1"/>
          <w:numId w:val="6"/>
        </w:numPr>
        <w:jc w:val="both"/>
        <w:rPr/>
      </w:pPr>
      <w:r>
        <w:rPr>
          <w:rFonts w:ascii="Times New Roman" w:hAnsi="Times New Roman"/>
          <w:lang w:val="en-US"/>
        </w:rPr>
        <w:t>Nested List item 2</w:t>
      </w:r>
    </w:p>
    <w:p>
      <w:pPr>
        <w:pStyle w:val="Normal"/>
        <w:widowControl w:val="false"/>
        <w:numPr>
          <w:ilvl w:val="0"/>
          <w:numId w:val="5"/>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7"/>
        </w:numPr>
        <w:spacing w:before="0" w:after="240"/>
        <w:jc w:val="both"/>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7"/>
        </w:numPr>
        <w:spacing w:before="0" w:after="240"/>
        <w:jc w:val="both"/>
        <w:rPr/>
      </w:pPr>
      <w:r>
        <w:rPr>
          <w:rFonts w:ascii="Times New Roman" w:hAnsi="Times New Roman"/>
          <w:lang w:val="en-US"/>
        </w:rPr>
        <w:t>The results of evaluation were compared with the control groups comprised of healthy individuals.</w:t>
      </w:r>
    </w:p>
    <w:p>
      <w:pPr>
        <w:pStyle w:val="Normal"/>
        <w:widowControl w:val="false"/>
        <w:numPr>
          <w:ilvl w:val="0"/>
          <w:numId w:val="7"/>
        </w:numPr>
        <w:spacing w:before="0" w:after="240"/>
        <w:jc w:val="both"/>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pPr>
      <w:r>
        <w:rPr/>
        <w:t>Звичаний</w:t>
      </w:r>
      <w:r>
        <w:rPr>
          <w:lang w:val="en-US"/>
        </w:rPr>
        <w:t xml:space="preserve"> </w:t>
      </w:r>
      <w:r>
        <w:rPr/>
        <w:t>текст</w:t>
      </w:r>
      <w:r>
        <w:rPr>
          <w:lang w:val="en-US"/>
        </w:rPr>
        <w:t xml:space="preserve"> </w:t>
      </w:r>
      <w:r>
        <w:rPr/>
        <w:t>тут</w:t>
      </w:r>
      <w:r>
        <w:rPr>
          <w:lang w:val="en-US"/>
        </w:rPr>
        <w:t>.</w:t>
      </w:r>
    </w:p>
    <w:p>
      <w:pPr>
        <w:pStyle w:val="Normal"/>
        <w:rPr>
          <w:lang w:val="en-US"/>
        </w:rPr>
      </w:pPr>
      <w:r>
        <w:rPr>
          <w:lang w:val="en-US"/>
        </w:rPr>
      </w:r>
    </w:p>
    <w:p>
      <w:pPr>
        <w:pStyle w:val="Bibliography"/>
        <w:rPr>
          <w:lang w:val="en-US"/>
        </w:rPr>
      </w:pPr>
      <w:r>
        <w:rPr/>
        <w:t>References</w:t>
      </w:r>
    </w:p>
    <w:p>
      <w:pPr>
        <w:pStyle w:val="Bibliography"/>
        <w:numPr>
          <w:ilvl w:val="0"/>
          <w:numId w:val="4"/>
        </w:numPr>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Bibliography"/>
        <w:numPr>
          <w:ilvl w:val="0"/>
          <w:numId w:val="4"/>
        </w:numPr>
        <w:rPr/>
      </w:pPr>
      <w:r>
        <w:rPr>
          <w:rFonts w:ascii="Times New Roman" w:hAnsi="Times New Roman"/>
          <w:lang w:val="en-US"/>
        </w:rPr>
        <w:t xml:space="preserve">Hersh A, Scheven E, Yelin E. Adult outcome of childhood-onset rheumatic diseases. Nat Rev Rheumatol. 2011;7(5):290-295. DOI: </w:t>
      </w:r>
      <w:hyperlink r:id="rId4">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5">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Scal P, Horvath K, Garwick A. Preparing for adulthood: health care transition counseling for youth with arthritis. Arthritis Rheum. 2009;61(1):52-57. DOI: </w:t>
      </w:r>
      <w:hyperlink r:id="rId6">
        <w:r>
          <w:rPr>
            <w:rStyle w:val="InternetLink"/>
            <w:rFonts w:ascii="Times New Roman" w:hAnsi="Times New Roman"/>
            <w:lang w:val="en-US"/>
          </w:rPr>
          <w:t>https://doi.org/10.1002/art.24088</w:t>
        </w:r>
      </w:hyperlink>
      <w:r>
        <w:rPr>
          <w:rFonts w:ascii="Times New Roman" w:hAnsi="Times New Roman"/>
          <w:lang w:val="en-US"/>
        </w:rPr>
        <w:t xml:space="preserve"> PMID: </w:t>
      </w:r>
      <w:hyperlink r:id="rId7">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8">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9">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10">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1">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2">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3">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4">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5">
        <w:r>
          <w:rPr>
            <w:rStyle w:val="InternetLink"/>
            <w:rFonts w:ascii="Times New Roman" w:hAnsi="Times New Roman"/>
            <w:lang w:val="en-US"/>
          </w:rPr>
          <w:t>https://doi.org/10.1002/acr.21695</w:t>
        </w:r>
      </w:hyperlink>
      <w:r>
        <w:rPr>
          <w:rFonts w:ascii="Times New Roman" w:hAnsi="Times New Roman"/>
          <w:lang w:val="en-US"/>
        </w:rPr>
        <w:t xml:space="preserve">   PMID: </w:t>
      </w:r>
      <w:hyperlink r:id="rId16">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7">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8">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9">
        <w:r>
          <w:rPr>
            <w:rStyle w:val="InternetLink"/>
            <w:rFonts w:ascii="Times New Roman" w:hAnsi="Times New Roman"/>
            <w:lang w:val="en-US"/>
          </w:rPr>
          <w:t>https://doi.org/10.1002/art.23916</w:t>
        </w:r>
      </w:hyperlink>
      <w:r>
        <w:rPr>
          <w:rFonts w:ascii="Times New Roman" w:hAnsi="Times New Roman"/>
          <w:lang w:val="en-US"/>
        </w:rPr>
        <w:t xml:space="preserve"> PMID: </w:t>
      </w:r>
      <w:hyperlink r:id="rId20">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1">
        <w:r>
          <w:rPr>
            <w:rStyle w:val="InternetLink"/>
            <w:rFonts w:ascii="Times New Roman" w:hAnsi="Times New Roman"/>
            <w:lang w:val="en-US"/>
          </w:rPr>
          <w:t>https://doi.org/10.1002/acr.21609</w:t>
        </w:r>
      </w:hyperlink>
      <w:r>
        <w:rPr>
          <w:rFonts w:ascii="Times New Roman" w:hAnsi="Times New Roman"/>
          <w:lang w:val="en-US"/>
        </w:rPr>
        <w:t xml:space="preserve"> PMID: </w:t>
      </w:r>
      <w:hyperlink r:id="rId22">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3">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4">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5">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6">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7">
        <w:r>
          <w:rPr>
            <w:rStyle w:val="InternetLink"/>
            <w:rFonts w:ascii="Times New Roman" w:hAnsi="Times New Roman"/>
            <w:lang w:val="en-US"/>
          </w:rPr>
          <w:t>https://doi.org/10.1002/acr.20460</w:t>
        </w:r>
      </w:hyperlink>
      <w:r>
        <w:rPr>
          <w:rFonts w:ascii="Times New Roman" w:hAnsi="Times New Roman"/>
          <w:lang w:val="en-US"/>
        </w:rPr>
        <w:t xml:space="preserve">  PMID: </w:t>
      </w:r>
      <w:hyperlink r:id="rId28">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9">
        <w:r>
          <w:rPr>
            <w:rStyle w:val="InternetLink"/>
            <w:rFonts w:ascii="Times New Roman" w:hAnsi="Times New Roman"/>
            <w:lang w:val="en-US"/>
          </w:rPr>
          <w:t>https://doi.org/10.1002/art.10863</w:t>
        </w:r>
      </w:hyperlink>
      <w:r>
        <w:rPr>
          <w:rFonts w:ascii="Times New Roman" w:hAnsi="Times New Roman"/>
          <w:lang w:val="en-US"/>
        </w:rPr>
        <w:t xml:space="preserve"> PMID: </w:t>
      </w:r>
      <w:hyperlink r:id="rId30">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1">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2">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3">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4">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5">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6">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Wipff J, Sparsa L, Lohse A, Quartier</w:t>
      </w:r>
      <w:r>
        <w:rPr/>
        <w:t xml:space="preserve"> </w:t>
      </w:r>
      <w:r>
        <w:rPr>
          <w:rFonts w:ascii="Times New Roman" w:hAnsi="Times New Roman"/>
          <w:lang w:val="en-US"/>
        </w:rPr>
        <w:t>P, Kahan</w:t>
      </w:r>
      <w:r>
        <w:rPr/>
        <w:t xml:space="preserve"> </w:t>
      </w:r>
      <w:r>
        <w:rPr>
          <w:rFonts w:ascii="Times New Roman" w:hAnsi="Times New Roman"/>
          <w:lang w:val="en-US"/>
        </w:rPr>
        <w:t>A, Deslandre</w:t>
      </w:r>
      <w:r>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7">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8">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9">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40">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1">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2">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3">
        <w:r>
          <w:rPr>
            <w:rStyle w:val="InternetLink"/>
            <w:rFonts w:ascii="Times New Roman" w:hAnsi="Times New Roman"/>
            <w:lang w:val="en-US"/>
          </w:rPr>
          <w:t>https://doi.org/10.1002/art.10444</w:t>
        </w:r>
      </w:hyperlink>
      <w:r>
        <w:rPr>
          <w:rFonts w:ascii="Times New Roman" w:hAnsi="Times New Roman"/>
          <w:lang w:val="en-US"/>
        </w:rPr>
        <w:t xml:space="preserve"> PMID: </w:t>
      </w:r>
      <w:hyperlink r:id="rId44">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5">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6">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7">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8">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9">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50">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1">
        <w:r>
          <w:rPr>
            <w:rStyle w:val="InternetLink"/>
            <w:rFonts w:ascii="Times New Roman" w:hAnsi="Times New Roman"/>
            <w:lang w:val="en-US"/>
          </w:rPr>
          <w:t>https://doi.org/10.1002/acr.22112</w:t>
        </w:r>
      </w:hyperlink>
      <w:r>
        <w:rPr>
          <w:rFonts w:ascii="Times New Roman" w:hAnsi="Times New Roman"/>
          <w:lang w:val="en-US"/>
        </w:rPr>
        <w:t xml:space="preserve"> PMID: </w:t>
      </w:r>
      <w:hyperlink r:id="rId52">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3">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4">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1810084841"/>
      </w:sdtPr>
      <w:sdtContent>
        <w:p>
          <w:pPr>
            <w:pStyle w:val="Heading1"/>
            <w:rPr>
              <w:lang w:val="en-US"/>
            </w:rPr>
          </w:pPr>
          <w:r>
            <w:rPr>
              <w:lang w:val="en-US"/>
            </w:rPr>
            <w:t>Bibliography</w:t>
          </w:r>
        </w:p>
        <w:p>
          <w:pPr>
            <w:pStyle w:val="Bibliography"/>
            <w:ind w:left="720" w:hanging="720"/>
            <w:rPr>
              <w:lang w:val="en-US"/>
            </w:rPr>
          </w:pPr>
          <w:r>
            <w:fldChar w:fldCharType="begin"/>
          </w:r>
          <w:r>
            <w:rPr/>
            <w:instrText> BIBLIOGRAPHY </w:instrText>
          </w:r>
          <w:r>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ст</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17" w:name="_GoBack"/>
      <w:bookmarkEnd w:id="17"/>
    </w:p>
    <w:p>
      <w:pPr>
        <w:pStyle w:val="Bibliography"/>
        <w:rPr/>
      </w:pPr>
      <w:r>
        <w:fldChar w:fldCharType="begin"/>
      </w:r>
      <w:r>
        <w:rPr/>
        <w:instrText>ADDIN ZOTERO_BIBL {"uncited":[],"omitted":[],"custom":[]} CSL_BIBLIOGRAPHY</w:instrText>
      </w:r>
      <w:r>
        <w:rPr/>
        <w:fldChar w:fldCharType="separate"/>
      </w:r>
      <w:bookmarkStart w:id="18" w:name="__Fieldmark__977_2459672641"/>
      <w:r>
        <w:rPr/>
      </w:r>
      <w:r>
        <w:rPr>
          <w:rFonts w:ascii="Times New Roman" w:hAnsi="Times New Roman"/>
          <w:lang w:val="en-US"/>
        </w:rPr>
        <w:t>1</w:t>
      </w:r>
      <w:bookmarkStart w:id="19" w:name="__Fieldmark__968_1205966819"/>
      <w:r>
        <w:rPr>
          <w:rFonts w:ascii="Times New Roman" w:hAnsi="Times New Roman"/>
          <w:lang w:val="en-US"/>
        </w:rPr>
        <w:t>.</w:t>
      </w:r>
      <w:bookmarkStart w:id="20" w:name="__Fieldmark__895_1948271137"/>
      <w:r>
        <w:rPr>
          <w:rFonts w:ascii="Times New Roman" w:hAnsi="Times New Roman"/>
          <w:lang w:val="en-US"/>
        </w:rPr>
        <w:t xml:space="preserve"> </w:t>
      </w:r>
      <w:bookmarkStart w:id="21" w:name="__Fieldmark__890_3555270522"/>
      <w:r>
        <w:rPr>
          <w:rFonts w:ascii="Times New Roman" w:hAnsi="Times New Roman"/>
          <w:lang w:val="en-US"/>
        </w:rPr>
        <w:tab/>
      </w:r>
      <w:bookmarkStart w:id="22" w:name="__Fieldmark__883_712766526"/>
      <w:r>
        <w:rPr>
          <w:rFonts w:ascii="Times New Roman" w:hAnsi="Times New Roman"/>
          <w:lang w:val="en-US"/>
        </w:rPr>
        <w:t>C</w:t>
      </w:r>
      <w:bookmarkStart w:id="23" w:name="__Fieldmark__879_2241033896"/>
      <w:r>
        <w:rPr>
          <w:rFonts w:ascii="Times New Roman" w:hAnsi="Times New Roman"/>
          <w:lang w:val="en-US"/>
        </w:rPr>
        <w:t>h</w:t>
      </w:r>
      <w:bookmarkStart w:id="24" w:name="__Fieldmark__872_1225654907"/>
      <w:r>
        <w:rPr>
          <w:rFonts w:ascii="Times New Roman" w:hAnsi="Times New Roman"/>
          <w:lang w:val="en-US"/>
        </w:rPr>
        <w:t>a</w:t>
      </w:r>
      <w:bookmarkStart w:id="25" w:name="__Fieldmark__803_4279585507"/>
      <w:r>
        <w:rPr>
          <w:rFonts w:ascii="Times New Roman" w:hAnsi="Times New Roman"/>
          <w:lang w:val="en-US"/>
        </w:rPr>
        <w:t>n</w:t>
      </w:r>
      <w:bookmarkStart w:id="26" w:name="__Fieldmark__1213_434484431"/>
      <w:r>
        <w:rPr>
          <w:rFonts w:ascii="Times New Roman" w:hAnsi="Times New Roman"/>
          <w:lang w:val="en-US"/>
        </w:rPr>
        <w:t xml:space="preserve">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8"/>
      <w:bookmarkEnd w:id="19"/>
      <w:bookmarkEnd w:id="20"/>
      <w:bookmarkEnd w:id="21"/>
      <w:bookmarkEnd w:id="22"/>
      <w:bookmarkEnd w:id="23"/>
      <w:bookmarkEnd w:id="24"/>
      <w:bookmarkEnd w:id="25"/>
      <w:bookmarkEnd w:id="26"/>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Style11"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2" w:customStyle="1">
    <w:name w:val="Текст примечания Знак"/>
    <w:uiPriority w:val="99"/>
    <w:semiHidden/>
    <w:qFormat/>
    <w:rsid w:val="006153d5"/>
    <w:rPr>
      <w:lang w:val="ru-RU"/>
    </w:rPr>
  </w:style>
  <w:style w:type="character" w:styleId="Style13" w:customStyle="1">
    <w:name w:val="Тема примечания Знак"/>
    <w:uiPriority w:val="99"/>
    <w:semiHidden/>
    <w:qFormat/>
    <w:rsid w:val="006153d5"/>
    <w:rPr>
      <w:b/>
      <w:bCs/>
      <w:lang w:val="ru-RU"/>
    </w:rPr>
  </w:style>
  <w:style w:type="character" w:styleId="InternetLink" w:customStyle="1">
    <w:name w:val="Internet Link"/>
    <w:uiPriority w:val="99"/>
    <w:unhideWhenUsed/>
    <w:rsid w:val="00bb759d"/>
    <w:rPr>
      <w:color w:val="0000FF"/>
      <w:u w:val="single"/>
    </w:rPr>
  </w:style>
  <w:style w:type="character" w:styleId="FollowedHyper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4"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MS Mincho"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MS Mincho"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lang w:val="en-US"/>
    </w:rPr>
  </w:style>
  <w:style w:type="character" w:styleId="ListLabel19">
    <w:name w:val="ListLabel 19"/>
    <w:qFormat/>
    <w:rPr>
      <w:rFonts w:ascii="Times New Roman" w:hAnsi="Times New Roman"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lang w:val="en-US"/>
    </w:rPr>
  </w:style>
  <w:style w:type="character" w:styleId="ListLabel38">
    <w:name w:val="ListLabel 38"/>
    <w:qFormat/>
    <w:rPr>
      <w:rFonts w:ascii="Times New Roman" w:hAnsi="Times New Roman" w:cs="Times New Roman"/>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lang w:val="en-US"/>
    </w:rPr>
  </w:style>
  <w:style w:type="character" w:styleId="ListLabel57">
    <w:name w:val="ListLabel 57"/>
    <w:qFormat/>
    <w:rPr>
      <w:rFonts w:ascii="Times New Roman" w:hAnsi="Times New Roman" w:cs="Times New Roman"/>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Times New Roman"/>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lang w:val="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Times New Roman"/>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lang w:val="en-US"/>
    </w:rPr>
  </w:style>
  <w:style w:type="character" w:styleId="ListLabel95">
    <w:name w:val="ListLabel 95"/>
    <w:qFormat/>
    <w:rPr>
      <w:rFonts w:ascii="Times New Roman" w:hAnsi="Times New Roman" w:cs="Times New Roman"/>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Times New Roman"/>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lang w:val="en-US"/>
    </w:rPr>
  </w:style>
  <w:style w:type="character" w:styleId="ListLabel114">
    <w:name w:val="ListLabel 114"/>
    <w:qFormat/>
    <w:rPr>
      <w:rFonts w:ascii="Times New Roman" w:hAnsi="Times New Roman" w:cs="Times New Roman"/>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Times New Roman"/>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lang w:val="en-US"/>
    </w:rPr>
  </w:style>
  <w:style w:type="character" w:styleId="ListLabel133">
    <w:name w:val="ListLabel 133"/>
    <w:qFormat/>
    <w:rPr>
      <w:rFonts w:ascii="Times New Roman" w:hAnsi="Times New Roman" w:cs="Times New Roman"/>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imes New Roman" w:hAnsi="Times New Roman" w:cs="Times New Roman"/>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New Roman" w:hAnsi="Times New Roman"/>
      <w:lang w:val="en-US"/>
    </w:rPr>
  </w:style>
  <w:style w:type="character" w:styleId="ListLabel152">
    <w:name w:val="ListLabel 152"/>
    <w:qFormat/>
    <w:rPr>
      <w:rFonts w:ascii="Times New Roman" w:hAnsi="Times New Roman" w:cs="Times New Roman"/>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Times New Roman"/>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Times New Roman" w:hAnsi="Times New Roman"/>
      <w:lang w:val="en-US"/>
    </w:rPr>
  </w:style>
  <w:style w:type="character" w:styleId="ListLabel171">
    <w:name w:val="ListLabel 171"/>
    <w:qFormat/>
    <w:rPr>
      <w:rFonts w:ascii="Times New Roman" w:hAnsi="Times New Roman" w:cs="Times New Roman"/>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Times New Roman"/>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Times New Roman" w:hAnsi="Times New Roman"/>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Drawing">
    <w:name w:val="Table of Figures"/>
    <w:basedOn w:val="Caption"/>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djournal.com/index.php/psp" TargetMode="External"/><Relationship Id="rId3" Type="http://schemas.openxmlformats.org/officeDocument/2006/relationships/image" Target="media/image1.jpeg"/><Relationship Id="rId4" Type="http://schemas.openxmlformats.org/officeDocument/2006/relationships/hyperlink" Target="https://doi.org/10.1038/nrrheum.2011.38" TargetMode="External"/><Relationship Id="rId5" Type="http://schemas.openxmlformats.org/officeDocument/2006/relationships/hyperlink" Target="https://www.ncbi.nlm.nih.gov/pubmed/21487383" TargetMode="External"/><Relationship Id="rId6" Type="http://schemas.openxmlformats.org/officeDocument/2006/relationships/hyperlink" Target="https://doi.org/10.1002/art.24088" TargetMode="External"/><Relationship Id="rId7" Type="http://schemas.openxmlformats.org/officeDocument/2006/relationships/hyperlink" Target="https://www.ncbi.nlm.nih.gov/pubmed/19116976" TargetMode="External"/><Relationship Id="rId8" Type="http://schemas.openxmlformats.org/officeDocument/2006/relationships/hyperlink" Target="https://doi.org/10.1016/j.pec.2013.02.006" TargetMode="External"/><Relationship Id="rId9" Type="http://schemas.openxmlformats.org/officeDocument/2006/relationships/hyperlink" Target="https://www.ncbi.nlm.nih.gov/pubmed/23490174" TargetMode="External"/><Relationship Id="rId10" Type="http://schemas.openxmlformats.org/officeDocument/2006/relationships/hyperlink" Target="https://doi.org/10.1186/1546-0096-10-36" TargetMode="External"/><Relationship Id="rId11" Type="http://schemas.openxmlformats.org/officeDocument/2006/relationships/hyperlink" Target="https://doi.org/10.1093/rheumatology/keh175" TargetMode="External"/><Relationship Id="rId12" Type="http://schemas.openxmlformats.org/officeDocument/2006/relationships/hyperlink" Target="https://www.ncbi.nlm.nih.gov/pubmed/15039498" TargetMode="External"/><Relationship Id="rId13" Type="http://schemas.openxmlformats.org/officeDocument/2006/relationships/hyperlink" Target="https://doi.org/10.1007/s10067-010-1444-0" TargetMode="External"/><Relationship Id="rId14" Type="http://schemas.openxmlformats.org/officeDocument/2006/relationships/hyperlink" Target="https://www.ncbi.nlm.nih.gov/pubmed/20383546" TargetMode="External"/><Relationship Id="rId15" Type="http://schemas.openxmlformats.org/officeDocument/2006/relationships/hyperlink" Target="https://doi.org/10.1002/acr.21695" TargetMode="External"/><Relationship Id="rId16" Type="http://schemas.openxmlformats.org/officeDocument/2006/relationships/hyperlink" Target="https://www.ncbi.nlm.nih.gov/pubmed/22504867" TargetMode="External"/><Relationship Id="rId17" Type="http://schemas.openxmlformats.org/officeDocument/2006/relationships/hyperlink" Target="https://doi.org/10.1093/rheumatology/41.12.1436" TargetMode="External"/><Relationship Id="rId18" Type="http://schemas.openxmlformats.org/officeDocument/2006/relationships/hyperlink" Target="https://www.ncbi.nlm.nih.gov/pubmed/12468825" TargetMode="External"/><Relationship Id="rId19" Type="http://schemas.openxmlformats.org/officeDocument/2006/relationships/hyperlink" Target="https://doi.org/10.1002/art.23916" TargetMode="External"/><Relationship Id="rId20" Type="http://schemas.openxmlformats.org/officeDocument/2006/relationships/hyperlink" Target="https://www.ncbi.nlm.nih.gov/pubmed/18668599" TargetMode="External"/><Relationship Id="rId21" Type="http://schemas.openxmlformats.org/officeDocument/2006/relationships/hyperlink" Target="https://doi.org/10.1002/acr.21609" TargetMode="External"/><Relationship Id="rId22" Type="http://schemas.openxmlformats.org/officeDocument/2006/relationships/hyperlink" Target="https://www.ncbi.nlm.nih.gov/pubmed/22238240" TargetMode="External"/><Relationship Id="rId23" Type="http://schemas.openxmlformats.org/officeDocument/2006/relationships/hyperlink" Target="https://doi.org/10.1136/ard.2007.084848" TargetMode="External"/><Relationship Id="rId24" Type="http://schemas.openxmlformats.org/officeDocument/2006/relationships/hyperlink" Target="https://www.ncbi.nlm.nih.gov/pubmed/18375533" TargetMode="External"/><Relationship Id="rId25" Type="http://schemas.openxmlformats.org/officeDocument/2006/relationships/hyperlink" Target="https://www.ncbi.nlm.nih.gov/pubmed/16273780" TargetMode="External"/><Relationship Id="rId26" Type="http://schemas.openxmlformats.org/officeDocument/2006/relationships/hyperlink" Target="https://www.ncbi.nlm.nih.gov/pubmed/14760812" TargetMode="External"/><Relationship Id="rId27" Type="http://schemas.openxmlformats.org/officeDocument/2006/relationships/hyperlink" Target="https://doi.org/10.1002/acr.20460" TargetMode="External"/><Relationship Id="rId28" Type="http://schemas.openxmlformats.org/officeDocument/2006/relationships/hyperlink" Target="https://www.ncbi.nlm.nih.gov/pubmed/21452260" TargetMode="External"/><Relationship Id="rId29" Type="http://schemas.openxmlformats.org/officeDocument/2006/relationships/hyperlink" Target="https://doi.org/10.1002/art.10863" TargetMode="External"/><Relationship Id="rId30" Type="http://schemas.openxmlformats.org/officeDocument/2006/relationships/hyperlink" Target="https://www.ncbi.nlm.nih.gov/pubmed/12632431" TargetMode="External"/><Relationship Id="rId31" Type="http://schemas.openxmlformats.org/officeDocument/2006/relationships/hyperlink" Target="https://www.ncbi.nlm.nih.gov/pubmed/9150087" TargetMode="External"/><Relationship Id="rId32" Type="http://schemas.openxmlformats.org/officeDocument/2006/relationships/hyperlink" Target="https://www.ncbi.nlm.nih.gov/pubmed/9489836" TargetMode="External"/><Relationship Id="rId33" Type="http://schemas.openxmlformats.org/officeDocument/2006/relationships/hyperlink" Target="https://www.ncbi.nlm.nih.gov/pubmed/9416862" TargetMode="External"/><Relationship Id="rId34" Type="http://schemas.openxmlformats.org/officeDocument/2006/relationships/hyperlink" Target="https://doi.org/10.1136/ard.2004.026591" TargetMode="External"/><Relationship Id="rId35" Type="http://schemas.openxmlformats.org/officeDocument/2006/relationships/hyperlink" Target="http://www.jrheum.org/content/30/3/585.long" TargetMode="External"/><Relationship Id="rId36" Type="http://schemas.openxmlformats.org/officeDocument/2006/relationships/hyperlink" Target="https://www.ncbi.nlm.nih.gov/pubmed/12610821" TargetMode="External"/><Relationship Id="rId37" Type="http://schemas.openxmlformats.org/officeDocument/2006/relationships/hyperlink" Target="https://doi.org/10.1016/j.jbspin.2015.03.005" TargetMode="External"/><Relationship Id="rId38" Type="http://schemas.openxmlformats.org/officeDocument/2006/relationships/hyperlink" Target="https://www.ncbi.nlm.nih.gov/pubmed/26231098" TargetMode="External"/><Relationship Id="rId39" Type="http://schemas.openxmlformats.org/officeDocument/2006/relationships/hyperlink" Target="https://doi.org/10.1093/rheumatology/ken095" TargetMode="External"/><Relationship Id="rId40" Type="http://schemas.openxmlformats.org/officeDocument/2006/relationships/hyperlink" Target="https://www.ncbi.nlm.nih.gov/pubmed/18356173" TargetMode="External"/><Relationship Id="rId41" Type="http://schemas.openxmlformats.org/officeDocument/2006/relationships/hyperlink" Target="https://doi.org/10.1093/jpepsy/28.1.29" TargetMode="External"/><Relationship Id="rId42" Type="http://schemas.openxmlformats.org/officeDocument/2006/relationships/hyperlink" Target="https://www.ncbi.nlm.nih.gov/pubmed/12490628" TargetMode="External"/><Relationship Id="rId43" Type="http://schemas.openxmlformats.org/officeDocument/2006/relationships/hyperlink" Target="https://doi.org/10.1002/art.10444" TargetMode="External"/><Relationship Id="rId44" Type="http://schemas.openxmlformats.org/officeDocument/2006/relationships/hyperlink" Target="https://www.ncbi.nlm.nih.gov/pubmed/12355487" TargetMode="External"/><Relationship Id="rId45" Type="http://schemas.openxmlformats.org/officeDocument/2006/relationships/hyperlink" Target="https://doi.org/10.1155/2012/237258" TargetMode="External"/><Relationship Id="rId46" Type="http://schemas.openxmlformats.org/officeDocument/2006/relationships/hyperlink" Target="https://www.ncbi.nlm.nih.gov/pubmed/23248812" TargetMode="External"/><Relationship Id="rId47" Type="http://schemas.openxmlformats.org/officeDocument/2006/relationships/hyperlink" Target="https://doi.org/10.1097/00002281-199903000-00003" TargetMode="External"/><Relationship Id="rId48" Type="http://schemas.openxmlformats.org/officeDocument/2006/relationships/hyperlink" Target="https://www.ncbi.nlm.nih.gov/pubmed/10319211" TargetMode="External"/><Relationship Id="rId49" Type="http://schemas.openxmlformats.org/officeDocument/2006/relationships/hyperlink" Target="https://doi.org/10.1111/j.1526-4637.2005.05014.x" TargetMode="External"/><Relationship Id="rId50" Type="http://schemas.openxmlformats.org/officeDocument/2006/relationships/hyperlink" Target="https://www.ncbi.nlm.nih.gov/pubmed/15669948" TargetMode="External"/><Relationship Id="rId51" Type="http://schemas.openxmlformats.org/officeDocument/2006/relationships/hyperlink" Target="https://doi.org/10.1002/acr.22112" TargetMode="External"/><Relationship Id="rId52" Type="http://schemas.openxmlformats.org/officeDocument/2006/relationships/hyperlink" Target="https://www.ncbi.nlm.nih.gov/pubmed/23983081" TargetMode="External"/><Relationship Id="rId53" Type="http://schemas.openxmlformats.org/officeDocument/2006/relationships/hyperlink" Target="https://doi.org/10.1136/ard.2009.111260" TargetMode="External"/><Relationship Id="rId54" Type="http://schemas.openxmlformats.org/officeDocument/2006/relationships/hyperlink" Target="https://www.ncbi.nlm.nih.gov/pubmed/19581280"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Application>LibreOffice/6.0.7.3$Linux_X86_64 LibreOffice_project/00m0$Build-3</Application>
  <Pages>12</Pages>
  <Words>3400</Words>
  <Characters>20730</Characters>
  <CharactersWithSpaces>23869</CharactersWithSpaces>
  <Paragraphs>256</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2019-09-18T16:25:18Z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