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7EF15" w14:textId="2ED2A575" w:rsidR="00795B25" w:rsidRDefault="00795B25" w:rsidP="00795B25">
      <w:pPr>
        <w:pStyle w:val="Heading1"/>
        <w:rPr>
          <w:noProof/>
        </w:rPr>
      </w:pPr>
      <w:r>
        <w:rPr>
          <w:noProof/>
        </w:rPr>
        <w:t>Background</w:t>
      </w:r>
    </w:p>
    <w:p w14:paraId="003DE209" w14:textId="07E32CE2"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Lorem ipsum dolor sit amet, consectetur adipiscing elit. Aliquam nunc nibh, accumsan a rhoncus maximus, vestibulum id magna. Lorem ipsum dolor sit amet, consectetur adipiscing elit. Aliquam ultrices interdum elementum</w:t>
      </w:r>
      <w:r w:rsidR="003805D0">
        <w:rPr>
          <w:rFonts w:ascii="Arial" w:hAnsi="Arial" w:cs="Arial"/>
          <w:noProof/>
          <w:color w:val="000000"/>
          <w:sz w:val="21"/>
          <w:szCs w:val="21"/>
        </w:rPr>
        <w:t xml:space="preserve"> </w:t>
      </w:r>
      <w:r w:rsidR="00866B6D">
        <w:rPr>
          <w:rFonts w:ascii="Arial" w:hAnsi="Arial" w:cs="Arial"/>
          <w:noProof/>
          <w:color w:val="000000"/>
          <w:sz w:val="21"/>
          <w:szCs w:val="21"/>
        </w:rPr>
        <w:fldChar w:fldCharType="begin"/>
      </w:r>
      <w:r w:rsidR="00866B6D">
        <w:rPr>
          <w:rFonts w:ascii="Arial" w:hAnsi="Arial" w:cs="Arial"/>
          <w:noProof/>
          <w:color w:val="000000"/>
          <w:sz w:val="21"/>
          <w:szCs w:val="21"/>
        </w:rPr>
        <w:instrText xml:space="preserve"> ADDIN ZOTERO_ITEM CSL_CITATION {"citationID":"5hSWVKwO","properties":{"formattedCitation":"(1,2)","plainCitation":"(1,2)","noteIndex":0},"citationItems":[{"id":172,"uris":["http://zotero.org/users/3162634/items/T5VRF9Y7"],"uri":["http://zotero.org/users/3162634/items/T5VRF9Y7"],"itemData":{"id":172,"type":"article-journal","container-title":"Neuroscience Letters","DOI":"10.1016/j.neulet.2017.04.046","ISSN":"1872-7972","journalAbbreviation":"Neurosci. Lett.","language":"eng","note":"PMID: 28478864","page":"130-132","source":"PubMed","title":"Neurobiology of posttraumatic stress disorder (PTSD): A path from novel pathophysiology to innovative therapeutics","title-short":"Neurobiology of posttraumatic stress disorder (PTSD)","volume":"649","author":[{"family":"Abdallah","given":"Chadi G."},{"family":"Southwick","given":"Steven M."},{"family":"Krystal","given":"John H."}],"issued":{"date-parts":[["2017"]],"season":"10"}}},{"id":13874,"uris":["http://zotero.org/users/3162634/items/GLYP47VU"],"uri":["http://zotero.org/users/3162634/items/GLYP47VU"],"itemData":{"id":13874,"type":"article-journal","abstract":"Arthropods that prey on or parasitize other arthropods frequently employ those chemical cues that reliably indicate the presence of their prey or hosts. Eavesdropping on the sex pheromone signals emitted to attract mates allows many predators and parasitoids to find and attack adult insects. The sex pheromones are also useful signals for egg parasitoids since eggs are frequently deposited on nearby plants soon after mating. When the larval stages of insects or other arthropods are the targets, a different foraging strategy is employed. The larvae are often chemically inconspicuous, but when they feed on plants the injured plants respond by producing and releasing defensive chemicals. These plant chemicals may also serve as \"alarm signals\" that are exploited by predators and parasitoids to locate their victims. There is considerable evidence that the volatile \"alarm signals\" are induced by interactions of substances from the herbivore with the damaged plant tissue. A very different strategy is employed by several groups of spiders that remain stationary and send out chemical signals that attract prey. Some of these spiders prey exclusively on male moths. They attract the males by emitting chemicals identical to the sex pheromones emitted by female moths. These few examples indicate the diversity of foraging strategies of arthropod predators and parasitoids. It is likely that many other interesting chemically mediated interactions between arthropod hunters and their victims remain to be discovered. Increased understanding of these systems will enable us to capitalize on natural interactions to develop more ecologically sound, environmentally safe methods for biological control of insect pests of agriculture.","container-title":"Proceedings of the National Academy of Sciences of the United States of America","DOI":"10.1073/pnas.92.1.23","ISSN":"0027-8424","issue":"1","journalAbbreviation":"Proc. Natl. Acad. Sci. U.S.A.","language":"eng","note":"PMID: 7816823\nPMCID: PMC42811","page":"23-28","source":"PubMed","title":"The chemistry of eavesdropping, alarm, and deceit","volume":"92","author":[{"family":"Stowe","given":"M. K."},{"family":"Turlings","given":"T. C."},{"family":"Loughrin","given":"J. H."},{"family":"Lewis","given":"W. J."},{"family":"Tumlinson","given":"J. H."}],"issued":{"date-parts":[["1995",1,3]]}}}],"schema":"https://github.com/citation-style-language/schema/raw/master/csl-citation.json"} </w:instrText>
      </w:r>
      <w:r w:rsidR="00866B6D">
        <w:rPr>
          <w:rFonts w:ascii="Arial" w:hAnsi="Arial" w:cs="Arial"/>
          <w:noProof/>
          <w:color w:val="000000"/>
          <w:sz w:val="21"/>
          <w:szCs w:val="21"/>
        </w:rPr>
        <w:fldChar w:fldCharType="separate"/>
      </w:r>
      <w:r w:rsidR="00866B6D" w:rsidRPr="00866B6D">
        <w:rPr>
          <w:rFonts w:ascii="Arial" w:hAnsi="Arial" w:cs="Arial"/>
          <w:sz w:val="21"/>
        </w:rPr>
        <w:t>(1,2)</w:t>
      </w:r>
      <w:r w:rsidR="00866B6D">
        <w:rPr>
          <w:rFonts w:ascii="Arial" w:hAnsi="Arial" w:cs="Arial"/>
          <w:noProof/>
          <w:color w:val="000000"/>
          <w:sz w:val="21"/>
          <w:szCs w:val="21"/>
        </w:rPr>
        <w:fldChar w:fldCharType="end"/>
      </w:r>
      <w:r w:rsidRPr="00795B25">
        <w:rPr>
          <w:rFonts w:ascii="Arial" w:hAnsi="Arial" w:cs="Arial"/>
          <w:noProof/>
          <w:color w:val="000000"/>
          <w:sz w:val="21"/>
          <w:szCs w:val="21"/>
        </w:rPr>
        <w:t>. Curabitur dignissim sit amet nisl sed tempus. Nullam imperdiet iaculis nibh eget pulvinar. Phasellus quis quam ac dui pulvinar scelerisque ac et ex. In hac habitasse platea dictumst. Quisque nisi velit, pharetra sed mi sed, volutpat euismod sapien</w:t>
      </w:r>
      <w:r w:rsidR="00866B6D">
        <w:rPr>
          <w:rFonts w:ascii="Arial" w:hAnsi="Arial" w:cs="Arial"/>
          <w:noProof/>
          <w:color w:val="000000"/>
          <w:sz w:val="21"/>
          <w:szCs w:val="21"/>
        </w:rPr>
        <w:t xml:space="preserve"> </w:t>
      </w:r>
      <w:r w:rsidR="00866B6D">
        <w:rPr>
          <w:rFonts w:ascii="Arial" w:hAnsi="Arial" w:cs="Arial"/>
          <w:noProof/>
          <w:color w:val="000000"/>
          <w:sz w:val="21"/>
          <w:szCs w:val="21"/>
        </w:rPr>
        <w:fldChar w:fldCharType="begin"/>
      </w:r>
      <w:r w:rsidR="00866B6D">
        <w:rPr>
          <w:rFonts w:ascii="Arial" w:hAnsi="Arial" w:cs="Arial"/>
          <w:noProof/>
          <w:color w:val="000000"/>
          <w:sz w:val="21"/>
          <w:szCs w:val="21"/>
        </w:rPr>
        <w:instrText xml:space="preserve"> ADDIN ZOTERO_ITEM CSL_CITATION {"citationID":"LNuwYLiD","properties":{"formattedCitation":"(3)","plainCitation":"(3)","noteIndex":0},"citationItems":[{"id":16307,"uris":["http://zotero.org/users/3162634/items/FGK266WR"],"uri":["http://zotero.org/users/3162634/items/FGK266WR"],"itemData":{"id":16307,"type":"article-journal","abstract":"This study has been considered effect of Ferulago angulata essential oil on stabilizing soybean oil during accelerated storage. The essential oil was extracted by Clevenger-type apparatus. For analysis of the essential oil, GC/MS was used. Main components of the essential oil were monoterpene and sesquiterpene hydrocarbons. The essential oil of F. angulata at four concentrations, i.e. 125 (SBO-125), 250 (SBO-250), 500 (SBO-500) and SBO-Mixture (60 ppm TBHQ +60 ppm essential oil) were added to preheated refined soybean oil. TBHQ was used at 120 ppm as standard besides the control. Antioxidant activity index (AAI), free fatty acid (FFA) content, peroxide value (PV) and p-anisidine value (p-AnV) were served for appreciation of efficacy of F. angulata in stabilization of soybean oil. Results from different tests showed that SBO-mixture had highest effect and followed by SBO-TBHQ, SBO-250, SBO-125, SBO-500 and Ctrl. These results reveal F. angulata is a strong antioxidant and can be used instead of synthetic antioxidant.","container-title":"Journal of Food Science and Technology","DOI":"10.1007/s13197-015-2078-7","ISSN":"0022-1155","issue":"2","journalAbbreviation":"J Food Sci Technol","language":"eng","note":"PMID: 27162399\nPMCID: PMC4837741","page":"1199-1204","source":"PubMed","title":"Stabilization of soybean oil during accelerated storage by essential oil of ferulago angulata boiss","volume":"53","author":[{"family":"Sadeghi","given":"Ehsan"},{"family":"Mahtabani","given":"Aidin"},{"family":"Etminan","given":"Alireza"},{"family":"Karami","given":"Farahnaz"}],"issued":{"date-parts":[["2016",2]]}}}],"schema":"https://github.com/citation-style-language/schema/raw/master/csl-citation.json"} </w:instrText>
      </w:r>
      <w:r w:rsidR="00866B6D">
        <w:rPr>
          <w:rFonts w:ascii="Arial" w:hAnsi="Arial" w:cs="Arial"/>
          <w:noProof/>
          <w:color w:val="000000"/>
          <w:sz w:val="21"/>
          <w:szCs w:val="21"/>
        </w:rPr>
        <w:fldChar w:fldCharType="separate"/>
      </w:r>
      <w:r w:rsidR="00866B6D" w:rsidRPr="00866B6D">
        <w:rPr>
          <w:rFonts w:ascii="Arial" w:hAnsi="Arial" w:cs="Arial"/>
          <w:sz w:val="21"/>
        </w:rPr>
        <w:t>(3)</w:t>
      </w:r>
      <w:r w:rsidR="00866B6D">
        <w:rPr>
          <w:rFonts w:ascii="Arial" w:hAnsi="Arial" w:cs="Arial"/>
          <w:noProof/>
          <w:color w:val="000000"/>
          <w:sz w:val="21"/>
          <w:szCs w:val="21"/>
        </w:rPr>
        <w:fldChar w:fldCharType="end"/>
      </w:r>
      <w:r w:rsidRPr="00795B25">
        <w:rPr>
          <w:rFonts w:ascii="Arial" w:hAnsi="Arial" w:cs="Arial"/>
          <w:noProof/>
          <w:color w:val="000000"/>
          <w:sz w:val="21"/>
          <w:szCs w:val="21"/>
        </w:rPr>
        <w:t>. Duis consectetur, odio nec cursus eleifend, odio dui varius orci, non fringilla metus turpis et quam. Nulla semper eros non arcu vehicula, vitae finibus ligula mattis</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8yzFag9A","properties":{"formattedCitation":"(4\\uc0\\u8211{}6)","plainCitation":"(4–6)","noteIndex":0},"citationItems":[{"id":229,"uris":["http://zotero.org/users/3162634/items/N6EKBT2T"],"uri":["http://zotero.org/users/3162634/items/N6EKBT2T"],"itemData":{"id":229,"type":"article-journal","abstract":"OBJECTIVE: The role of behavioral inhibition (BI) and parenting for an unfavorable emotional trauma response (DSM-IV criterion A2) and post-traumatic stress disorder (PTSD) development is unclear.\nMETHOD: A community sample of adolescents and young adults (aged 14-24) was followed up over 10 years (N=2378). Traumatic events, criterion A2, and PTSD (according to DSM-IV-TR) were assessed using the M-CIDI. BI and parenting were assessed using the Retrospective Self-Report of Inhibition and the Questionnaire of Recalled Parenting Rearing Behavior. Multiple logistic regressions adjusted for sex, age, and number of traumata were used to examine associations of BI as well as maternal and paternal overprotection, rejection, and reduced emotional warmth with (i) criterion A2 in those with trauma (N=1794) and (ii) subsequent PTSD in those with criterion A2 (N=1160).\nRESULTS: Behavioral inhibition (BI; odds ratio, OR=1.32) and paternal overprotection (OR=1.27) predicted criterion A2 in those with trauma, while only BI (OR=1.53) predicted subsequent PTSD. BI and paternal emotional warmth interacted on subsequent PTSD (OR=1.32), that is, BI only predicted PTSD in those with low paternal emotional warmth.\nCONCLUSION: Our findings suggest that BI and adverse parenting increase the risk of an unfavorable emotional trauma response and subsequent PTSD. Paternal emotional warmth buffers the association between BI and PTSD development.","container-title":"Acta Psychiatrica Scandinavica","DOI":"10.1111/acps.12316","ISSN":"1600-0447","issue":"4","journalAbbreviation":"Acta Psychiatr Scand","language":"eng","note":"PMID: 25039395","page":"279-289","source":"PubMed","title":"The role of behavioral inhibition and parenting for an unfavorable emotional trauma response and PTSD","volume":"131","author":[{"family":"Asselmann","given":"E."},{"family":"Wittchen","given":"H.-U."},{"family":"Lieb","given":"R."},{"family":"Höfler","given":"M."},{"family":"Beesdo-Baum","given":"K."}],"issued":{"date-parts":[["2015",4]]}}},{"id":5103,"uris":["http://zotero.org/users/3162634/items/XEAVCVQ5"],"uri":["http://zotero.org/users/3162634/items/XEAVCVQ5"],"itemData":{"id":5103,"type":"article-journal","abstract":"Depressed moods do not arrive already hallmarked 'endogenous'. Depressions do, however, arrive as perceivable phenomena and the domain of clinically important and conceptually connected items includes about 20 items. This domain can be subdivided into items relevant for the severity of the depression and items relevant for the diagnosis of depression. It has been argued that Rasch models rather than multivariate analysis are the adequate models when studying the internal consistency of rating scales. Applying the Rasch models, it was found that 10 items have an additive relationship for the severity of depression and that 5 items were additively related for endogenous depression, whereas five other items were additively related for reactive depression. Moreover, it was found that the dimension of severity should be transformed to three categories: no depression, minor depression and major depression. The two dimensions: endogenous and reactive depression, respectively, should be transformed to the categories: definite endogenous depression, combined endogenous and reactive depression, definite reactive depression, probable endogenous depression and probable reactive depression. These categories for severity and for the diagnosis of depression have a high internal consistency. However, we still need studies to verify the external validity of these concepts.","container-title":"Psychopathology","DOI":"10.1159/000284457","ISSN":"0254-4962","issue":"6","journalAbbreviation":"Psychopathology","language":"eng","note":"PMID: 3303101","page":"327-339","source":"PubMed","title":"A categorical approach to depression by a three-dimensional system","volume":"19","author":[{"family":"Bech","given":"P."},{"family":"Allerup","given":"A."}],"issued":{"date-parts":[["1986"]]}}},{"id":18679,"uris":["http://zotero.org/users/3162634/items/DPYPI2X2"],"uri":["http://zotero.org/users/3162634/items/DPYPI2X2"],"itemData":{"id":18679,"type":"article-journal","abstract":"The ventricle morphology is described in hearts in which the entire atrial inputs are committed to a single chamber in the ventricular mass, this being considered the criterion for definition of the univentricular heart. Such a definition does not exclude from the univentricular category hearts with two chambers in their ventricular mass providing that the second chamber does not receive a direct atrial input. Three types of ventricular morphology were identified: hearts with a main chamber of left ventricular pattern and a rudimentary chamber of right ventricular pattern; hearts with a main chamber of right ventricular pattern and a rudimentary chamber of left ventricular pattern and hearts with a sole chamber in their ventricular mass of indeterminate pattern. Hearts may also exist of right or left ventricular type without rudimentary chambers. Variation was noted in type and position of the rudimentary chambers. Chambers of either right or left ventricular type were found supporting either or both great arteries (outlet chambers), and also without a direct outlet (trabecular pouches). Right ventricular rudimentary chambers were usually anterior but could be right or left sided; left ventricular chambers were posterior but again could be right or left sided. Hearts with these ventricular morphologies possessed either double inlet atrioventricular connexions, or absence of the right or left atrioventriuclar connexion. In double inlet ventricles, cases were observed with two valves, a common valve, one imperforate valve, and with straddling atrioventricular valves. A straddling valve was also found in hearts with absence of one atrioventricular connexion. Further variation was found in the pattern of arterial connexions. It is concluded that ventricular morphology is an important feature of the iniventricular heart but must be considered in the context of other important and variable features.","container-title":"Herz","ISSN":"0340-9937","issue":"2","journalAbbreviation":"Herz","language":"eng","note":"PMID: 447181","page":"184-197","source":"PubMed","title":"Ventricular morphology in the univentricular heart","volume":"4","author":[{"family":"Anderson","given":"R. H."},{"family":"Tynan","given":"M."},{"family":"Freedom","given":"R. M."},{"family":"Quero-Jiménez","given":"M."},{"family":"Macartney","given":"F. J."},{"family":"Shinebourne","given":"E. A."},{"family":"Wilkinson","given":"J. L."},{"family":"Becker","given":"A. E."}],"issued":{"date-parts":[["1979",4]]}}}],"schema":"https://github.com/citation-style-language/schema/raw/master/csl-citation.json"}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(4–6)</w:t>
      </w:r>
      <w:r w:rsidR="002B4D98">
        <w:rPr>
          <w:rFonts w:ascii="Arial" w:hAnsi="Arial" w:cs="Arial"/>
          <w:noProof/>
          <w:color w:val="000000"/>
          <w:sz w:val="21"/>
          <w:szCs w:val="21"/>
        </w:rPr>
        <w:fldChar w:fldCharType="end"/>
      </w:r>
      <w:r w:rsidRPr="00795B25">
        <w:rPr>
          <w:rFonts w:ascii="Arial" w:hAnsi="Arial" w:cs="Arial"/>
          <w:noProof/>
          <w:color w:val="000000"/>
          <w:sz w:val="21"/>
          <w:szCs w:val="21"/>
        </w:rPr>
        <w:t>. Phasellus molestie est faucibus arcu consectetur, eu cursus tortor commodo.</w:t>
      </w:r>
    </w:p>
    <w:p w14:paraId="61152180" w14:textId="5D1AE1F4"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Maecenas pretium pulvinar libero, </w:t>
      </w:r>
      <w:r w:rsidRPr="00514772">
        <w:rPr>
          <w:rFonts w:ascii="Arial" w:hAnsi="Arial" w:cs="Arial"/>
          <w:i/>
          <w:iCs/>
          <w:noProof/>
          <w:color w:val="000000"/>
          <w:sz w:val="21"/>
          <w:szCs w:val="21"/>
        </w:rPr>
        <w:t>vel placerat mauris</w:t>
      </w:r>
      <w:r w:rsidRPr="00795B25">
        <w:rPr>
          <w:rFonts w:ascii="Arial" w:hAnsi="Arial" w:cs="Arial"/>
          <w:noProof/>
          <w:color w:val="000000"/>
          <w:sz w:val="21"/>
          <w:szCs w:val="21"/>
        </w:rPr>
        <w:t xml:space="preserve"> vehicula ac</w:t>
      </w:r>
      <w:r w:rsidR="006E1799">
        <w:rPr>
          <w:rFonts w:ascii="Arial" w:hAnsi="Arial" w:cs="Arial"/>
          <w:noProof/>
          <w:color w:val="000000"/>
          <w:sz w:val="21"/>
          <w:szCs w:val="21"/>
        </w:rPr>
        <w:t xml:space="preserve"> </w:t>
      </w:r>
      <w:r w:rsidR="006E1799">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Dn6x2QNo","properties":{"formattedCitation":"(7)","plainCitation":"(7)","noteIndex":0},"citationItems":[{"id":14368,"uris":["http://zotero.org/users/3162634/items/4QJBVPQG"],"uri":["http://zotero.org/users/3162634/items/4QJBVPQG"],"itemData":{"id":14368,"type":"article-journal","abstract":"Hemocytic immune reactions were investigated in the chilopod myriapods Scolopendra cingulata and Lithobius forficatus. Hemocytes were taken into cell culture medium and challenged with latex beads, pre-fixed rat erythrocytes, or bacteria. After 1 to 4 hours in vitro hemocyte preparations were processed for electron microscopy. All tested particles were phagocytosed by the hemocytes and where possible degrated. In both animals the phagocytic cells inside the nodules were found to be tightly encircled by neighboring hemocytes. Aggregation of hemocytes and nodule formation significantly varied with the nature of the particles added. Bacteria stimulated nodules were larger, more compact and more regular in shape than aggregations formed in the presence of latex beads or fixed erythrocytes. The results are discussed with respect to investigations on cytokines, attraction factors and gap junctions in other invertebrates.","container-title":"In Vivo (Athens, Greece)","ISSN":"0258-851X","issue":"2","journalAbbreviation":"In Vivo","language":"eng","note":"PMID: 8744795","page":"161-167","source":"PubMed","title":"Microbial induced hemocytic immune reactions in chilopods","volume":"10","author":[{"family":"Nevermann","given":"L."},{"family":"Kaiser","given":"H. E."},{"family":"Xylander","given":"W. E."}],"issued":{"date-parts":[["1996",4]]}}}],"schema":"https://github.com/citation-style-language/schema/raw/master/csl-citation.json"} </w:instrText>
      </w:r>
      <w:r w:rsidR="006E1799">
        <w:rPr>
          <w:rFonts w:ascii="Arial" w:hAnsi="Arial" w:cs="Arial"/>
          <w:noProof/>
          <w:color w:val="000000"/>
          <w:sz w:val="21"/>
          <w:szCs w:val="21"/>
        </w:rPr>
        <w:fldChar w:fldCharType="separate"/>
      </w:r>
      <w:r w:rsidR="002B4D98" w:rsidRPr="002B4D98">
        <w:rPr>
          <w:rFonts w:ascii="Arial" w:hAnsi="Arial" w:cs="Arial"/>
          <w:sz w:val="21"/>
        </w:rPr>
        <w:t>(7)</w:t>
      </w:r>
      <w:r w:rsidR="006E1799">
        <w:rPr>
          <w:rFonts w:ascii="Arial" w:hAnsi="Arial" w:cs="Arial"/>
          <w:noProof/>
          <w:color w:val="000000"/>
          <w:sz w:val="21"/>
          <w:szCs w:val="21"/>
        </w:rPr>
        <w:fldChar w:fldCharType="end"/>
      </w:r>
      <w:r w:rsidRPr="00795B25">
        <w:rPr>
          <w:rFonts w:ascii="Arial" w:hAnsi="Arial" w:cs="Arial"/>
          <w:noProof/>
          <w:color w:val="000000"/>
          <w:sz w:val="21"/>
          <w:szCs w:val="21"/>
        </w:rPr>
        <w:t>. Donec pretium fringilla sapien efficitur hendrerit. Mauris eu porttitor neque. Nulla sit amet consequat eros, nec venenatis elit. Morbi auctor arcu quis vehicula finibus. Suspendisse ultricies justo id neque finibus, id mollis tellus fringilla. Duis ac tincidunt nulla. Phasellus condimentum tincidunt nisi, id tempor ante interdum non.</w:t>
      </w:r>
    </w:p>
    <w:p w14:paraId="02B3081E" w14:textId="4F529670"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Integer nec neque lacus. Sed tincidunt pretium mi, eu porttitor diam cursus efficitur</w:t>
      </w:r>
      <w:r w:rsidR="006E1799">
        <w:rPr>
          <w:rFonts w:ascii="Arial" w:hAnsi="Arial" w:cs="Arial"/>
          <w:noProof/>
          <w:color w:val="000000"/>
          <w:sz w:val="21"/>
          <w:szCs w:val="21"/>
        </w:rPr>
        <w:t xml:space="preserve"> </w:t>
      </w:r>
      <w:r w:rsidR="006E1799">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LCNnuShY","properties":{"formattedCitation":"(8)","plainCitation":"(8)","noteIndex":0},"citationItems":[{"id":19203,"uris":["http://zotero.org/users/3162634/items/8YX9YHGW"],"uri":["http://zotero.org/users/3162634/items/8YX9YHGW"],"itemData":{"id":19203,"type":"article-journal","abstract":"Several lines of evidence have implicated the existence of the brain's default network during passive or undirected mental states. Nevertheless, results on the emergence of the default network in very young pediatric subjects are lacking. Using resting functional magnetic resonance imaging in healthy pediatric subjects between 2 weeks and 2 years of age, we describe the temporal evolution of the default network in a critical, previously unstudied, period of early human brain development. Our results demonstrate that a primitive and incomplete default network is present in 2-week-olds, followed by a marked increase in the number of brain regions exhibiting connectivity, and the percent of connection at 1 year of age. By 2 years of age, the default network becomes similar to that observed in adults, including medial prefrontal cortex (MPFC), posterior cingulate cortex/retrosplenial (PCC/Rsp), inferior parietal lobule, lateral temporal cortex, and hippocampus regions. While the anatomical representations of the default network highly depend on age, the PCC/Rsp is consistently observed at in both age groups and is central to the most and strongest connections of the default network, suggesting that PCC/Rsp may serve as the main \"hub\" of the default network as this region does in adults. In addition, although not as remarkable as the PCC/Rsp, the MPFC also emerges as a potential secondary hub starting from 1 year of age. These findings reveal the temporal development of the default network in the critical period of early brain development and offer new insights into the emergence of brain default network.","container-title":"Proceedings of the National Academy of Sciences of the United States of America","DOI":"10.1073/pnas.0811221106","ISSN":"1091-6490","issue":"16","journalAbbreviation":"Proc. Natl. Acad. Sci. U.S.A.","language":"eng","note":"PMID: 19351894\nPMCID: PMC2672537","page":"6790-6795","source":"PubMed","title":"Evidence on the emergence of the brain's default network from 2-week-old to 2-year-old healthy pediatric subjects","volume":"106","author":[{"family":"Gao","given":"Wei"},{"family":"Zhu","given":"Hongtu"},{"family":"Giovanello","given":"Kelly S."},{"family":"Smith","given":"J. Keith"},{"family":"Shen","given":"Dinggang"},{"family":"Gilmore","given":"John H."},{"family":"Lin","given":"Weili"}],"issued":{"date-parts":[["2009",4,21]]}}}],"schema":"https://github.com/citation-style-language/schema/raw/master/csl-citation.json"} </w:instrText>
      </w:r>
      <w:r w:rsidR="006E1799">
        <w:rPr>
          <w:rFonts w:ascii="Arial" w:hAnsi="Arial" w:cs="Arial"/>
          <w:noProof/>
          <w:color w:val="000000"/>
          <w:sz w:val="21"/>
          <w:szCs w:val="21"/>
        </w:rPr>
        <w:fldChar w:fldCharType="separate"/>
      </w:r>
      <w:r w:rsidR="002B4D98" w:rsidRPr="002B4D98">
        <w:rPr>
          <w:rFonts w:ascii="Arial" w:hAnsi="Arial" w:cs="Arial"/>
          <w:sz w:val="21"/>
        </w:rPr>
        <w:t>(8)</w:t>
      </w:r>
      <w:r w:rsidR="006E1799">
        <w:rPr>
          <w:rFonts w:ascii="Arial" w:hAnsi="Arial" w:cs="Arial"/>
          <w:noProof/>
          <w:color w:val="000000"/>
          <w:sz w:val="21"/>
          <w:szCs w:val="21"/>
        </w:rPr>
        <w:fldChar w:fldCharType="end"/>
      </w:r>
      <w:r w:rsidRPr="00795B25">
        <w:rPr>
          <w:rFonts w:ascii="Arial" w:hAnsi="Arial" w:cs="Arial"/>
          <w:noProof/>
          <w:color w:val="000000"/>
          <w:sz w:val="21"/>
          <w:szCs w:val="21"/>
        </w:rPr>
        <w:t>. Vivamus nisl ante, sollicitudin in justo sed, laoreet ultrices leo. Suspendisse diam augue, rutrum nec condimentum ut, aliquam id ex. Morbi dictum nec velit vitae sodales. Curabitur finibus purus sit amet sapien rhoncus facilisis. Pellentesque porttitor et enim dignissim feugiat. Maecenas vulputate dolor in commodo euismod. Nulla semper blandit augue nec semper. Sed in nisi condimentum purus consectetur suscipit. Etiam interdum tempor fermentum</w:t>
      </w:r>
      <w:r w:rsidR="006E1799">
        <w:rPr>
          <w:rFonts w:ascii="Arial" w:hAnsi="Arial" w:cs="Arial"/>
          <w:noProof/>
          <w:color w:val="000000"/>
          <w:sz w:val="21"/>
          <w:szCs w:val="21"/>
        </w:rPr>
        <w:t xml:space="preserve"> </w:t>
      </w:r>
      <w:r w:rsidR="006E1799">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Y1vsNbc4","properties":{"formattedCitation":"(9,10)","plainCitation":"(9,10)","noteIndex":0},"citationItems":[{"id":20246,"uris":["http://zotero.org/users/3162634/items/IMDRKR84"],"uri":["http://zotero.org/users/3162634/items/IMDRKR84"],"itemData":{"id":20246,"type":"article-journal","abstract":"Cadmium is a toxic heavy metal, causing serious environmental and human health problems. Conventional methods for removing cadmium from wastewater are expensive and inefficient for low concentrations. Microbial electrolysis cells (MECs) can simultaneously treat wastewater, produce hydrogen gas, and remove heavy metals with low energy requirements. Lab-scale MECs were operated to remove cadmium under various electric conditions: applied voltages of 0.4, 0.6, 0.8, and 1.0 V; and a fixed cathode potential of -1.0 V vs. Ag/AgCl. Regardless of the electric condition, rapid removal of cadmium was demonstrated (50-67% in 24 h); however, cadmium concentration in solution increased after the electric current dropped with depleted organic substrate under applied voltage conditions. For the fixed cathode potential, the electric current was maintained even after substrate depletion and thus cadmium concentration did not increase. These results can be explained by three different removal mechanisms: cathodic reduction; Cd(OH)2 precipitation; and CdCO3 precipitation. When the current decreased with depleted substrates, local pH at the cathode was no longer high due to slowed hydrogen evolution reaction (2H(+)+2e(-)→H2); thus, the precipitated Cd(OH)2 and CdCO3 started dissolving. To prevent their dissolution, sufficient organic substrates should be provided when MECs are used for cadmium removal.","container-title":"Journal of Hazardous Materials","DOI":"10.1016/j.jhazmat.2016.02.062","ISSN":"1873-3336","journalAbbreviation":"J. Hazard. Mater.","language":"eng","note":"PMID: 26970043","page":"134-141","source":"PubMed","title":"Cadmium (II) removal mechanisms in microbial electrolysis cells","volume":"311","author":[{"family":"Colantonio","given":"Natalie"},{"family":"Kim","given":"Younggy"}],"issued":{"date-parts":[["2016",7,5]]}}},{"id":12815,"uris":["http://zotero.org/users/3162634/items/WSA4LADQ"],"uri":["http://zotero.org/users/3162634/items/WSA4LADQ"],"itemData":{"id":12815,"type":"article-journal","container-title":"EMBO reports","DOI":"10.15252/embr.201846866","ISSN":"1469-3178","issue":"10","journalAbbreviation":"EMBO Rep.","language":"eng","note":"PMID: 30158143\nPMCID: PMC6172453","source":"PubMed","title":"Scientific honesty and publicly shared lab notebooks: Sharing lab notebooks along with publication would increase transparency and help to improve honesty when reporting results","title-short":"Scientific honesty and publicly shared lab notebooks","volume":"19","author":[{"family":"Steensel","given":"Bas","non-dropping-particle":"van"}],"issued":{"date-parts":[["2018"]]}}}],"schema":"https://github.com/citation-style-language/schema/raw/master/csl-citation.json"} </w:instrText>
      </w:r>
      <w:r w:rsidR="006E1799">
        <w:rPr>
          <w:rFonts w:ascii="Arial" w:hAnsi="Arial" w:cs="Arial"/>
          <w:noProof/>
          <w:color w:val="000000"/>
          <w:sz w:val="21"/>
          <w:szCs w:val="21"/>
        </w:rPr>
        <w:fldChar w:fldCharType="separate"/>
      </w:r>
      <w:r w:rsidR="002B4D98" w:rsidRPr="002B4D98">
        <w:rPr>
          <w:rFonts w:ascii="Arial" w:hAnsi="Arial" w:cs="Arial"/>
          <w:sz w:val="21"/>
        </w:rPr>
        <w:t>(9,10)</w:t>
      </w:r>
      <w:r w:rsidR="006E1799">
        <w:rPr>
          <w:rFonts w:ascii="Arial" w:hAnsi="Arial" w:cs="Arial"/>
          <w:noProof/>
          <w:color w:val="000000"/>
          <w:sz w:val="21"/>
          <w:szCs w:val="21"/>
        </w:rPr>
        <w:fldChar w:fldCharType="end"/>
      </w:r>
      <w:r w:rsidRPr="00795B25">
        <w:rPr>
          <w:rFonts w:ascii="Arial" w:hAnsi="Arial" w:cs="Arial"/>
          <w:noProof/>
          <w:color w:val="000000"/>
          <w:sz w:val="21"/>
          <w:szCs w:val="21"/>
        </w:rPr>
        <w:t>. Cras pulvinar rhoncus tortor, quis scelerisque ex eleifend a. Fusce semper augue vitae urna luctus dapibus. Sed lacinia justo nisl, vitae rutrum libero interdum in.</w:t>
      </w:r>
    </w:p>
    <w:p w14:paraId="294B15E1" w14:textId="58FDB65A"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In vel pellentesque est, eu placerat felis. Sed porttitor felis in aliquet imperdiet. Donec porttitor sapien purus, vitae semper diam eleifend eget</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yycQsfST","properties":{"formattedCitation":"(11\\uc0\\u8211{}13)","plainCitation":"(11–13)","noteIndex":0},"citationItems":[{"id":18125,"uris":["http://zotero.org/users/3162634/items/IAPGZQKZ"],"uri":["http://zotero.org/users/3162634/items/IAPGZQKZ"],"itemData":{"id":18125,"type":"article-journal","abstract":"SURGERY, INTERNAL MEDICINE, OR TRANSITION YEAR FOR INTERNS GOING INTO INTERVENTIONAL RADIOLOGY: Comparison of intern year specialty in regards to preparation for interventional radiology (IR) with results and analysis of the resident, fellow, and student (RFS) survey of trainees.\nPURPOSE: Evaluate trainee experiences regarding internship variables with respect to IR preparedness.\nMATERIALS: A questionnaire created by members of the Society of Interventional Radiology (SIR) RFS IR Residency Training Committee was distributed to RFS members at SIR 2017 conference and via an online survey. The anonymous survey consisted of Likert scale, dichotomous questions, and free response questions. Results were analyzed utilizing a one-way analysis of variance (ANOVA), calculation of mean, standard deviation (SD) and 95% confidence interval (CI).\nRESULTS: A total of 112 residents completed the survey (47 Surgery, 33 Medicine, 29 Transitional Year [TY]), and 3 nontraditional internships categorized as other (2 Pediatric, and 1 Neurosurgery). The average procedures performed as intern were; Surgery: 51-75, Medicine: 0-25, TY: 25-50, Other: 25-50. Trainees who completed a surgical internship reported an overall higher comfort level with procedures (Mean: 4.23, SD: 0.81, CI: 0.21, p &lt; 0.00001) compared to medicine interns (2.84, SD: 1.42, CI: 0.48), and TY interns (3.03, SD: 1.48, CI: 0.55). There was no statistical difference between subgroups when comparing; months of night float, maximum consecutive hours worked, ancillary work, etc. Preliminary surgery residents reported a higher quality preparation for IR in their programs (4.3, SD: 0.93, CI: 0.27, p &lt; 0.01) in comparison to Medicine (3.4, SD: 1.1, CI: 0.4), and TY residents (3.6, SD: 1.2, CI: 0.46). Ninety-four percent of surgery residents would choose to repeat a surgery internship. TY residents were next likely to choose the same type of internship at 83%, while the remaining 17% would choose to do surgery year. Medicine residents were least likely to choose medicine again, 23/33 (70%). Surgery, TY, and then medicine residents would choose the same program again (83%, 79%, 75%, respectively).\nCONCLUSION: In alignment with SIR recommendations, the general consensus of trainees surveyed support that a preliminary surgery internship provides the greatest preparation for IR training. Surgical internships provided the greatest opportunity to perform procedures, corresponding with greater comfort levels, and self-reported better preparedness for future training in IR.","container-title":"Academic Radiology","DOI":"10.1016/j.acra.2019.03.016","ISSN":"1878-4046","issue":"11","journalAbbreviation":"Acad Radiol","language":"eng","note":"PMID: 31064726","page":"1555-1561","source":"PubMed","title":"Survey of Intern Year Experiences for Those Going into Interventional Radiology: Comparing Surgery, Medicine and Transitional Year Internships","title-short":"Survey of Intern Year Experiences for Those Going into Interventional Radiology","volume":"26","author":[{"family":"Cline","given":"Jared"},{"family":"Duncan","given":"David P."},{"family":"Molloy","given":"Chris"},{"family":"Zuberi","given":"Omar S."}],"issued":{"date-parts":[["2019"]]}}},{"id":1878,"uris":["http://zotero.org/users/3162634/items/FVWIYVMS"],"uri":["http://zotero.org/users/3162634/items/FVWIYVMS"],"itemData":{"id":1878,"type":"article-journal","container-title":"Sleep Medicine","DOI":"10.1016/j.sleep.2011.05.001","ISSN":"1878-5506","issue":"2","journalAbbreviation":"Sleep Med.","language":"eng","note":"PMID: 21924952","page":"211-212","source":"PubMed","title":"RBD and antidepressants","volume":"13","author":[{"family":"Ju","given":"Yo-El"},{"family":"Larson-Prior","given":"Linda"},{"family":"Duntley","given":"Stephen"}],"issued":{"date-parts":[["2012",2]]}}},{"id":21258,"uris":["http://zotero.org/users/3162634/items/PMK54TCI"],"uri":["http://zotero.org/users/3162634/items/PMK54TCI"],"itemData":{"id":21258,"type":"article-journal","abstract":"As the processability of fresh and reconstituted milk protein concentrates crucially depends on their rheological properties, a considerable amount of studies focuses on this topic. By means of a direct comparison, we are the first to clearly show that distinct rheological differences can exist between fresh and reconstituted milk protein concentrates under standard and processing conditions. We show that reconstituted milk protein concentrates made from commercial milk protein powders exhibit higher viscosities than fresh ones. Furthermore, we found that during intense shearing, the reconstituted milk protein concentrates undergo a loss of structure, which manifests itself in a significant viscosity decrease. The inverse effect can be observed for fresh milk protein concentrates. Besides these differences, the reconstituted milk protein concentrates exhibit gel-like properties above a certain protein content. We attribute these observations to protein-protein interactions in the milk protein powder, which are induced by manufacturing and/or storing conditions. Our results demonstrate that rheological properties of fresh and reconstituted milk protein concentrates are quantitatively not invariably interchangeable. Thus, the purpose of this article is to emphasize the necessity for researchers and engineers to take into account the rheological particularities of different milk protein concentrates prior to usage.","container-title":"Journal of Colloid and Interface Science","DOI":"10.1016/j.jcis.2018.11.048","ISSN":"1095-7103","journalAbbreviation":"J Colloid Interface Sci","language":"eng","note":"PMID: 30469114","page":"458-464","source":"PubMed","title":"Rheological properties of fresh and reconstituted milk protein concentrates under standard and processing conditions","volume":"537","author":[{"family":"Kieferle","given":"I."},{"family":"Hiller","given":"K."},{"family":"Kulozik","given":"U."},{"family":"Germann","given":"N."}],"issued":{"date-parts":[["2019",3,1]]}}}],"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(11–13)</w:t>
      </w:r>
      <w:r w:rsidR="002B4D98">
        <w:rPr>
          <w:rFonts w:ascii="Arial" w:hAnsi="Arial" w:cs="Arial"/>
          <w:noProof/>
          <w:color w:val="000000"/>
          <w:sz w:val="21"/>
          <w:szCs w:val="21"/>
        </w:rPr>
        <w:fldChar w:fldCharType="end"/>
      </w:r>
      <w:r w:rsidRPr="00795B25">
        <w:rPr>
          <w:rFonts w:ascii="Arial" w:hAnsi="Arial" w:cs="Arial"/>
          <w:noProof/>
          <w:color w:val="000000"/>
          <w:sz w:val="21"/>
          <w:szCs w:val="21"/>
        </w:rPr>
        <w:t>. Sed condimentum massa vel mi placerat rutrum. Cras in aliquet nisl. Sed blandit pharetra tellus ac mattis. Vestibulum venenatis, nisl eget fermentum consectetur, arcu velit cursus nulla, ut euismod dui quam sed sapien.</w:t>
      </w:r>
    </w:p>
    <w:p w14:paraId="40932E4F" w14:textId="2425D7CF"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b/>
          <w:bCs/>
          <w:i/>
          <w:iCs/>
          <w:noProof/>
          <w:color w:val="000000"/>
          <w:sz w:val="21"/>
          <w:szCs w:val="21"/>
        </w:rPr>
        <w:t>Interdum et malesuada fames</w:t>
      </w:r>
      <w:r w:rsidRPr="00795B25">
        <w:rPr>
          <w:rFonts w:ascii="Arial" w:hAnsi="Arial" w:cs="Arial"/>
          <w:noProof/>
          <w:color w:val="000000"/>
          <w:sz w:val="21"/>
          <w:szCs w:val="21"/>
        </w:rPr>
        <w:t xml:space="preserve"> ac ante ipsum primis in faucibus. Quisque in erat nibh. Aliquam eu eros velit. Nam pretium urna id pharetra eleifend. Pellentesque consectetur ultrices dui vel hendrerit. Suspendisse non egestas lacus, vitae cursus turpis. Quisque fringilla elit non finibus mollis. Ut tortor dui, rhoncus eget magna eget, fringilla suscipit tellus. Phasellus viverra ipsum quis auctor molestie. Nulla sodales accumsan felis vel rhoncus</w:t>
      </w:r>
      <w:r w:rsidR="006E1799">
        <w:rPr>
          <w:rFonts w:ascii="Arial" w:hAnsi="Arial" w:cs="Arial"/>
          <w:noProof/>
          <w:color w:val="000000"/>
          <w:sz w:val="21"/>
          <w:szCs w:val="21"/>
        </w:rPr>
        <w:t xml:space="preserve"> </w:t>
      </w:r>
      <w:r w:rsidR="006E1799">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GrnMetUs","properties":{"formattedCitation":"(14,15)","plainCitation":"(14,15)","noteIndex":0},"citationItems":[{"id":23480,"uris":["http://zotero.org/users/3162634/items/DPWNB83C"],"uri":["http://zotero.org/users/3162634/items/DPWNB83C"],"itemData":{"id":23480,"type":"article-journal","abstract":"The chapter examined solid lipid nanoparticles (SLN) and microemulsions, chosen as carriers of drugs, administered in vivo to be transported to the central nervous system. Drugs of different structures and for different therapies have been studied such as doxorubicin SLN stealth and nonstealth administered in rats by intravenous route, apomorphine SLN administered in rats by duodenal route, melatonin SLN administered by transdermal and oral routes in humans, and apomorphine microemulsion administered by transdermal route in Parkinson's patients. The pharmacokinetics of the drug, followed in most studies, put in evidence that the many important pharmacokinetic parameters were notably improved versus the drug alone or in a commercial formulation.","container-title":"Progress in Brain Research","DOI":"10.1016/S0079-6123(08)80010-6","ISSN":"1875-7855","journalAbbreviation":"Prog. Brain Res.","language":"eng","note":"PMID: 20302835","page":"181-192","source":"PubMed","title":"Chapter 10 - Solid lipid nanoparticles and microemulsions for drug delivery The CNS","volume":"180","author":[{"family":"Gasco","given":"Maria Rosa"},{"family":"Priano","given":"Lorenzo"},{"family":"Zara","given":"Gian Paolo"}],"issued":{"date-parts":[["2009"]]}}},{"id":5427,"uris":["http://zotero.org/users/3162634/items/7P62LL6A"],"uri":["http://zotero.org/users/3162634/items/7P62LL6A"],"itemData":{"id":5427,"type":"article-journal","abstract":"Internet-based, or computerised, cognitive behaviour therapy (CBT) can be used to treat patients with depression or anxiety. Patients are engaged in structured programs of care, with several programs available either at no cost or moderate cost. Internet CBT (iCBT) may be particularly suited to patients with mobility issues or living in rural or remote areas. Although there are no adverse effects, clinicians should assess patients for risk issues and the need for more immediate assistance before recommending iCBT. Monitoring effectiveness of any intervention for the patient is important. iCBT has National Health and Medical Research Council (NHMRC) Level I evidence of efficacy.","container-title":"Australian Family Physician","ISSN":"0300-8495","issue":"11","journalAbbreviation":"Aust Fam Physician","language":"eng","note":"PMID: 24217103","page":"803-804","source":"PubMed","title":"Internet-based cognitive behaviour therapy for depression and anxiety","volume":"42","author":[{"literal":"Handbook of Non Drug Intervention (HANDI) Project Team"}],"issued":{"date-parts":[["2013",11]]}}}],"schema":"https://github.com/citation-style-language/schema/raw/master/csl-citation.json"} </w:instrText>
      </w:r>
      <w:r w:rsidR="006E1799">
        <w:rPr>
          <w:rFonts w:ascii="Arial" w:hAnsi="Arial" w:cs="Arial"/>
          <w:noProof/>
          <w:color w:val="000000"/>
          <w:sz w:val="21"/>
          <w:szCs w:val="21"/>
        </w:rPr>
        <w:fldChar w:fldCharType="separate"/>
      </w:r>
      <w:r w:rsidR="002B4D98" w:rsidRPr="002B4D98">
        <w:rPr>
          <w:rFonts w:ascii="Arial" w:hAnsi="Arial" w:cs="Arial"/>
          <w:sz w:val="21"/>
        </w:rPr>
        <w:t>(14,15)</w:t>
      </w:r>
      <w:r w:rsidR="006E1799">
        <w:rPr>
          <w:rFonts w:ascii="Arial" w:hAnsi="Arial" w:cs="Arial"/>
          <w:noProof/>
          <w:color w:val="000000"/>
          <w:sz w:val="21"/>
          <w:szCs w:val="21"/>
        </w:rPr>
        <w:fldChar w:fldCharType="end"/>
      </w:r>
      <w:r w:rsidRPr="00795B25">
        <w:rPr>
          <w:rFonts w:ascii="Arial" w:hAnsi="Arial" w:cs="Arial"/>
          <w:noProof/>
          <w:color w:val="000000"/>
          <w:sz w:val="21"/>
          <w:szCs w:val="21"/>
        </w:rPr>
        <w:t>. Etiam velit ante, feugiat non mauris ut, pretium hendrerit diam</w:t>
      </w:r>
      <w:r w:rsidR="006E1799">
        <w:rPr>
          <w:rFonts w:ascii="Arial" w:hAnsi="Arial" w:cs="Arial"/>
          <w:noProof/>
          <w:color w:val="000000"/>
          <w:sz w:val="21"/>
          <w:szCs w:val="21"/>
        </w:rPr>
        <w:t xml:space="preserve"> </w:t>
      </w:r>
      <w:r w:rsidR="006E1799">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xbhcDotT","properties":{"formattedCitation":"(16\\uc0\\u8211{}18)","plainCitation":"(16–18)","noteIndex":0},"citationItems":[{"id":44,"uris":["http://zotero.org/users/3162634/items/NEA7BEEX"],"uri":["http://zotero.org/users/3162634/items/NEA7BEEX"],"itemData":{"id":44,"type":"book","publisher":"Guilford Press","source":"Google Scholar","title":"Treating the trauma of rape: Cognitive-behavioral therapy for PTSD","title-short":"Treating the trauma of rape","URL":"https://www.google.com/books?hl=ru&amp;lr=&amp;id=kVpKXYk57gkC&amp;oi=fnd&amp;pg=PA1&amp;dq=PTSD&amp;ots=ylKSAxnLq8&amp;sig=KyusLBETE-diaTVhWVpbrQL3d8Q","author":[{"family":"Foa","given":"Edna B."},{"family":"Rothbaum","given":"Barbara Olasov"}],"accessed":{"date-parts":[["2016",7,12]]},"issued":{"date-parts":[["2001"]]}}},{"id":16134,"uris":["http://zotero.org/users/3162634/items/9NN37ZRR"],"uri":["http://zotero.org/users/3162634/items/9NN37ZRR"],"itemData":{"id":16134,"type":"chapter","abstract":"Opportunistic infections (OI) are those caused by microorganisms that are, in normal circumstances, not virulent enough to cause clinical infection. These organisms can take advantage of a host with an inactive or less active immune system in order to cause disease. OI is relevant to current medical practices because they remain a major cause of morbidity and mortality in patients living with HIV.  With the introduction of highly active antiretroviral therapy (HAART) in 1995, the morbidity and mortality associated with HIV and OI decreased significantly. Risk of opportunistic infections increases when a patient's CD4 count declines under 200 cells/mm3, but can still occur in the setting of higher CD4 counts. Prevention of opportunistic infections in HIV patients involves a multistep approach that is centered around the use of HAART, vaccination and occasional use of prophylactic antibiotics. HAART improves CD4 counts significantly and thus is the single most effective measure in preventing OI. Vaccination is an effective measure but it prevents only some specific infections. The use of prophylactic antibiotics is limited to patients with very low CD4 counts that are at the highest risk for OI, and they are intended as a short term intervention and shouldn’t be the mainstay of treatment. This activity reviews HIV methods of preventing opportunistic infections and highlights the role of the interprofessional team in educating patients on the available options.","call-number":"NBK513345","container-title":"StatPearls","event-place":"Treasure Island (FL)","language":"eng","note":"PMID: 30020717","publisher":"StatPearls Publishing","publisher-place":"Treasure Island (FL)","source":"PubMed","title":"HIV Prevention Of Opportunistic Infections","URL":"http://www.ncbi.nlm.nih.gov/books/NBK513345/","author":[{"family":"Sadiq","given":"Usama"},{"family":"Venkateswaran","given":"Seetha"},{"family":"Guzman","given":"Nilmarie"}],"accessed":{"date-parts":[["2020",8,29]]},"issued":{"date-parts":[["2020"]]}},"locator":"5-"},{"id":15315,"uris":["http://zotero.org/users/3162634/items/DXFW33P4"],"uri":["http://zotero.org/users/3162634/items/DXFW33P4"],"itemData":{"id":15315,"type":"chapter","abstract":"5-Hydroxytryptamine (5-HT), commonly known as serotonin, has diverse physiological roles as a neurotransmitter in the central nervous system (1). 5-HT is involved in regulation and modulation of sleep, affective and personality behaviors, and pain. It also is a regulator of smooth muscle function and platelet aggregation. The brain cortical 5-HT system has been implicated in several neuropsychiatric disorders, including major depression, anxiety, schizophrenia, and obsessive-compulsive disorder (2, 3). The effects of 5-HT are mediated by as many as seven classes of receptor populations (5-HT1 to 5-HT7), many of which include several subtypes (4). There are five receptor subtypes within the G-protein–coupled 5-HT1 receptor family: 5-HT1A, 5-HT1B, 5-HT1D, 5-HT1E, and 5-HT1F. 5-HT1B Receptors are abundantly present in the pallidum, substantia nigra, ventral striatum, and visual cortex. 5-HT1B Receptors are implicated in anxiety, depression, aggressive behavior, and substance abuse disorders (5-9), and these receptors play an important role in modulation of synaptic release of 5-HT (10). Thus, there is a need for selective ligands to investigate the pharmacological role of 5-HT1B receptors with positron emission tomography (PET) imaging. 5-Methyl-8-(4-methyl-piperazin-1-yl)-4-oxo-4H-chromene-2-carboxylic acid (4-morpholin-4-yl-phenyl)-amide (AZ10419369) was reported to be a potent ligand of 5-HT1B receptors (inhibition constant (Ki) = 0.8 nM) (11). This led to the development of 5-methyl-8-(4-[11C]methyl-piperazin-1-yl)-4-oxo-4H-chromene-2-carboxylic acid (4-morpholin-4-yl-phenyl)-amide ([11C]AZ10419369) as a useful tool for in vivo PET imaging of the 5-HT1B receptor (11).","call-number":"NBK23439","container-title":"Molecular Imaging and Contrast Agent Database (MICAD)","event-place":"Bethesda (MD)","language":"eng","note":"PMID: 20641638","publisher":"National Center for Biotechnology Information (US)","publisher-place":"Bethesda (MD)","source":"PubMed","title":"5-Methyl-8-(4-[11C]methyl-piperazin-1-yl)-4-oxo-4H-chromene-2-carboxylic acid (4-morpholin-4-yl-phenyl)-amide","URL":"http://www.ncbi.nlm.nih.gov/books/NBK23439/","author":[{"family":"Leung","given":"Kam"}],"accessed":{"date-parts":[["2020",8,29]]},"issued":{"date-parts":[["2004"]]}},"locator":"-8-"}],"schema":"https://github.com/citation-style-language/schema/raw/master/csl-citation.json"} </w:instrText>
      </w:r>
      <w:r w:rsidR="006E1799">
        <w:rPr>
          <w:rFonts w:ascii="Arial" w:hAnsi="Arial" w:cs="Arial"/>
          <w:noProof/>
          <w:color w:val="000000"/>
          <w:sz w:val="21"/>
          <w:szCs w:val="21"/>
        </w:rPr>
        <w:fldChar w:fldCharType="separate"/>
      </w:r>
      <w:r w:rsidR="002B4D98" w:rsidRPr="002B4D98">
        <w:rPr>
          <w:rFonts w:ascii="Arial" w:hAnsi="Arial" w:cs="Arial"/>
          <w:sz w:val="21"/>
        </w:rPr>
        <w:t>(16–18)</w:t>
      </w:r>
      <w:r w:rsidR="006E1799">
        <w:rPr>
          <w:rFonts w:ascii="Arial" w:hAnsi="Arial" w:cs="Arial"/>
          <w:noProof/>
          <w:color w:val="000000"/>
          <w:sz w:val="21"/>
          <w:szCs w:val="21"/>
        </w:rPr>
        <w:fldChar w:fldCharType="end"/>
      </w:r>
      <w:r w:rsidRPr="00795B25">
        <w:rPr>
          <w:rFonts w:ascii="Arial" w:hAnsi="Arial" w:cs="Arial"/>
          <w:noProof/>
          <w:color w:val="000000"/>
          <w:sz w:val="21"/>
          <w:szCs w:val="21"/>
        </w:rPr>
        <w:t>. Aliquam dignissim at odio id fermentum. Interdum et malesuada fames ac ante ipsum primis in faucibus. Maecenas at libero ac arcu porttitor varius. In pulvinar nulla eu massa elementum aliquet a eu tellus. In hac habitasse platea dictumst</w:t>
      </w:r>
      <w:r w:rsidR="006E1799">
        <w:rPr>
          <w:rFonts w:ascii="Arial" w:hAnsi="Arial" w:cs="Arial"/>
          <w:noProof/>
          <w:color w:val="000000"/>
          <w:sz w:val="21"/>
          <w:szCs w:val="21"/>
        </w:rPr>
        <w:t xml:space="preserve"> </w:t>
      </w:r>
      <w:r w:rsidR="006E1799">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VzFVP9k9","properties":{"formattedCitation":"(19)","plainCitation":"(19)","noteIndex":0},"citationItems":[{"id":21941,"uris":["http://zotero.org/users/3162634/items/ZVF2DNV5"],"uri":["http://zotero.org/users/3162634/items/ZVF2DNV5"],"itemData":{"id":21941,"type":"book","abstract":"This purpose of this report is to update a 2008 CADTH Rapid Response report on the comparative clinical and cost-effectiveness of angiotensin converting enzyme (ACE) inhibitors. In addition, it aims to examine the effectiveness of the combination of ACE inhibitors and diuretics compared to ACE inhibitors alone. The finding of this report can help produce clinical evidence as well as policy directions on the best and optimum use of individual ACE inhibitors for hypertension (HTN), heart failure (HF), myocardial infarction (MI), and diabetic nephropathy.","call-number":"NBK304523","collection-title":"CADTH Rapid Response Reports","event-place":"Ottawa (ON)","language":"eng","note":"PMID: 26180887","publisher":"Canadian Agency for Drugs and Technologies in Health","publisher-place":"Ottawa (ON)","source":"PubMed","title":"Angiotensin-Converting Enzyme (ACE) Inhibitors: A Review of the Comparative Clinical and Cost-Effectiveness","title-short":"Angiotensin-Converting Enzyme (ACE) Inhibitors","URL":"http://www.ncbi.nlm.nih.gov/books/NBK304523/","accessed":{"date-parts":[["2020",8,31]]},"issued":{"date-parts":[["2015"]]}}}],"schema":"https://github.com/citation-style-language/schema/raw/master/csl-citation.json"} </w:instrText>
      </w:r>
      <w:r w:rsidR="006E1799">
        <w:rPr>
          <w:rFonts w:ascii="Arial" w:hAnsi="Arial" w:cs="Arial"/>
          <w:noProof/>
          <w:color w:val="000000"/>
          <w:sz w:val="21"/>
          <w:szCs w:val="21"/>
        </w:rPr>
        <w:fldChar w:fldCharType="separate"/>
      </w:r>
      <w:r w:rsidR="002B4D98" w:rsidRPr="002B4D98">
        <w:rPr>
          <w:rFonts w:ascii="Arial" w:hAnsi="Arial" w:cs="Arial"/>
          <w:sz w:val="21"/>
        </w:rPr>
        <w:t>(19)</w:t>
      </w:r>
      <w:r w:rsidR="006E1799">
        <w:rPr>
          <w:rFonts w:ascii="Arial" w:hAnsi="Arial" w:cs="Arial"/>
          <w:noProof/>
          <w:color w:val="000000"/>
          <w:sz w:val="21"/>
          <w:szCs w:val="21"/>
        </w:rPr>
        <w:fldChar w:fldCharType="end"/>
      </w:r>
      <w:r w:rsidRPr="00795B25">
        <w:rPr>
          <w:rFonts w:ascii="Arial" w:hAnsi="Arial" w:cs="Arial"/>
          <w:noProof/>
          <w:color w:val="000000"/>
          <w:sz w:val="21"/>
          <w:szCs w:val="21"/>
        </w:rPr>
        <w:t>.</w:t>
      </w:r>
    </w:p>
    <w:p w14:paraId="569CCE67" w14:textId="42700BD3" w:rsidR="00795B25" w:rsidRDefault="00795B25" w:rsidP="00795B25">
      <w:pPr>
        <w:pStyle w:val="Heading1"/>
        <w:rPr>
          <w:noProof/>
        </w:rPr>
      </w:pPr>
      <w:r>
        <w:rPr>
          <w:noProof/>
        </w:rPr>
        <w:t>Methods</w:t>
      </w:r>
    </w:p>
    <w:p w14:paraId="5F827C49" w14:textId="34E4E148" w:rsidR="00795B25" w:rsidRPr="00795B25" w:rsidRDefault="00795B25" w:rsidP="00795B25">
      <w:pPr>
        <w:pStyle w:val="Heading2"/>
      </w:pPr>
      <w:r>
        <w:t>Study design</w:t>
      </w:r>
    </w:p>
    <w:p w14:paraId="696467CF" w14:textId="523D8CE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b/>
          <w:bCs/>
          <w:noProof/>
          <w:color w:val="000000"/>
          <w:sz w:val="21"/>
          <w:szCs w:val="21"/>
        </w:rPr>
        <w:t>Nulla ac magna eros.</w:t>
      </w:r>
      <w:r w:rsidRPr="00795B25">
        <w:rPr>
          <w:rFonts w:ascii="Arial" w:hAnsi="Arial" w:cs="Arial"/>
          <w:noProof/>
          <w:color w:val="000000"/>
          <w:sz w:val="21"/>
          <w:szCs w:val="21"/>
        </w:rPr>
        <w:t xml:space="preserve"> Mauris sed tortor ac turpis porta semper. Maecenas condimentum tortor diam, in molestie dolor sagittis in</w:t>
      </w:r>
      <w:r w:rsidR="006E1799">
        <w:rPr>
          <w:rFonts w:ascii="Arial" w:hAnsi="Arial" w:cs="Arial"/>
          <w:noProof/>
          <w:color w:val="000000"/>
          <w:sz w:val="21"/>
          <w:szCs w:val="21"/>
        </w:rPr>
        <w:t xml:space="preserve"> </w:t>
      </w:r>
      <w:r w:rsidR="006E1799">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dQz4FC2Y","properties":{"formattedCitation":"(15,20,21)","plainCitation":"(15,20,21)","noteIndex":0},"citationItems":[{"id":5427,"uris":["http://zotero.org/users/3162634/items/7P62LL6A"],"uri":["http://zotero.org/users/3162634/items/7P62LL6A"],"itemData":{"id":5427,"type":"article-journal","abstract":"Internet-based, or computerised, cognitive behaviour therapy (CBT) can be used to treat patients with depression or anxiety. Patients are engaged in structured programs of care, with several programs available either at no cost or moderate cost. Internet CBT (iCBT) may be particularly suited to patients with mobility issues or living in rural or remote areas. Although there are no adverse effects, clinicians should assess patients for risk issues and the need for more immediate assistance before recommending iCBT. Monitoring effectiveness of any intervention for the patient is important. iCBT has National Health and Medical Research Council (NHMRC) Level I evidence of efficacy.","container-title":"Australian Family Physician","ISSN":"0300-8495","issue":"11","journalAbbreviation":"Aust Fam Physician","language":"eng","note":"PMID: 24217103","page":"803-804","source":"PubMed","title":"Internet-based cognitive behaviour therapy for depression and anxiety","volume":"42","author":[{"literal":"Handbook of Non Drug Intervention (HANDI) Project Team"}],"issued":{"date-parts":[["2013",11]]}}},{"id":1491,"uris":["http://zotero.org/users/3162634/items/9MAKI3EV"],"uri":["http://zotero.org/users/3162634/items/9MAKI3EV"],"itemData":{"id":1491,"type":"chapter","abstract":"Febrile seizures (FS) are the most common types of seizures in children around the world, yet remarkably little is known about the mechanisms generating these seizures. In addition, long duration or focal FS are associated with increased probability of temporal lobe epilepsy (TLE), but it remains unclear as to whether this relationship is causal. A specific major clinical enigma has centered on whether FS themselves can provoke TLE in individuals without genetic or structural predisposition. In addition, the mechanisms of FS-related epileptogenesis require elucidation. Individuals with TLE and a history of FS have been found to often have a specific pattern of cell loss within the hippocampus, known as mesial temporal sclerosis (MTS). However, if FS cause MTS, or if the cell loss is secondary to the TLE has also been enigmatic. We created and characterized an immature rodent model of FS, which has been useful in defining how fever leads to FS, and if FS lead to epilepsy. Using this rat model, we established that long duration FS cause TLE, and FS duration governed the severity of epilepsy. Epileptogenesis was accompanied, perhaps causally, by ion channel dysfunction and inflammatory changes. Because FS are a prevalent antecedent of TLE, studying the epileptogenesis that follows them provides powerful insights, and may lead to potential therapies for epilepsy.","call-number":"NBK98211","container-title":"Jasper's Basic Mechanisms of the Epilepsies","edition":"4th","event-place":"Bethesda (MD)","language":"eng","note":"PMID: 22787595","publisher":"National Center for Biotechnology Information (US)","publisher-place":"Bethesda (MD)","source":"PubMed","title":"Fever, febrile seizures and epileptogenesis","URL":"http://www.ncbi.nlm.nih.gov/books/NBK98211/","author":[{"family":"Dubé","given":"Céline M."},{"family":"McClelland","given":"Shawn"},{"family":"Choy","given":"ManKin"},{"family":"Brewster","given":"Amy L."},{"family":"Noam","given":"Yoav"},{"family":"Baram","given":"Tallie Z."}],"editor":[{"family":"Noebels","given":"Jeffrey L."},{"family":"Avoli","given":"Massimo"},{"family":"Rogawski","given":"Michael A."},{"family":"Olsen","given":"Richard W."},{"family":"Delgado-Escueta","given":"Antonio V."}],"accessed":{"date-parts":[["2020",8,29]]},"issued":{"date-parts":[["2012"]]}}},{"id":5072,"uris":["http://zotero.org/users/3162634/items/AH3SVDCX"],"uri":["http://zotero.org/users/3162634/items/AH3SVDCX"],"itemData":{"id":5072,"type":"article-journal","abstract":"Numerous animal models of depression have been advanced, each having multiple attributes and some limitations. This review provides caveats concerning etiologically valid animal models of depression, focusing on characteristics of the depressive subtype being examined (e.g. typical vs atypical major depression, dysthymia, melancholia), and factors that contribute to the interindividual behavioral variability frequently evident in stressor-related behavioral paradigms. These include the stressor type (processive vs systemic stressors), and characteristics of the stressor (controllability, predictability, ambiguity, chronicity, intermittence), as well as organismic variables (genetic, age, sex), experiential variables (stressor history, early life events) and psychosocial and personality factors that moderate stressor reactivity. Finally, a model of depression is reviewed that evaluates the effects of stressors on hedonic processes, reflected by responding for rewarding brain stimulation. Anhedonia is a fundamental feature of depression, and assessment of stressor-related reductions in the rewarding value of brain stimulation, especially when coupled with other potential symptoms of depression, provides considerable face, construct and predictive validity. Stressful events markedly impact rewarding brain stimulation, and this effect varies across strains of mice differentially reactive to stressors, is modifiable by antidepressant treatments, and allows for analyses of the contribution of different brain regions to anhedonic processes. The paradigm is sensitive to several factors known to acts as moderators of stress responses, but analyses remain to be conducted with regard to several such variables.","container-title":"Neuroscience and Biobehavioral Reviews","DOI":"10.1016/j.neubiorev.2005.03.007","ISSN":"0149-7634","issue":"4-5","journalAbbreviation":"Neurosci Biobehav Rev","language":"eng","note":"PMID: 15925696","page":"525-546","source":"PubMed","title":"Stress, depression, and anhedonia: caveats concerning animal models","title-short":"Stress, depression, and anhedonia","volume":"29","author":[{"family":"Anisman","given":"Hymie"},{"family":"Matheson","given":"Kim"}],"issued":{"date-parts":[["2005"]]}}}],"schema":"https://github.com/citation-style-language/schema/raw/master/csl-citation.json"} </w:instrText>
      </w:r>
      <w:r w:rsidR="006E1799">
        <w:rPr>
          <w:rFonts w:ascii="Arial" w:hAnsi="Arial" w:cs="Arial"/>
          <w:noProof/>
          <w:color w:val="000000"/>
          <w:sz w:val="21"/>
          <w:szCs w:val="21"/>
        </w:rPr>
        <w:fldChar w:fldCharType="separate"/>
      </w:r>
      <w:r w:rsidR="002B4D98" w:rsidRPr="002B4D98">
        <w:rPr>
          <w:rFonts w:ascii="Arial" w:hAnsi="Arial" w:cs="Arial"/>
          <w:sz w:val="21"/>
        </w:rPr>
        <w:t>(15,20,21)</w:t>
      </w:r>
      <w:r w:rsidR="006E1799">
        <w:rPr>
          <w:rFonts w:ascii="Arial" w:hAnsi="Arial" w:cs="Arial"/>
          <w:noProof/>
          <w:color w:val="000000"/>
          <w:sz w:val="21"/>
          <w:szCs w:val="21"/>
        </w:rPr>
        <w:fldChar w:fldCharType="end"/>
      </w:r>
      <w:r w:rsidRPr="00795B25">
        <w:rPr>
          <w:rFonts w:ascii="Arial" w:hAnsi="Arial" w:cs="Arial"/>
          <w:noProof/>
          <w:color w:val="000000"/>
          <w:sz w:val="21"/>
          <w:szCs w:val="21"/>
        </w:rPr>
        <w:t>. Praesent efficitur nisi non lorem accumsan consequat. Proin sodales nisl erat, ac accumsan ante aliquam et. Donec fringilla leo vitae justo cursus congue. Suspendisse sed nulla sem.</w:t>
      </w:r>
    </w:p>
    <w:p w14:paraId="4BEF6B9B" w14:textId="7777777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b/>
          <w:bCs/>
          <w:noProof/>
          <w:color w:val="000000"/>
          <w:sz w:val="21"/>
          <w:szCs w:val="21"/>
        </w:rPr>
        <w:t>Proin eget molestie ex</w:t>
      </w:r>
      <w:r w:rsidRPr="00795B25">
        <w:rPr>
          <w:rFonts w:ascii="Arial" w:hAnsi="Arial" w:cs="Arial"/>
          <w:noProof/>
          <w:color w:val="000000"/>
          <w:sz w:val="21"/>
          <w:szCs w:val="21"/>
        </w:rPr>
        <w:t>, nec tempor augue. Proin ut faucibus massa. Morbi interdum eleifend sagittis. Sed pretium volutpat ante, et tincidunt dui egestas ut. Mauris tristique dapibus condimentum. Sed lacinia et leo a blandit. Duis venenatis tincidunt dignissim.</w:t>
      </w:r>
    </w:p>
    <w:p w14:paraId="3AFFF95E" w14:textId="07FA7D50"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514772">
        <w:rPr>
          <w:rFonts w:ascii="Arial" w:hAnsi="Arial" w:cs="Arial"/>
          <w:b/>
          <w:bCs/>
          <w:noProof/>
          <w:color w:val="000000"/>
          <w:sz w:val="21"/>
          <w:szCs w:val="21"/>
        </w:rPr>
        <w:t>Aliquam id fringilla ipsum.</w:t>
      </w:r>
      <w:r w:rsidRPr="00795B25">
        <w:rPr>
          <w:rFonts w:ascii="Arial" w:hAnsi="Arial" w:cs="Arial"/>
          <w:noProof/>
          <w:color w:val="000000"/>
          <w:sz w:val="21"/>
          <w:szCs w:val="21"/>
        </w:rPr>
        <w:t xml:space="preserve"> Sed ultrices rutrum fermentum. Praesent vel gravida augue. Maecenas in urna blandit, pellentesque lectus eu, imperdiet nibh. Aliquam pretium dignissim purus, nec dapibus </w:t>
      </w:r>
      <w:r w:rsidRPr="00795B25">
        <w:rPr>
          <w:rFonts w:ascii="Arial" w:hAnsi="Arial" w:cs="Arial"/>
          <w:noProof/>
          <w:color w:val="000000"/>
          <w:sz w:val="21"/>
          <w:szCs w:val="21"/>
        </w:rPr>
        <w:lastRenderedPageBreak/>
        <w:t xml:space="preserve">ligula. Vivamus feugiat felis lectus, sit amet tempor nunc sagittis at. Suspendisse tincidunt egestas porttitor. Vestibulum mauris sapien, viverra ut ex vel, accumsan convallis tellus. Quisque elementum diam non sagittis maximus. Maecenas ut dui enim. </w:t>
      </w:r>
      <w:r w:rsidRPr="00795B25">
        <w:rPr>
          <w:rFonts w:ascii="Arial" w:hAnsi="Arial" w:cs="Arial"/>
          <w:i/>
          <w:iCs/>
          <w:noProof/>
          <w:color w:val="000000"/>
          <w:sz w:val="21"/>
          <w:szCs w:val="21"/>
        </w:rPr>
        <w:t>Curabitur viverra</w:t>
      </w:r>
      <w:r w:rsidRPr="00795B25">
        <w:rPr>
          <w:rFonts w:ascii="Arial" w:hAnsi="Arial" w:cs="Arial"/>
          <w:noProof/>
          <w:color w:val="000000"/>
          <w:sz w:val="21"/>
          <w:szCs w:val="21"/>
        </w:rPr>
        <w:t xml:space="preserve"> in augue id venenatis. Integer sapien nibh, varius vel maximus quis, sollicitudin quis dui. Nulla dictum blandit nulla. Sed accumsan vestibulum tortor, non facilisis dolor facilisis eget. Donec urna justo, ullamcorper non auctor in, mollis quis metus. </w:t>
      </w:r>
      <w:r w:rsidRPr="00795B25">
        <w:rPr>
          <w:rFonts w:ascii="Arial" w:hAnsi="Arial" w:cs="Arial"/>
          <w:i/>
          <w:iCs/>
          <w:noProof/>
          <w:color w:val="000000"/>
          <w:sz w:val="21"/>
          <w:szCs w:val="21"/>
        </w:rPr>
        <w:t>Maecenas aliquam luctus</w:t>
      </w:r>
      <w:r w:rsidRPr="00795B25">
        <w:rPr>
          <w:rFonts w:ascii="Arial" w:hAnsi="Arial" w:cs="Arial"/>
          <w:noProof/>
          <w:color w:val="000000"/>
          <w:sz w:val="21"/>
          <w:szCs w:val="21"/>
        </w:rPr>
        <w:t xml:space="preserve"> arcu, et mattis eros ultricies a.</w:t>
      </w:r>
    </w:p>
    <w:p w14:paraId="2FA62CDF" w14:textId="080E1CCD" w:rsidR="00795B25" w:rsidRPr="00795B25" w:rsidRDefault="00795B25" w:rsidP="00795B25">
      <w:pPr>
        <w:pStyle w:val="Heading2"/>
        <w:rPr>
          <w:noProof/>
        </w:rPr>
      </w:pPr>
      <w:r>
        <w:rPr>
          <w:noProof/>
        </w:rPr>
        <w:t>Sample</w:t>
      </w:r>
    </w:p>
    <w:p w14:paraId="4677F72D" w14:textId="77777777" w:rsidR="00514772"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Phasellus aliquet, nisl sollicitudin efficitur scelerisque, arcu nunc cursus nunc, non ultrices leo elit quis elit</w:t>
      </w:r>
      <w:r w:rsidR="00514772">
        <w:rPr>
          <w:rFonts w:ascii="Arial" w:hAnsi="Arial" w:cs="Arial"/>
          <w:noProof/>
          <w:color w:val="000000"/>
          <w:sz w:val="21"/>
          <w:szCs w:val="21"/>
        </w:rPr>
        <w:t>:</w:t>
      </w:r>
      <w:r w:rsidRPr="00795B25">
        <w:rPr>
          <w:rFonts w:ascii="Arial" w:hAnsi="Arial" w:cs="Arial"/>
          <w:noProof/>
          <w:color w:val="000000"/>
          <w:sz w:val="21"/>
          <w:szCs w:val="21"/>
        </w:rPr>
        <w:t xml:space="preserve"> </w:t>
      </w:r>
    </w:p>
    <w:p w14:paraId="565462FC" w14:textId="77777777" w:rsidR="00514772" w:rsidRDefault="00795B25" w:rsidP="00514772">
      <w:pPr>
        <w:pStyle w:val="NormalWeb"/>
        <w:numPr>
          <w:ilvl w:val="0"/>
          <w:numId w:val="1"/>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Aliquam erat volutpat. </w:t>
      </w:r>
      <w:r w:rsidRPr="00514772">
        <w:rPr>
          <w:rFonts w:ascii="Arial" w:hAnsi="Arial" w:cs="Arial"/>
          <w:b/>
          <w:bCs/>
          <w:noProof/>
          <w:color w:val="000000"/>
          <w:sz w:val="21"/>
          <w:szCs w:val="21"/>
        </w:rPr>
        <w:t>Sed sodales</w:t>
      </w:r>
      <w:r w:rsidRPr="00795B25">
        <w:rPr>
          <w:rFonts w:ascii="Arial" w:hAnsi="Arial" w:cs="Arial"/>
          <w:noProof/>
          <w:color w:val="000000"/>
          <w:sz w:val="21"/>
          <w:szCs w:val="21"/>
        </w:rPr>
        <w:t xml:space="preserve"> tempus dapibus. </w:t>
      </w:r>
    </w:p>
    <w:p w14:paraId="32CC3E1D" w14:textId="7C1900D5" w:rsidR="00514772" w:rsidRDefault="00795B25" w:rsidP="00514772">
      <w:pPr>
        <w:pStyle w:val="NormalWeb"/>
        <w:numPr>
          <w:ilvl w:val="0"/>
          <w:numId w:val="1"/>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Etiam risus nulla, imperdiet quis tellus quis, vestibulum egestas eros</w:t>
      </w:r>
      <w:r w:rsidR="00514772">
        <w:rPr>
          <w:rFonts w:ascii="Arial" w:hAnsi="Arial" w:cs="Arial"/>
          <w:noProof/>
          <w:color w:val="000000"/>
          <w:sz w:val="21"/>
          <w:szCs w:val="21"/>
        </w:rPr>
        <w:t>:</w:t>
      </w:r>
      <w:r w:rsidRPr="00795B25">
        <w:rPr>
          <w:rFonts w:ascii="Arial" w:hAnsi="Arial" w:cs="Arial"/>
          <w:noProof/>
          <w:color w:val="000000"/>
          <w:sz w:val="21"/>
          <w:szCs w:val="21"/>
        </w:rPr>
        <w:t xml:space="preserve"> </w:t>
      </w:r>
    </w:p>
    <w:p w14:paraId="0BEB4836" w14:textId="77777777" w:rsidR="00514772" w:rsidRDefault="00795B25" w:rsidP="00514772">
      <w:pPr>
        <w:pStyle w:val="NormalWeb"/>
        <w:numPr>
          <w:ilvl w:val="1"/>
          <w:numId w:val="1"/>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Donec quis porttitor velit. Ut dui ipsum, porta id porta ac, lacinia suscipit augue.</w:t>
      </w:r>
    </w:p>
    <w:p w14:paraId="462B5767" w14:textId="77777777" w:rsidR="00514772" w:rsidRDefault="00795B25" w:rsidP="00514772">
      <w:pPr>
        <w:pStyle w:val="NormalWeb"/>
        <w:numPr>
          <w:ilvl w:val="1"/>
          <w:numId w:val="1"/>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Donec posuere quam non ante tincidunt, et malesuada orci molestie.</w:t>
      </w:r>
    </w:p>
    <w:p w14:paraId="24CC484D" w14:textId="77777777" w:rsidR="00514772" w:rsidRDefault="00795B25" w:rsidP="00514772">
      <w:pPr>
        <w:pStyle w:val="NormalWeb"/>
        <w:numPr>
          <w:ilvl w:val="1"/>
          <w:numId w:val="1"/>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Maecenas sollicitudin rutrum enim in imperdiet. </w:t>
      </w:r>
    </w:p>
    <w:p w14:paraId="090E5FBF" w14:textId="07C4D281" w:rsidR="00795B25" w:rsidRPr="00795B25" w:rsidRDefault="00795B25" w:rsidP="00514772">
      <w:pPr>
        <w:pStyle w:val="NormalWeb"/>
        <w:numPr>
          <w:ilvl w:val="0"/>
          <w:numId w:val="1"/>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Pellentesque habitant morbi tristique senectus et netus et malesuada fames ac turpis egestas.</w:t>
      </w:r>
    </w:p>
    <w:p w14:paraId="077BD8A3" w14:textId="1E6DB78C"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Vivamus id pellentesque lectus. Nulla fringilla ex et leo elementum condimentum. Proin consectetur id magna vel posuere. Cras interdum nunc eget felis varius, pulvinar placerat nisi tempus. Aliquam est massa, cursus in vehicula vel, cursus eget ligula. Donec accumsan commodo accumsan. Phasellus erat lorem, efficitur a dignissim vitae, vehicula sit amet velit. Nulla feugiat semper gravida. Etiam gravida metus at ante venenatis, sed blandit orci eleifend. Donec ultrices pharetra lorem eget bibendum.</w:t>
      </w:r>
    </w:p>
    <w:p w14:paraId="722737A5" w14:textId="34D6870D" w:rsidR="00514772" w:rsidRPr="00795B25" w:rsidRDefault="00514772" w:rsidP="00514772">
      <w:pPr>
        <w:pStyle w:val="Heading2"/>
        <w:rPr>
          <w:noProof/>
        </w:rPr>
      </w:pPr>
      <w:r>
        <w:rPr>
          <w:noProof/>
        </w:rPr>
        <w:t>Measures</w:t>
      </w:r>
    </w:p>
    <w:p w14:paraId="3532AC2C" w14:textId="73B9D16E"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In hac habitasse platea dictumst. Nullam in magna vel velit vehicula commodo. Praesent dui velit, iaculis nec sagittis et, congue vitae nisl</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w350TyVf","properties":{"formattedCitation":"(1,22,23)","plainCitation":"(1,22,23)","noteIndex":0},"citationItems":[{"id":172,"uris":["http://zotero.org/users/3162634/items/T5VRF9Y7"],"uri":["http://zotero.org/users/3162634/items/T5VRF9Y7"],"itemData":{"id":172,"type":"article-journal","container-title":"Neuroscience Letters","DOI":"10.1016/j.neulet.2017.04.046","ISSN":"1872-7972","journalAbbreviation":"Neurosci. Lett.","language":"eng","note":"PMID: 28478864","page":"130-132","source":"PubMed","title":"Neurobiology of posttraumatic stress disorder (PTSD): A path from novel pathophysiology to innovative therapeutics","title-short":"Neurobiology of posttraumatic stress disorder (PTSD)","volume":"649","author":[{"family":"Abdallah","given":"Chadi G."},{"family":"Southwick","given":"Steven M."},{"family":"Krystal","given":"John H."}],"issued":{"date-parts":[["2017"]],"season":"10"}}},{"id":1911,"uris":["http://zotero.org/users/3162634/items/LZ4GFQNG"],"uri":["http://zotero.org/users/3162634/items/LZ4GFQNG"],"itemData":{"id":1911,"type":"article-journal","abstract":"This study unravels the microscopic organization of the juxtacapsular nucleus of the bed nuclei of the stria terminalis (Ju) by using silver impregnation and electron microscopic techniques. Examination of Golgi-impregnated specimens demonstrates that the Ju has precise boundaries primarily determined by a conical condensation of fibers of the stria terminalis (StT) around the nucleus. The internal capsule, ansa peduncularis, and medial forebrain bundle together with the StT provide extrinsic afferents to the neuropil of the Ju. Two main neuron types are found in the Ju: interneurons (including basket and neurogliaform cells) and projection neurons (bipolar and small pyramidal cells). The bipolar cell type accounts for about 80% of the sampled neurons. Short-axon neurons located within the dorsal part of the Ju send descending fibers that appear to terminate on the bipolar neurons, suggesting the existence of vertically oriented functional units within the nucleus. With the electron microscope, Ju neurons are seen in clusters of two or three neurons coupled by gap junctions. The neuropil contains numerous dendrites, axons, myelinated axons, and several types of synaptic interactions, including axospinous, axoshaft, and axosomatic. Within the neuropil, Ju neurons appear to be presynaptically modulated by axoaxonal interactions. The present findings suggest a model wherein bipolar neurons represent the output system of the Ju controlled by the interneurons, which would, in turn, be modulated by collaterals arising from the tributary fiber tracts. Additional neural interaction between Ju neurons utilizes gap junction-mediated electrotonic coupling.","container-title":"The Journal of Comparative Neurology","DOI":"10.1002/cne.20185","ISSN":"0021-9967","issue":"2","journalAbbreviation":"J. Comp. Neurol.","language":"eng","note":"PMID: 15211463","page":"220-237","source":"PubMed","title":"Juxtacapsular nucleus of the stria terminalis of the adult rat: extrinsic inputs, cell types, and neuronal modules: a combined Golgi and electron microscopic study","title-short":"Juxtacapsular nucleus of the stria terminalis of the adult rat","volume":"475","author":[{"family":"Larriva-Sahd","given":"Jorge"}],"issued":{"date-parts":[["2004",7,19]]}},"locator":"-5"},{"id":14894,"uris":["http://zotero.org/users/3162634/items/EZZEVP7I"],"uri":["http://zotero.org/users/3162634/items/EZZEVP7I"],"itemData":{"id":14894,"type":"article-journal","abstract":"Longitudinal studies of microbial water quality are subject to missing observations. This study evaluates multiple imputation (MI) against data deletion, mean or median imputation for replacing missing microbial water quality data. The specific context is data collected in Chicago Area Waterway System (2007-2009), where 45% of Escherichia coli and 53% of enterococci densities were missing owing to sample analysis deficiencies. Imputation methods were compared performing a simulation study using complete observations with introduced missing values and subsequently compared with the original data with missing observations. Coefficients for E. coli densities in linear regression models predicting somatic coliphages density show that MI introduces the least bias among other methods while controlling Type I error. Further exploration of utilizing different MI implementations is recommended to address the influence of missing percentage on MI performance and to explore sensitivity to the degree of violation of the missing completely at random assumption.","container-title":"Environmental Science. Processes &amp; Impacts","DOI":"10.1039/c3em00721a","ISSN":"2050-7895","issue":"5","journalAbbreviation":"Environ Sci Process Impacts","language":"eng","note":"PMID: 24705739","page":"1145-1153","source":"PubMed","title":"Evaluation of imputation methods for microbial surface water quality studies","volume":"16","author":[{"family":"Nieh","given":"Chiping"},{"family":"Dorevitch","given":"Samuel"},{"family":"Liu","given":"Li C."},{"family":"Jones","given":"Rachael M."}],"issued":{"date-parts":[["2014",5]]}}}],"schema":"https://github.com/citation-style-language/schema/raw/master/csl-citation.json"}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(1,22,23)</w:t>
      </w:r>
      <w:r w:rsidR="002B4D98">
        <w:rPr>
          <w:rFonts w:ascii="Arial" w:hAnsi="Arial" w:cs="Arial"/>
          <w:noProof/>
          <w:color w:val="000000"/>
          <w:sz w:val="21"/>
          <w:szCs w:val="21"/>
        </w:rPr>
        <w:fldChar w:fldCharType="end"/>
      </w:r>
      <w:r w:rsidRPr="00795B25">
        <w:rPr>
          <w:rFonts w:ascii="Arial" w:hAnsi="Arial" w:cs="Arial"/>
          <w:noProof/>
          <w:color w:val="000000"/>
          <w:sz w:val="21"/>
          <w:szCs w:val="21"/>
        </w:rPr>
        <w:t xml:space="preserve">. Curabitur egestas neque in velit ultrices, et gravida odio elementum. Ut non eros ac dui blandit congue non sed nisl. Sed vestibulum congue risus, vitae aliquet ante ultricies quis. </w:t>
      </w:r>
      <w:r w:rsidRPr="00514772">
        <w:rPr>
          <w:rFonts w:ascii="Arial" w:hAnsi="Arial" w:cs="Arial"/>
          <w:i/>
          <w:iCs/>
          <w:noProof/>
          <w:color w:val="000000"/>
          <w:sz w:val="21"/>
          <w:szCs w:val="21"/>
        </w:rPr>
        <w:t>Quisque tortor nulla</w:t>
      </w:r>
      <w:r w:rsidRPr="00795B25">
        <w:rPr>
          <w:rFonts w:ascii="Arial" w:hAnsi="Arial" w:cs="Arial"/>
          <w:noProof/>
          <w:color w:val="000000"/>
          <w:sz w:val="21"/>
          <w:szCs w:val="21"/>
        </w:rPr>
        <w:t>, ornare eget neque in, malesuada euismod mi. Curabitur in egestas neque. Praesent at facilisis erat. Morbi sodales justo purus, ac bibendum elit pharetra ac. Mauris ex dolor, auctor imperdiet dolor non, ullamcorper finibus orci. Mauris id mollis odio.</w:t>
      </w:r>
    </w:p>
    <w:p w14:paraId="7403EE58" w14:textId="2507DD0D"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Praesent maximus tellus at nulla mattis, id cursus magna faucibus. In ut dui nec libero gravida fringilla. Vivamus quam justo, aliquam convallis ligula ut, feugiat faucibus eros. Etiam scelerisque viverra leo id facilisis. Pellentesque vel purus augue. Nullam eleifend commodo dictum. Morbi fermentum ut velit at tempor. Sed vehicula eros tortor, at molestie nunc tincidunt id. Sed et velit at turpis vulputate bibendum mattis eget odio. Vestibulum cursus sodales tempus. Vivamus ac libero viverra, ornare lacus eget, tempus quam. Ut tortor ligula, vulputate non turpis ut, dignissim sodales orci. In suscipit mauris vel dignissim efficitur.</w:t>
      </w:r>
    </w:p>
    <w:p w14:paraId="39B80F7E" w14:textId="29D7450C" w:rsidR="00514772" w:rsidRPr="00795B25" w:rsidRDefault="00514772" w:rsidP="00514772">
      <w:pPr>
        <w:pStyle w:val="Heading2"/>
        <w:rPr>
          <w:noProof/>
        </w:rPr>
      </w:pPr>
      <w:r>
        <w:rPr>
          <w:noProof/>
        </w:rPr>
        <w:t>Statistical analysis</w:t>
      </w:r>
    </w:p>
    <w:p w14:paraId="55DBA86B" w14:textId="372296B8"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Integer augue ipsum, hendrerit vitae ornare vel, condimentum et magna. Donec maximus varius nulla, vel viverra ligula porttitor scelerisque. Duis dictum tristique erat, et auctor ipsum. Etiam varius metus sed laoreet luctus. </w:t>
      </w:r>
      <w:r w:rsidRPr="00514772">
        <w:rPr>
          <w:rFonts w:ascii="Arial" w:hAnsi="Arial" w:cs="Arial"/>
          <w:b/>
          <w:bCs/>
          <w:noProof/>
          <w:color w:val="000000"/>
          <w:sz w:val="21"/>
          <w:szCs w:val="21"/>
        </w:rPr>
        <w:t>Vivamus suscipit</w:t>
      </w:r>
      <w:r w:rsidRPr="00795B25">
        <w:rPr>
          <w:rFonts w:ascii="Arial" w:hAnsi="Arial" w:cs="Arial"/>
          <w:noProof/>
          <w:color w:val="000000"/>
          <w:sz w:val="21"/>
          <w:szCs w:val="21"/>
        </w:rPr>
        <w:t xml:space="preserve"> gravida dui, non eleifend sapien sollicitudin eget. Donec maximus in arcu eu accumsan. Duis eleifend est velit, eget auctor felis volutpat nec. In laoreet arcu id purus commodo dignissim nec vel nisl. Quisque accumsan lectus felis, at pulvinar lacus rutrum non. </w:t>
      </w:r>
      <w:r w:rsidRPr="00795B25">
        <w:rPr>
          <w:rFonts w:ascii="Arial" w:hAnsi="Arial" w:cs="Arial"/>
          <w:noProof/>
          <w:color w:val="000000"/>
          <w:sz w:val="21"/>
          <w:szCs w:val="21"/>
        </w:rPr>
        <w:lastRenderedPageBreak/>
        <w:t>Aliquam maximus ante sit amet ornare tristique. Cras tincidunt libero eleifend lorem fringilla elementum convallis ac nibh. Lorem ipsum dolor sit amet, consectetur adipiscing elit. Interdum et malesuada fames ac ante ipsum primis in faucibus. Suspendisse sed nulla est. Curabitur ut tortor enim.</w:t>
      </w:r>
    </w:p>
    <w:p w14:paraId="66D8F3D9" w14:textId="5E982B5E"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Donec vel urna odio. Praesent efficitur eros eget purus accumsan, sed pellentesque felis tempor. Aenean hendrerit vulputate nisi, in vestibulum leo porttitor non. Aenean ut leo eget nunc dignissim convallis vitae a ante. Maecenas eget diam nec purus dignissim ullamcorper quis a elit. Nunc placerat maximus malesuada. Morbi blandit sem ac quam scelerisque, eget mollis massa consectetur. Quisque nulla tortor, volutpat ut urna eu, pellentesque cursus massa. Nullam eleifend sollicitudin felis at maximus.</w:t>
      </w:r>
    </w:p>
    <w:p w14:paraId="0EC4B0C9" w14:textId="3A088C75" w:rsidR="00B2421C" w:rsidRDefault="00B2421C" w:rsidP="00B2421C">
      <w:pPr>
        <w:pStyle w:val="Heading2"/>
        <w:rPr>
          <w:noProof/>
        </w:rPr>
      </w:pPr>
      <w:r>
        <w:rPr>
          <w:noProof/>
        </w:rPr>
        <w:t>Treatment algorithm</w:t>
      </w:r>
    </w:p>
    <w:p w14:paraId="750126AA" w14:textId="2AC94457" w:rsidR="00B2421C" w:rsidRDefault="00B2421C" w:rsidP="00B2421C">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In sit amet lectus vel sem aliquet iaculis ut vel elit. Pellentesque habitant morbi tristique senectus et netus et malesuada fames ac turpis egestas. Sed quis mi sit amet arcu tempus rhoncus at varius est. Aliquam erat volutpat</w:t>
      </w:r>
      <w:r w:rsidR="00337193">
        <w:rPr>
          <w:rFonts w:ascii="Arial" w:hAnsi="Arial" w:cs="Arial"/>
          <w:noProof/>
          <w:color w:val="000000"/>
          <w:sz w:val="21"/>
          <w:szCs w:val="21"/>
        </w:rPr>
        <w:t xml:space="preserve"> (see </w:t>
      </w:r>
      <w:r w:rsidR="00337193">
        <w:rPr>
          <w:rFonts w:ascii="Arial" w:hAnsi="Arial" w:cs="Arial"/>
          <w:noProof/>
          <w:color w:val="000000"/>
          <w:sz w:val="21"/>
          <w:szCs w:val="21"/>
        </w:rPr>
        <w:fldChar w:fldCharType="begin"/>
      </w:r>
      <w:r w:rsidR="00337193">
        <w:rPr>
          <w:rFonts w:ascii="Arial" w:hAnsi="Arial" w:cs="Arial"/>
          <w:noProof/>
          <w:color w:val="000000"/>
          <w:sz w:val="21"/>
          <w:szCs w:val="21"/>
        </w:rPr>
        <w:instrText xml:space="preserve"> REF _Ref55490111 \h </w:instrText>
      </w:r>
      <w:r w:rsidR="00337193">
        <w:rPr>
          <w:rFonts w:ascii="Arial" w:hAnsi="Arial" w:cs="Arial"/>
          <w:noProof/>
          <w:color w:val="000000"/>
          <w:sz w:val="21"/>
          <w:szCs w:val="21"/>
        </w:rPr>
      </w:r>
      <w:r w:rsidR="00337193">
        <w:rPr>
          <w:rFonts w:ascii="Arial" w:hAnsi="Arial" w:cs="Arial"/>
          <w:noProof/>
          <w:color w:val="000000"/>
          <w:sz w:val="21"/>
          <w:szCs w:val="21"/>
        </w:rPr>
        <w:fldChar w:fldCharType="separate"/>
      </w:r>
      <w:r w:rsidR="00337193">
        <w:rPr>
          <w:noProof/>
        </w:rPr>
        <w:t>Figure 1</w:t>
      </w:r>
      <w:r w:rsidR="00337193">
        <w:rPr>
          <w:rFonts w:ascii="Arial" w:hAnsi="Arial" w:cs="Arial"/>
          <w:noProof/>
          <w:color w:val="000000"/>
          <w:sz w:val="21"/>
          <w:szCs w:val="21"/>
        </w:rPr>
        <w:fldChar w:fldCharType="end"/>
      </w:r>
      <w:r w:rsidR="00337193">
        <w:rPr>
          <w:rFonts w:ascii="Arial" w:hAnsi="Arial" w:cs="Arial"/>
          <w:noProof/>
          <w:color w:val="000000"/>
          <w:sz w:val="21"/>
          <w:szCs w:val="21"/>
        </w:rPr>
        <w:t>)</w:t>
      </w:r>
      <w:r w:rsidRPr="00795B25">
        <w:rPr>
          <w:rFonts w:ascii="Arial" w:hAnsi="Arial" w:cs="Arial"/>
          <w:noProof/>
          <w:color w:val="000000"/>
          <w:sz w:val="21"/>
          <w:szCs w:val="21"/>
        </w:rPr>
        <w:t>. In fermentum aliquam ligula a commodo. Maecenas lobortis ornare arcu, sit amet lacinia neque ultrices et. Suspendisse porta tellus pulvinar, facilisis nisi ac, ornare arcu. Curabitur mattis massa velit, id auctor lorem efficitur vitae</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vgpj5yYJ","properties":{"formattedCitation":"(24)","plainCitation":"(24)","noteIndex":0},"citationItems":[{"id":2762,"uris":["http://zotero.org/users/3162634/items/ND5YNEUA"],"uri":["http://zotero.org/users/3162634/items/ND5YNEUA"],"itemData":{"id":2762,"type":"article-journal","abstract":"The enormous majority of previous reports focused on evaluating the safety and efficacy of sequential saphenous vein (SV) coronary bypass grafting; however, no reports to date have revealed concern regarding the impacts of the number of distal anastomoses of sequential SV grafting on graft patency after coronary artery bypass grafting (CABG). This single-center retrospective study aimed to evaluate the impacts of three versus two distal anastomoses per single SV conduit on SV graft patency after off-pump CABG, and to determine the independent risk factors for sequential SV graft failure.From January 2011 to December 2014, 1320 eligible patients were assigned to either a triple group (three distal anastomoses of sequential SV grafting, n = 758) or a double group (two distal anastomoses of sequential SV grafting, n = 562). The primary endpoint was over a 2-year follow-up SV graft failure after off-pump CABG.The triple and double group received a similar total patency rate of sequential SV conduits (86.5% versus 87.1%, P = 0.757). The number of distal anastomoses of sequential SV grafting (three versus two) was not a predictive factor for the follow-up graft failure of sequential SV conduits (HR = 0.91, 95% CI: 0.66-2.29, P = 0.137). Moreover, the two groups received a similar follow-up survival freedom from repeat revascularization (χ2 = 1.881, log-rank P = 0.170).Three versus two distal anastomoses per single SV conduit received a similar SV graft patency. The number of distal anastomoses of sequential SV grafting was not an independent risk factor for graft failure.","container-title":"International Heart Journal","DOI":"10.1536/ihj.17-639","ISSN":"1349-3299","issue":"6","journalAbbreviation":"Int Heart J","language":"eng","note":"PMID: 30305585","page":"1211-1218","source":"PubMed","title":"Sequential Saphenous Vein Coronary Bypass Grafting","volume":"59","author":[{"family":"Ji","given":"Qiang"},{"family":"Song","given":"Kai"},{"family":"Xia","given":"LiMin"},{"family":"Shi","given":"YunQing"},{"family":"Ma","given":"RunHua"},{"family":"Shen","given":"JinQiang"},{"family":"Ding","given":"WenJun"},{"family":"Wang","given":"ChunSheng"}],"issued":{"date-parts":[["2018",11,28]]}}}],"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(24)</w:t>
      </w:r>
      <w:r w:rsidR="002B4D98">
        <w:rPr>
          <w:rFonts w:ascii="Arial" w:hAnsi="Arial" w:cs="Arial"/>
          <w:noProof/>
          <w:color w:val="000000"/>
          <w:sz w:val="21"/>
          <w:szCs w:val="21"/>
        </w:rPr>
        <w:fldChar w:fldCharType="end"/>
      </w:r>
      <w:r w:rsidRPr="00795B25">
        <w:rPr>
          <w:rFonts w:ascii="Arial" w:hAnsi="Arial" w:cs="Arial"/>
          <w:noProof/>
          <w:color w:val="000000"/>
          <w:sz w:val="21"/>
          <w:szCs w:val="21"/>
        </w:rPr>
        <w:t>. Vestibulum faucibus, mauris vel commodo lobortis, enim nunc condimentum nulla, in hendrerit velit massa vel metus</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DsT7hXh5","properties":{"formattedCitation":"(25\\uc0\\u8211{}27)","plainCitation":"(25–27)","noteIndex":0},"citationItems":[{"id":304,"uris":["http://zotero.org/users/3162634/items/G36MVXJ8"],"uri":["http://zotero.org/users/3162634/items/G36MVXJ8"],"itemData":{"id":304,"type":"article-journal","abstract":"Posttraumatic stress disorder (PTSD) is a well-characterized anxiety disorder that may occur after exposure to a traumatic event. Research is ongoing to document neuroanatomic, neuroendocrine, and genetic correlates to the behavioral phenotype. PTSD occurs in 20% to 51% of patients with musculoskeletal injury. Orthopaedic outcomes, including return to work, activities of daily living, patient perception of physical recovery, and objective physical parameters, suffer considerably in patients with PTSD. There are several ways by which treating orthopaedic surgeons can recognize at-risk patients and help prevent the development of PTSD. Should prevention prove unsuccessful, effective treatment strategies exist, as well. Research is needed to investigate whether a correlation exists between successful management of the psychiatric manifestations of PTSD and improved physical outcomes.","container-title":"The Journal of the American Academy of Orthopaedic Surgeons","DOI":"10.5435/00124635-201105000-00001","ISSN":"1067-151X","issue":"5","journalAbbreviation":"J Am Acad Orthop Surg","language":"eng","note":"PMID: 21536623","page":"245-250","source":"PubMed","title":"Posttraumatic stress disorders in civilian orthopaedics","volume":"19","author":[{"family":"Aaron","given":"Daniel L."},{"family":"Fadale","given":"Paul D."},{"family":"Harrington","given":"Colin J."},{"family":"Born","given":"Christopher T."}],"issued":{"date-parts":[["2011",5]]}}},{"id":18772,"uris":["http://zotero.org/users/3162634/items/Q2HGHUQT"],"uri":["http://zotero.org/users/3162634/items/Q2HGHUQT"],"itemData":{"id":18772,"type":"article-journal","abstract":"Radiopaque endocardial markers implanted by catheter are a useful tool for investigating cardiac function because one can follow the motion to a specific element to myocardium in three dimension. This motion is computed by recording each marker's X-ray shadow with a biplane radiographic system. It is necessary to identify which marker is which on both views to complete this computation. Rotation of the heart with respect of the X-ray system can change the pattern of markers so dramatically that one cannot identify each marker's shadow with confidence. We describe a method to predict where each marker's shadow will be on the X-ray images after the heart rotates, permitting identification of each marker in biplane radiographs, even after extreme changes in the heart's orientation.","container-title":"The American Journal of Physiology","DOI":"10.1152/ajpheart.1980.239.4.H573","ISSN":"0002-9513","issue":"4","journalAbbreviation":"Am. J. Physiol.","language":"eng","note":"PMID: 7425149","page":"H573-H580","source":"PubMed","title":"A method to identify implanted radiopaque markers despite rotation of the heart","volume":"239","author":[{"family":"Davis","given":"P. L."},{"family":"Raff","given":"G. L."},{"family":"Glantz","given":"S. A."}],"issued":{"date-parts":[["1980",10]]}}},{"id":182,"uris":["http://zotero.org/users/3162634/items/RAZ6X2U9"],"uri":["http://zotero.org/users/3162634/items/RAZ6X2U9"],"itemData":{"id":182,"type":"article-journal","abstract":"There have been significant advancements in the pharmacologic management of posttraumatic stress disorder (PTSD) in the past two decades. Multisite randomized clinical trials (RCTs) have noted the efficacy of selective serotonin reuptake inhibitors (SSRIs) and serotonin-norepinephrine reuptake inhibitors (SNR Is) for PTSD treatment. Unfortunately, there have been no new medications approved to treat PTSD in the past 10 years. Although there have been exciting new findings in our knowledge of the neurobiology of PTSD, clinical trials testing new medications have lagged. This review summarizes recent research that builds on the unique pathophysiology of PTSD and suggests ways to move the field forward.","container-title":"Current Psychiatry Reports","DOI":"10.1007/s11920-015-0564-2","ISSN":"1535-1645","issue":"4","journalAbbreviation":"Curr Psychiatry Rep","language":"eng","note":"PMID: 25749751","page":"564","source":"PubMed","title":"Psychopharmacological strategies in the management of posttraumatic stress disorder (PTSD): what have we learned?","title-short":"Psychopharmacological strategies in the management of posttraumatic stress disorder (PTSD)","volume":"17","author":[{"family":"Bernardy","given":"Nancy C."},{"family":"Friedman","given":"Matthew J."}],"issued":{"date-parts":[["2015",4]]}}}],"schema":"https://github.com/citation-style-language/schema/raw/master/csl-citation.json"}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(25–27)</w:t>
      </w:r>
      <w:r w:rsidR="002B4D98">
        <w:rPr>
          <w:rFonts w:ascii="Arial" w:hAnsi="Arial" w:cs="Arial"/>
          <w:noProof/>
          <w:color w:val="000000"/>
          <w:sz w:val="21"/>
          <w:szCs w:val="21"/>
        </w:rPr>
        <w:fldChar w:fldCharType="end"/>
      </w:r>
      <w:r w:rsidRPr="00795B25">
        <w:rPr>
          <w:rFonts w:ascii="Arial" w:hAnsi="Arial" w:cs="Arial"/>
          <w:noProof/>
          <w:color w:val="000000"/>
          <w:sz w:val="21"/>
          <w:szCs w:val="21"/>
        </w:rPr>
        <w:t>. Aliquam elementum vestibulum arcu non dictum. Etiam sit amet leo elit. Aenean nibh purus, tempus blandit metus in, finibus placerat dui. Integer lacinia ligula convallis lectus dapibus, rhoncus suscipit leo ornare. Fusce ullamcorper libero ligula, venenatis efficitur dolor mattis sed.</w:t>
      </w:r>
    </w:p>
    <w:p w14:paraId="3C37F223" w14:textId="7F3CC522" w:rsidR="00850A3B" w:rsidRDefault="00850A3B" w:rsidP="00850A3B">
      <w:pPr>
        <w:pStyle w:val="Caption"/>
        <w:keepNext/>
        <w:jc w:val="both"/>
        <w:rPr>
          <w:noProof/>
        </w:rPr>
      </w:pPr>
      <w:bookmarkStart w:id="0" w:name="_Ref55490111"/>
      <w:r>
        <w:rPr>
          <w:noProof/>
        </w:rP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0"/>
      <w:r>
        <w:rPr>
          <w:noProof/>
        </w:rPr>
        <w:t xml:space="preserve"> </w:t>
      </w:r>
      <w:r w:rsidRPr="00E75BB9">
        <w:rPr>
          <w:noProof/>
        </w:rPr>
        <w:t>In vel pellentesque est, eu placerat felis</w:t>
      </w:r>
      <w:r>
        <w:rPr>
          <w:noProof/>
        </w:rPr>
        <w:t xml:space="preserve"> s</w:t>
      </w:r>
      <w:r w:rsidRPr="00E75BB9">
        <w:rPr>
          <w:noProof/>
        </w:rPr>
        <w:t>ed porttitor felis in aliquet imperdiet.</w:t>
      </w:r>
    </w:p>
    <w:p w14:paraId="73B9460E" w14:textId="0CD76EFA" w:rsidR="00B2421C" w:rsidRPr="00B2421C" w:rsidRDefault="00B2421C" w:rsidP="00B2421C">
      <w:pPr>
        <w:pStyle w:val="NormalWeb"/>
        <w:shd w:val="clear" w:color="auto" w:fill="FFFFFF"/>
        <w:spacing w:before="0" w:beforeAutospacing="0" w:after="225" w:afterAutospacing="0"/>
        <w:jc w:val="both"/>
        <w:rPr>
          <w:rFonts w:ascii="Arial" w:hAnsi="Arial" w:cs="Arial"/>
          <w:noProof/>
          <w:color w:val="000000"/>
          <w:sz w:val="21"/>
          <w:szCs w:val="21"/>
        </w:rPr>
      </w:pPr>
      <w:r>
        <w:rPr>
          <w:rFonts w:ascii="Arial" w:hAnsi="Arial" w:cs="Arial"/>
          <w:noProof/>
          <w:color w:val="000000"/>
          <w:sz w:val="21"/>
          <w:szCs w:val="21"/>
        </w:rPr>
        <w:drawing>
          <wp:inline distT="0" distB="0" distL="0" distR="0" wp14:anchorId="3FC92BE9" wp14:editId="7268A6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673CD6F" w14:textId="263970CA" w:rsidR="00514772" w:rsidRDefault="00514772" w:rsidP="00514772">
      <w:pPr>
        <w:pStyle w:val="Heading1"/>
        <w:rPr>
          <w:noProof/>
        </w:rPr>
      </w:pPr>
      <w:r>
        <w:rPr>
          <w:noProof/>
        </w:rPr>
        <w:t>Results</w:t>
      </w:r>
    </w:p>
    <w:p w14:paraId="04A8B321" w14:textId="11C419AE" w:rsidR="00850A3B" w:rsidRPr="00850A3B" w:rsidRDefault="00850A3B" w:rsidP="00850A3B">
      <w:pPr>
        <w:pStyle w:val="Heading2"/>
      </w:pPr>
      <w:r>
        <w:t>Primary outcome</w:t>
      </w:r>
    </w:p>
    <w:p w14:paraId="2C0FCA03" w14:textId="7777777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Curabitur sodales neque eu tortor rutrum, id euismod lacus porttitor. Proin venenatis ullamcorper ante sit amet placerat. Cras semper scelerisque velit, id accumsan nisl interdum semper. Nulla vehicula sem vel neque commodo semper ac eget risus. Maecenas sit amet mattis metus, interdum hendrerit </w:t>
      </w:r>
      <w:r w:rsidRPr="00795B25">
        <w:rPr>
          <w:rFonts w:ascii="Arial" w:hAnsi="Arial" w:cs="Arial"/>
          <w:noProof/>
          <w:color w:val="000000"/>
          <w:sz w:val="21"/>
          <w:szCs w:val="21"/>
        </w:rPr>
        <w:lastRenderedPageBreak/>
        <w:t>tortor. Mauris nec enim nibh. Nullam eget nunc vitae eros lobortis dignissim. Quisque posuere dolor id odio maximus viverra. Mauris fermentum ornare ultrices.</w:t>
      </w:r>
    </w:p>
    <w:p w14:paraId="7378C828" w14:textId="60A8FAB4" w:rsidR="00850A3B"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Morbi venenatis fringilla purus id laoreet. Nunc enim magna, aliquam quis justo vulputate</w:t>
      </w:r>
      <w:r w:rsidR="00337193">
        <w:rPr>
          <w:rFonts w:ascii="Arial" w:hAnsi="Arial" w:cs="Arial"/>
          <w:noProof/>
          <w:color w:val="000000"/>
          <w:sz w:val="21"/>
          <w:szCs w:val="21"/>
        </w:rPr>
        <w:t xml:space="preserve"> in </w:t>
      </w:r>
      <w:r w:rsidR="00337193">
        <w:rPr>
          <w:rFonts w:ascii="Arial" w:hAnsi="Arial" w:cs="Arial"/>
          <w:noProof/>
          <w:color w:val="000000"/>
          <w:sz w:val="21"/>
          <w:szCs w:val="21"/>
        </w:rPr>
        <w:fldChar w:fldCharType="begin"/>
      </w:r>
      <w:r w:rsidR="00337193">
        <w:rPr>
          <w:rFonts w:ascii="Arial" w:hAnsi="Arial" w:cs="Arial"/>
          <w:noProof/>
          <w:color w:val="000000"/>
          <w:sz w:val="21"/>
          <w:szCs w:val="21"/>
        </w:rPr>
        <w:instrText xml:space="preserve"> REF _Ref55490005 \h </w:instrText>
      </w:r>
      <w:r w:rsidR="00337193">
        <w:rPr>
          <w:rFonts w:ascii="Arial" w:hAnsi="Arial" w:cs="Arial"/>
          <w:noProof/>
          <w:color w:val="000000"/>
          <w:sz w:val="21"/>
          <w:szCs w:val="21"/>
        </w:rPr>
      </w:r>
      <w:r w:rsidR="00337193">
        <w:rPr>
          <w:rFonts w:ascii="Arial" w:hAnsi="Arial" w:cs="Arial"/>
          <w:noProof/>
          <w:color w:val="000000"/>
          <w:sz w:val="21"/>
          <w:szCs w:val="21"/>
        </w:rPr>
        <w:fldChar w:fldCharType="separate"/>
      </w:r>
      <w:r w:rsidR="00337193">
        <w:rPr>
          <w:noProof/>
        </w:rPr>
        <w:t>Table 1</w:t>
      </w:r>
      <w:r w:rsidR="00337193">
        <w:rPr>
          <w:rFonts w:ascii="Arial" w:hAnsi="Arial" w:cs="Arial"/>
          <w:noProof/>
          <w:color w:val="000000"/>
          <w:sz w:val="21"/>
          <w:szCs w:val="21"/>
        </w:rPr>
        <w:fldChar w:fldCharType="end"/>
      </w:r>
      <w:r w:rsidRPr="00795B25">
        <w:rPr>
          <w:rFonts w:ascii="Arial" w:hAnsi="Arial" w:cs="Arial"/>
          <w:noProof/>
          <w:color w:val="000000"/>
          <w:sz w:val="21"/>
          <w:szCs w:val="21"/>
        </w:rPr>
        <w:t>, ullamcorper suscipit libero. Mauris in arcu consequat diam volutpat aliquet quis mollis sem. Nam id lorem sit amet sapien viverra gravida. Praesent vel sem nec sapien fringilla commodo. Vestibulum turpis augue, placerat non mattis id, tempor eget nibh. Vestibulum tempus leo ut ullamcorper finibus. Donec bibendum egestas mi, a blandit odio fermentum at. Quisque iaculis arcu ac urna volutpat auctor. Nam sed nisl vitae ante vulputate convallis. Nunc sit amet ligula vel est gravida fermentum. Maecenas quis massa pellentesque, molestie augue eget, finibus ipsum. Ut porta luctus nulla, vitae accumsan risus vehicula vitae. Nullam aliquam leo id leo consequat elementum.</w:t>
      </w:r>
    </w:p>
    <w:p w14:paraId="00D4A3E0" w14:textId="1BF3BC04" w:rsidR="00337193" w:rsidRDefault="00337193" w:rsidP="00337193">
      <w:pPr>
        <w:pStyle w:val="Caption"/>
        <w:keepNext/>
        <w:rPr>
          <w:noProof/>
        </w:rPr>
      </w:pPr>
      <w:bookmarkStart w:id="1" w:name="_Ref55490005"/>
      <w:bookmarkStart w:id="2" w:name="_Ref55490332"/>
      <w:r>
        <w:rPr>
          <w:noProof/>
        </w:rPr>
        <w:t xml:space="preserve">Table </w:t>
      </w:r>
      <w:r>
        <w:rPr>
          <w:noProof/>
        </w:rPr>
        <w:fldChar w:fldCharType="begin"/>
      </w:r>
      <w:r>
        <w:rPr>
          <w:noProof/>
        </w:rPr>
        <w:instrText xml:space="preserve"> SEQ Table \* ARABIC </w:instrText>
      </w:r>
      <w:r>
        <w:rPr>
          <w:noProof/>
        </w:rPr>
        <w:fldChar w:fldCharType="separate"/>
      </w:r>
      <w:r w:rsidR="00D53AC2">
        <w:rPr>
          <w:noProof/>
        </w:rPr>
        <w:t>1</w:t>
      </w:r>
      <w:r>
        <w:rPr>
          <w:noProof/>
        </w:rPr>
        <w:fldChar w:fldCharType="end"/>
      </w:r>
      <w:bookmarkEnd w:id="1"/>
      <w:r>
        <w:rPr>
          <w:noProof/>
        </w:rPr>
        <w:t xml:space="preserve"> </w:t>
      </w:r>
      <w:r w:rsidRPr="00F53B8F">
        <w:rPr>
          <w:noProof/>
        </w:rPr>
        <w:t>Interdum et malesuada fames ac ante ipsum primis in faucibus</w:t>
      </w:r>
      <w:r>
        <w:rPr>
          <w:noProof/>
        </w:rPr>
        <w:t>,</w:t>
      </w:r>
      <w:r w:rsidRPr="00F53B8F">
        <w:rPr>
          <w:noProof/>
        </w:rPr>
        <w:t xml:space="preserve"> </w:t>
      </w:r>
      <w:r>
        <w:rPr>
          <w:noProof/>
        </w:rPr>
        <w:t>q</w:t>
      </w:r>
      <w:r w:rsidRPr="00F53B8F">
        <w:rPr>
          <w:noProof/>
        </w:rPr>
        <w:t>uisque in erat nibh.</w:t>
      </w:r>
      <w:bookmarkEnd w:id="2"/>
    </w:p>
    <w:tbl>
      <w:tblPr>
        <w:tblW w:w="9363" w:type="dxa"/>
        <w:jc w:val="right"/>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3784"/>
        <w:gridCol w:w="2070"/>
        <w:gridCol w:w="2070"/>
        <w:gridCol w:w="1439"/>
      </w:tblGrid>
      <w:tr w:rsidR="00850A3B" w14:paraId="7D863CBD" w14:textId="77777777" w:rsidTr="00850A3B">
        <w:trPr>
          <w:jc w:val="right"/>
        </w:trPr>
        <w:tc>
          <w:tcPr>
            <w:tcW w:w="3784" w:type="dxa"/>
            <w:tcBorders>
              <w:top w:val="single" w:sz="2" w:space="0" w:color="000001"/>
              <w:left w:val="single" w:sz="2" w:space="0" w:color="000001"/>
              <w:bottom w:val="single" w:sz="2" w:space="0" w:color="000001"/>
            </w:tcBorders>
            <w:shd w:val="clear" w:color="auto" w:fill="auto"/>
            <w:tcMar>
              <w:left w:w="33" w:type="dxa"/>
            </w:tcMar>
          </w:tcPr>
          <w:p w14:paraId="0DA013E7" w14:textId="46808DEB" w:rsidR="00850A3B" w:rsidRPr="00850A3B" w:rsidRDefault="00850A3B" w:rsidP="00DF76C9">
            <w:pPr>
              <w:pStyle w:val="TableContents"/>
              <w:spacing w:after="103"/>
              <w:jc w:val="center"/>
              <w:rPr>
                <w:b/>
                <w:bCs/>
              </w:rPr>
            </w:pPr>
            <w:r>
              <w:rPr>
                <w:b/>
                <w:bCs/>
              </w:rPr>
              <w:t>Measure</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5128322D" w14:textId="493D1C3A" w:rsidR="00850A3B" w:rsidRPr="00850A3B" w:rsidRDefault="00850A3B" w:rsidP="00DF76C9">
            <w:pPr>
              <w:pStyle w:val="TableContents"/>
              <w:spacing w:after="103"/>
              <w:jc w:val="center"/>
              <w:rPr>
                <w:b/>
                <w:bCs/>
              </w:rPr>
            </w:pPr>
            <w:r>
              <w:rPr>
                <w:b/>
                <w:bCs/>
              </w:rPr>
              <w:t>Control group</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0E19B71A" w14:textId="731EBBA4" w:rsidR="00850A3B" w:rsidRPr="00850A3B" w:rsidRDefault="00850A3B" w:rsidP="00DF76C9">
            <w:pPr>
              <w:pStyle w:val="TableContents"/>
              <w:spacing w:after="103"/>
              <w:jc w:val="center"/>
              <w:rPr>
                <w:b/>
                <w:bCs/>
              </w:rPr>
            </w:pPr>
            <w:r>
              <w:rPr>
                <w:b/>
                <w:bCs/>
              </w:rPr>
              <w:t>Active treatment</w:t>
            </w:r>
          </w:p>
        </w:tc>
        <w:tc>
          <w:tcPr>
            <w:tcW w:w="143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0B921041" w14:textId="79DC1AC9" w:rsidR="00850A3B" w:rsidRPr="00850A3B" w:rsidRDefault="00850A3B" w:rsidP="00DF76C9">
            <w:pPr>
              <w:pStyle w:val="TableContents"/>
              <w:spacing w:after="103"/>
              <w:jc w:val="center"/>
              <w:rPr>
                <w:b/>
                <w:bCs/>
              </w:rPr>
            </w:pPr>
            <w:r>
              <w:rPr>
                <w:b/>
                <w:bCs/>
              </w:rPr>
              <w:t>Total</w:t>
            </w:r>
          </w:p>
        </w:tc>
      </w:tr>
      <w:tr w:rsidR="00850A3B" w14:paraId="0980A547" w14:textId="77777777" w:rsidTr="00850A3B">
        <w:trPr>
          <w:jc w:val="right"/>
        </w:trPr>
        <w:tc>
          <w:tcPr>
            <w:tcW w:w="9363"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vAlign w:val="center"/>
          </w:tcPr>
          <w:p w14:paraId="21D52888" w14:textId="6213DAD3" w:rsidR="00850A3B" w:rsidRPr="00850A3B" w:rsidRDefault="00850A3B" w:rsidP="00DF76C9">
            <w:pPr>
              <w:pStyle w:val="TableContents"/>
              <w:spacing w:after="103"/>
              <w:jc w:val="center"/>
            </w:pPr>
            <w:r>
              <w:t>Males</w:t>
            </w:r>
          </w:p>
        </w:tc>
      </w:tr>
      <w:tr w:rsidR="00850A3B" w14:paraId="4CFC6FC1" w14:textId="77777777" w:rsidTr="00850A3B">
        <w:trPr>
          <w:jc w:val="right"/>
        </w:trPr>
        <w:tc>
          <w:tcPr>
            <w:tcW w:w="3784" w:type="dxa"/>
            <w:tcBorders>
              <w:top w:val="single" w:sz="2" w:space="0" w:color="000001"/>
              <w:left w:val="single" w:sz="2" w:space="0" w:color="000001"/>
              <w:bottom w:val="single" w:sz="2" w:space="0" w:color="000001"/>
            </w:tcBorders>
            <w:shd w:val="clear" w:color="auto" w:fill="auto"/>
            <w:tcMar>
              <w:left w:w="33" w:type="dxa"/>
            </w:tcMar>
          </w:tcPr>
          <w:p w14:paraId="27514D4A" w14:textId="4566199E" w:rsidR="00850A3B" w:rsidRPr="00850A3B" w:rsidRDefault="00850A3B" w:rsidP="00DF76C9">
            <w:pPr>
              <w:pStyle w:val="TableContents"/>
              <w:spacing w:after="103"/>
            </w:pPr>
            <w:r>
              <w:t>N</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750EE812" w14:textId="77777777" w:rsidR="00850A3B" w:rsidRDefault="00850A3B" w:rsidP="00DF76C9">
            <w:pPr>
              <w:pStyle w:val="TableContents"/>
              <w:spacing w:after="103"/>
              <w:rPr>
                <w:lang w:val="uk-UA"/>
              </w:rPr>
            </w:pPr>
            <w:r>
              <w:rPr>
                <w:lang w:val="uk-UA"/>
              </w:rPr>
              <w:t>33</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57E9F2B9" w14:textId="77777777" w:rsidR="00850A3B" w:rsidRDefault="00850A3B" w:rsidP="00DF76C9">
            <w:pPr>
              <w:pStyle w:val="TableContents"/>
              <w:spacing w:after="103"/>
              <w:rPr>
                <w:lang w:val="uk-UA"/>
              </w:rPr>
            </w:pPr>
            <w:r>
              <w:rPr>
                <w:lang w:val="uk-UA"/>
              </w:rPr>
              <w:t>32</w:t>
            </w:r>
          </w:p>
        </w:tc>
        <w:tc>
          <w:tcPr>
            <w:tcW w:w="143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45118A88" w14:textId="77777777" w:rsidR="00850A3B" w:rsidRDefault="00850A3B" w:rsidP="00DF76C9">
            <w:pPr>
              <w:pStyle w:val="TableContents"/>
              <w:spacing w:after="103"/>
              <w:rPr>
                <w:lang w:val="uk-UA"/>
              </w:rPr>
            </w:pPr>
            <w:r>
              <w:rPr>
                <w:lang w:val="uk-UA"/>
              </w:rPr>
              <w:t>65</w:t>
            </w:r>
          </w:p>
        </w:tc>
      </w:tr>
      <w:tr w:rsidR="00850A3B" w14:paraId="31F51A5F" w14:textId="77777777" w:rsidTr="00850A3B">
        <w:trPr>
          <w:jc w:val="right"/>
        </w:trPr>
        <w:tc>
          <w:tcPr>
            <w:tcW w:w="3784" w:type="dxa"/>
            <w:tcBorders>
              <w:top w:val="single" w:sz="2" w:space="0" w:color="000001"/>
              <w:left w:val="single" w:sz="2" w:space="0" w:color="000001"/>
              <w:bottom w:val="single" w:sz="2" w:space="0" w:color="000001"/>
            </w:tcBorders>
            <w:shd w:val="clear" w:color="auto" w:fill="auto"/>
            <w:tcMar>
              <w:left w:w="33" w:type="dxa"/>
            </w:tcMar>
          </w:tcPr>
          <w:p w14:paraId="0B580B9E" w14:textId="34F16DF6" w:rsidR="00850A3B" w:rsidRPr="00850A3B" w:rsidRDefault="00850A3B" w:rsidP="00DF76C9">
            <w:pPr>
              <w:pStyle w:val="TableContents"/>
              <w:spacing w:after="103"/>
            </w:pPr>
            <w:r>
              <w:rPr>
                <w:lang w:val="uk-UA"/>
              </w:rPr>
              <w:t xml:space="preserve">% </w:t>
            </w:r>
            <w:r>
              <w:t>among groups</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4BC27155" w14:textId="77777777" w:rsidR="00850A3B" w:rsidRDefault="00850A3B" w:rsidP="00DF76C9">
            <w:pPr>
              <w:pStyle w:val="TableContents"/>
              <w:spacing w:after="103"/>
              <w:rPr>
                <w:lang w:val="uk-UA"/>
              </w:rPr>
            </w:pPr>
            <w:r>
              <w:rPr>
                <w:lang w:val="uk-UA"/>
              </w:rPr>
              <w:t>50,77%</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7D82A7E9" w14:textId="77777777" w:rsidR="00850A3B" w:rsidRDefault="00850A3B" w:rsidP="00DF76C9">
            <w:pPr>
              <w:pStyle w:val="TableContents"/>
              <w:spacing w:after="103"/>
              <w:rPr>
                <w:lang w:val="uk-UA"/>
              </w:rPr>
            </w:pPr>
            <w:r>
              <w:rPr>
                <w:lang w:val="uk-UA"/>
              </w:rPr>
              <w:t>49,23%</w:t>
            </w:r>
          </w:p>
        </w:tc>
        <w:tc>
          <w:tcPr>
            <w:tcW w:w="143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18709447" w14:textId="77777777" w:rsidR="00850A3B" w:rsidRDefault="00850A3B" w:rsidP="00DF76C9">
            <w:pPr>
              <w:pStyle w:val="TableContents"/>
              <w:spacing w:after="103"/>
              <w:rPr>
                <w:lang w:val="uk-UA"/>
              </w:rPr>
            </w:pPr>
            <w:r>
              <w:rPr>
                <w:lang w:val="uk-UA"/>
              </w:rPr>
              <w:t>100%</w:t>
            </w:r>
          </w:p>
        </w:tc>
      </w:tr>
      <w:tr w:rsidR="00850A3B" w14:paraId="4667BD02" w14:textId="77777777" w:rsidTr="00850A3B">
        <w:trPr>
          <w:jc w:val="right"/>
        </w:trPr>
        <w:tc>
          <w:tcPr>
            <w:tcW w:w="3784" w:type="dxa"/>
            <w:tcBorders>
              <w:top w:val="single" w:sz="2" w:space="0" w:color="000001"/>
              <w:left w:val="single" w:sz="2" w:space="0" w:color="000001"/>
              <w:bottom w:val="single" w:sz="2" w:space="0" w:color="000001"/>
            </w:tcBorders>
            <w:shd w:val="clear" w:color="auto" w:fill="auto"/>
            <w:tcMar>
              <w:left w:w="33" w:type="dxa"/>
            </w:tcMar>
          </w:tcPr>
          <w:p w14:paraId="2301794B" w14:textId="44D73295" w:rsidR="00850A3B" w:rsidRPr="00850A3B" w:rsidRDefault="00850A3B" w:rsidP="00DF76C9">
            <w:pPr>
              <w:pStyle w:val="TableContents"/>
              <w:spacing w:after="103"/>
            </w:pPr>
            <w:r>
              <w:rPr>
                <w:lang w:val="uk-UA"/>
              </w:rPr>
              <w:t xml:space="preserve">% </w:t>
            </w:r>
            <w:r>
              <w:t>among general sample</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0A96F05E" w14:textId="77777777" w:rsidR="00850A3B" w:rsidRDefault="00850A3B" w:rsidP="00DF76C9">
            <w:pPr>
              <w:pStyle w:val="TableContents"/>
              <w:spacing w:after="103"/>
              <w:rPr>
                <w:lang w:val="uk-UA"/>
              </w:rPr>
            </w:pPr>
            <w:r>
              <w:rPr>
                <w:lang w:val="uk-UA"/>
              </w:rPr>
              <w:t>61,11%</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5B8FE983" w14:textId="77777777" w:rsidR="00850A3B" w:rsidRDefault="00850A3B" w:rsidP="00DF76C9">
            <w:pPr>
              <w:pStyle w:val="TableContents"/>
              <w:spacing w:after="103"/>
              <w:rPr>
                <w:lang w:val="uk-UA"/>
              </w:rPr>
            </w:pPr>
            <w:r>
              <w:rPr>
                <w:lang w:val="uk-UA"/>
              </w:rPr>
              <w:t>59,26%</w:t>
            </w:r>
          </w:p>
        </w:tc>
        <w:tc>
          <w:tcPr>
            <w:tcW w:w="143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3AFE3C9A" w14:textId="77777777" w:rsidR="00850A3B" w:rsidRDefault="00850A3B" w:rsidP="00DF76C9">
            <w:pPr>
              <w:pStyle w:val="TableContents"/>
              <w:spacing w:after="103"/>
              <w:rPr>
                <w:lang w:val="uk-UA"/>
              </w:rPr>
            </w:pPr>
            <w:r>
              <w:rPr>
                <w:lang w:val="uk-UA"/>
              </w:rPr>
              <w:t>60,19%</w:t>
            </w:r>
          </w:p>
        </w:tc>
      </w:tr>
      <w:tr w:rsidR="00850A3B" w14:paraId="413999FD" w14:textId="77777777" w:rsidTr="00850A3B">
        <w:trPr>
          <w:jc w:val="right"/>
        </w:trPr>
        <w:tc>
          <w:tcPr>
            <w:tcW w:w="9363"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vAlign w:val="center"/>
          </w:tcPr>
          <w:p w14:paraId="14CAC022" w14:textId="4CA51411" w:rsidR="00850A3B" w:rsidRPr="00850A3B" w:rsidRDefault="00850A3B" w:rsidP="00DF76C9">
            <w:pPr>
              <w:pStyle w:val="TableContents"/>
              <w:spacing w:after="103"/>
              <w:jc w:val="center"/>
            </w:pPr>
            <w:r>
              <w:t>Females</w:t>
            </w:r>
          </w:p>
        </w:tc>
      </w:tr>
      <w:tr w:rsidR="00850A3B" w14:paraId="53E97D96" w14:textId="77777777" w:rsidTr="00850A3B">
        <w:trPr>
          <w:jc w:val="right"/>
        </w:trPr>
        <w:tc>
          <w:tcPr>
            <w:tcW w:w="3784" w:type="dxa"/>
            <w:tcBorders>
              <w:top w:val="single" w:sz="2" w:space="0" w:color="000001"/>
              <w:left w:val="single" w:sz="2" w:space="0" w:color="000001"/>
              <w:bottom w:val="single" w:sz="2" w:space="0" w:color="000001"/>
            </w:tcBorders>
            <w:shd w:val="clear" w:color="auto" w:fill="auto"/>
            <w:tcMar>
              <w:left w:w="33" w:type="dxa"/>
            </w:tcMar>
          </w:tcPr>
          <w:p w14:paraId="59D55D3E" w14:textId="680C4171" w:rsidR="00850A3B" w:rsidRPr="00850A3B" w:rsidRDefault="00850A3B" w:rsidP="00DF76C9">
            <w:pPr>
              <w:pStyle w:val="TableContents"/>
              <w:spacing w:after="103"/>
            </w:pPr>
            <w:r>
              <w:t>N</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696707A9" w14:textId="77777777" w:rsidR="00850A3B" w:rsidRDefault="00850A3B" w:rsidP="00DF76C9">
            <w:pPr>
              <w:pStyle w:val="TableContents"/>
              <w:spacing w:after="103"/>
              <w:rPr>
                <w:lang w:val="uk-UA"/>
              </w:rPr>
            </w:pPr>
            <w:r>
              <w:rPr>
                <w:lang w:val="uk-UA"/>
              </w:rPr>
              <w:t>21</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309DCD11" w14:textId="77777777" w:rsidR="00850A3B" w:rsidRDefault="00850A3B" w:rsidP="00DF76C9">
            <w:pPr>
              <w:pStyle w:val="TableContents"/>
              <w:spacing w:after="103"/>
              <w:rPr>
                <w:lang w:val="uk-UA"/>
              </w:rPr>
            </w:pPr>
            <w:r>
              <w:rPr>
                <w:lang w:val="uk-UA"/>
              </w:rPr>
              <w:t>22</w:t>
            </w:r>
          </w:p>
        </w:tc>
        <w:tc>
          <w:tcPr>
            <w:tcW w:w="143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30D0C384" w14:textId="77777777" w:rsidR="00850A3B" w:rsidRDefault="00850A3B" w:rsidP="00DF76C9">
            <w:pPr>
              <w:pStyle w:val="TableContents"/>
              <w:spacing w:after="103"/>
              <w:rPr>
                <w:lang w:val="uk-UA"/>
              </w:rPr>
            </w:pPr>
            <w:r>
              <w:rPr>
                <w:lang w:val="uk-UA"/>
              </w:rPr>
              <w:t>43</w:t>
            </w:r>
          </w:p>
        </w:tc>
      </w:tr>
      <w:tr w:rsidR="00850A3B" w14:paraId="3FC096F3" w14:textId="77777777" w:rsidTr="00850A3B">
        <w:trPr>
          <w:jc w:val="right"/>
        </w:trPr>
        <w:tc>
          <w:tcPr>
            <w:tcW w:w="3784" w:type="dxa"/>
            <w:tcBorders>
              <w:top w:val="single" w:sz="2" w:space="0" w:color="000001"/>
              <w:left w:val="single" w:sz="2" w:space="0" w:color="000001"/>
              <w:bottom w:val="single" w:sz="2" w:space="0" w:color="000001"/>
            </w:tcBorders>
            <w:shd w:val="clear" w:color="auto" w:fill="auto"/>
            <w:tcMar>
              <w:left w:w="33" w:type="dxa"/>
            </w:tcMar>
          </w:tcPr>
          <w:p w14:paraId="3F83CD24" w14:textId="6C0FACA7" w:rsidR="00850A3B" w:rsidRPr="00850A3B" w:rsidRDefault="00850A3B" w:rsidP="00DF76C9">
            <w:pPr>
              <w:pStyle w:val="TableContents"/>
              <w:spacing w:after="103"/>
            </w:pPr>
            <w:r>
              <w:rPr>
                <w:lang w:val="uk-UA"/>
              </w:rPr>
              <w:t xml:space="preserve">% </w:t>
            </w:r>
            <w:r>
              <w:t>among groups</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3E61BC43" w14:textId="77777777" w:rsidR="00850A3B" w:rsidRDefault="00850A3B" w:rsidP="00DF76C9">
            <w:pPr>
              <w:pStyle w:val="TableContents"/>
              <w:spacing w:after="103"/>
              <w:rPr>
                <w:lang w:val="uk-UA"/>
              </w:rPr>
            </w:pPr>
            <w:r>
              <w:rPr>
                <w:lang w:val="uk-UA"/>
              </w:rPr>
              <w:t>48,84%</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46803C8B" w14:textId="77777777" w:rsidR="00850A3B" w:rsidRDefault="00850A3B" w:rsidP="00DF76C9">
            <w:pPr>
              <w:pStyle w:val="TableContents"/>
              <w:spacing w:after="103"/>
              <w:rPr>
                <w:lang w:val="uk-UA"/>
              </w:rPr>
            </w:pPr>
            <w:r>
              <w:rPr>
                <w:lang w:val="uk-UA"/>
              </w:rPr>
              <w:t>51,16%</w:t>
            </w:r>
          </w:p>
        </w:tc>
        <w:tc>
          <w:tcPr>
            <w:tcW w:w="143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409F710B" w14:textId="77777777" w:rsidR="00850A3B" w:rsidRDefault="00850A3B" w:rsidP="00DF76C9">
            <w:pPr>
              <w:pStyle w:val="TableContents"/>
              <w:spacing w:after="103"/>
              <w:rPr>
                <w:lang w:val="uk-UA"/>
              </w:rPr>
            </w:pPr>
            <w:r>
              <w:rPr>
                <w:lang w:val="uk-UA"/>
              </w:rPr>
              <w:t>100%</w:t>
            </w:r>
          </w:p>
        </w:tc>
      </w:tr>
      <w:tr w:rsidR="00850A3B" w14:paraId="076FA75E" w14:textId="77777777" w:rsidTr="00850A3B">
        <w:trPr>
          <w:jc w:val="right"/>
        </w:trPr>
        <w:tc>
          <w:tcPr>
            <w:tcW w:w="3784" w:type="dxa"/>
            <w:tcBorders>
              <w:top w:val="single" w:sz="2" w:space="0" w:color="000001"/>
              <w:left w:val="single" w:sz="2" w:space="0" w:color="000001"/>
              <w:bottom w:val="single" w:sz="2" w:space="0" w:color="000001"/>
            </w:tcBorders>
            <w:shd w:val="clear" w:color="auto" w:fill="auto"/>
            <w:tcMar>
              <w:left w:w="33" w:type="dxa"/>
            </w:tcMar>
          </w:tcPr>
          <w:p w14:paraId="5A6BCDF4" w14:textId="2D2A0941" w:rsidR="00850A3B" w:rsidRPr="00850A3B" w:rsidRDefault="00850A3B" w:rsidP="00DF76C9">
            <w:pPr>
              <w:pStyle w:val="TableContents"/>
              <w:spacing w:after="103"/>
            </w:pPr>
            <w:r>
              <w:rPr>
                <w:lang w:val="uk-UA"/>
              </w:rPr>
              <w:t xml:space="preserve">% </w:t>
            </w:r>
            <w:r>
              <w:t>among general sample</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74C8F622" w14:textId="77777777" w:rsidR="00850A3B" w:rsidRDefault="00850A3B" w:rsidP="00DF76C9">
            <w:pPr>
              <w:pStyle w:val="TableContents"/>
              <w:spacing w:after="103"/>
              <w:rPr>
                <w:lang w:val="uk-UA"/>
              </w:rPr>
            </w:pPr>
            <w:r>
              <w:rPr>
                <w:lang w:val="uk-UA"/>
              </w:rPr>
              <w:t>38,89%</w:t>
            </w:r>
          </w:p>
        </w:tc>
        <w:tc>
          <w:tcPr>
            <w:tcW w:w="2070" w:type="dxa"/>
            <w:tcBorders>
              <w:top w:val="single" w:sz="2" w:space="0" w:color="000001"/>
              <w:left w:val="single" w:sz="2" w:space="0" w:color="000001"/>
              <w:bottom w:val="single" w:sz="2" w:space="0" w:color="000001"/>
            </w:tcBorders>
            <w:shd w:val="clear" w:color="auto" w:fill="auto"/>
            <w:tcMar>
              <w:left w:w="33" w:type="dxa"/>
            </w:tcMar>
          </w:tcPr>
          <w:p w14:paraId="5C977727" w14:textId="77777777" w:rsidR="00850A3B" w:rsidRDefault="00850A3B" w:rsidP="00DF76C9">
            <w:pPr>
              <w:pStyle w:val="TableContents"/>
              <w:spacing w:after="103"/>
              <w:rPr>
                <w:lang w:val="uk-UA"/>
              </w:rPr>
            </w:pPr>
            <w:r>
              <w:rPr>
                <w:lang w:val="uk-UA"/>
              </w:rPr>
              <w:t>40,74%</w:t>
            </w:r>
          </w:p>
        </w:tc>
        <w:tc>
          <w:tcPr>
            <w:tcW w:w="143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39C2F64C" w14:textId="77777777" w:rsidR="00850A3B" w:rsidRDefault="00850A3B" w:rsidP="00DF76C9">
            <w:pPr>
              <w:pStyle w:val="TableContents"/>
              <w:spacing w:after="103"/>
              <w:rPr>
                <w:lang w:val="uk-UA"/>
              </w:rPr>
            </w:pPr>
            <w:r>
              <w:rPr>
                <w:lang w:val="uk-UA"/>
              </w:rPr>
              <w:t>39,81%</w:t>
            </w:r>
          </w:p>
        </w:tc>
      </w:tr>
    </w:tbl>
    <w:p w14:paraId="19C8C3B7" w14:textId="77777777" w:rsidR="00850A3B" w:rsidRPr="00795B25" w:rsidRDefault="00850A3B" w:rsidP="00795B25">
      <w:pPr>
        <w:pStyle w:val="NormalWeb"/>
        <w:shd w:val="clear" w:color="auto" w:fill="FFFFFF"/>
        <w:spacing w:before="0" w:beforeAutospacing="0" w:after="225" w:afterAutospacing="0"/>
        <w:jc w:val="both"/>
        <w:rPr>
          <w:rFonts w:ascii="Arial" w:hAnsi="Arial" w:cs="Arial"/>
          <w:noProof/>
          <w:color w:val="000000"/>
          <w:sz w:val="21"/>
          <w:szCs w:val="21"/>
        </w:rPr>
      </w:pPr>
    </w:p>
    <w:p w14:paraId="5E2839E4" w14:textId="7777777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Vestibulum lacinia quam ut turpis vehicula, eu condimentum nisl eleifend. Sed aliquam fermentum tortor quis dapibus. Sed rhoncus est sed ligula maximus porttitor. Praesent non gravida diam. Integer sed malesuada leo. Donec posuere nulla a molestie commodo. Vestibulum ante ipsum primis in faucibus orci luctus et ultrices posuere cubilia curae;</w:t>
      </w:r>
    </w:p>
    <w:p w14:paraId="4841CA73" w14:textId="5A17027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Aliquam finibus interdum urna eget hendrerit. </w:t>
      </w:r>
      <w:r w:rsidR="00337193">
        <w:rPr>
          <w:rFonts w:ascii="Arial" w:hAnsi="Arial" w:cs="Arial"/>
          <w:noProof/>
          <w:color w:val="000000"/>
          <w:sz w:val="21"/>
          <w:szCs w:val="21"/>
        </w:rPr>
        <w:t xml:space="preserve">According to the </w:t>
      </w:r>
      <w:r w:rsidR="00337193">
        <w:rPr>
          <w:rFonts w:ascii="Arial" w:hAnsi="Arial" w:cs="Arial"/>
          <w:noProof/>
          <w:color w:val="000000"/>
          <w:sz w:val="21"/>
          <w:szCs w:val="21"/>
        </w:rPr>
        <w:fldChar w:fldCharType="begin"/>
      </w:r>
      <w:r w:rsidR="00337193">
        <w:rPr>
          <w:rFonts w:ascii="Arial" w:hAnsi="Arial" w:cs="Arial"/>
          <w:noProof/>
          <w:color w:val="000000"/>
          <w:sz w:val="21"/>
          <w:szCs w:val="21"/>
        </w:rPr>
        <w:instrText xml:space="preserve"> REF _Ref55490005 \h </w:instrText>
      </w:r>
      <w:r w:rsidR="00337193">
        <w:rPr>
          <w:rFonts w:ascii="Arial" w:hAnsi="Arial" w:cs="Arial"/>
          <w:noProof/>
          <w:color w:val="000000"/>
          <w:sz w:val="21"/>
          <w:szCs w:val="21"/>
        </w:rPr>
      </w:r>
      <w:r w:rsidR="00337193">
        <w:rPr>
          <w:rFonts w:ascii="Arial" w:hAnsi="Arial" w:cs="Arial"/>
          <w:noProof/>
          <w:color w:val="000000"/>
          <w:sz w:val="21"/>
          <w:szCs w:val="21"/>
        </w:rPr>
        <w:fldChar w:fldCharType="separate"/>
      </w:r>
      <w:r w:rsidR="00337193">
        <w:rPr>
          <w:noProof/>
        </w:rPr>
        <w:t>Table 1</w:t>
      </w:r>
      <w:r w:rsidR="00337193">
        <w:rPr>
          <w:rFonts w:ascii="Arial" w:hAnsi="Arial" w:cs="Arial"/>
          <w:noProof/>
          <w:color w:val="000000"/>
          <w:sz w:val="21"/>
          <w:szCs w:val="21"/>
        </w:rPr>
        <w:fldChar w:fldCharType="end"/>
      </w:r>
      <w:r w:rsidR="00337193">
        <w:rPr>
          <w:rFonts w:ascii="Arial" w:hAnsi="Arial" w:cs="Arial"/>
          <w:noProof/>
          <w:color w:val="000000"/>
          <w:sz w:val="21"/>
          <w:szCs w:val="21"/>
        </w:rPr>
        <w:t>, a</w:t>
      </w:r>
      <w:r w:rsidRPr="00795B25">
        <w:rPr>
          <w:rFonts w:ascii="Arial" w:hAnsi="Arial" w:cs="Arial"/>
          <w:noProof/>
          <w:color w:val="000000"/>
          <w:sz w:val="21"/>
          <w:szCs w:val="21"/>
        </w:rPr>
        <w:t>liquam pharetra, erat non iaculis venenatis, ante magna blandit est, vel sodales nunc augue at ipsum</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dGN2cELt","properties":{"formattedCitation":"(28)","plainCitation":"(28)","noteIndex":0},"citationItems":[{"id":5289,"uris":["http://zotero.org/users/3162634/items/685DPWEF"],"uri":["http://zotero.org/users/3162634/items/685DPWEF"],"itemData":{"id":5289,"type":"article-journal","abstract":"Anxiety is a common but underestimated, undertreated, and poorly studied problem in the elderly. Generalized anxiety disorder (GAD) and nonspecific anxiety symptoms that do not fall under a specific anxiety disorder are good examples. The current literature on the epidemiology, consequences, phenomenology, assessment, and treatment implications of these challenging problems is reviewed. A variety of limitations are observed. They include limited understanding of the expression of GAD in this age group, variable definitions of \"elderly\" (specifically with regard to the minimum age), limited ability of currently available diagnostic instruments to identify GAD in the elderly, and the availability of only a few trials addressing treatment of GAD specifically in this group. Despite these limitations there is enough evidence suggesting GAD in the elderly has a potential for negative consequences independent of the common comorbidity with major depressive disorder. The treatments reviewed are promising but need further research in order to document their safety and efficacy. The limitations of our current knowledge are discussed, with recommendations for future research.","container-title":"Harvard Review of Psychiatry","DOI":"10.1080/10673220303944","ISSN":"1067-3229","issue":"4","journalAbbreviation":"Harv Rev Psychiatry","language":"eng","note":"PMID: 12944126","page":"180-193","source":"PubMed","title":"Anxiety symptoms and generalized anxiety disorder in the elderly: a review","title-short":"Anxiety symptoms and generalized anxiety disorder in the elderly","volume":"11","author":[{"family":"Alwahhabi","given":"Fahad"}],"issued":{"date-parts":[["2003",8]]}}}],"schema":"https://github.com/citation-style-language/schema/raw/master/csl-citation.json"}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(28)</w:t>
      </w:r>
      <w:r w:rsidR="002B4D98">
        <w:rPr>
          <w:rFonts w:ascii="Arial" w:hAnsi="Arial" w:cs="Arial"/>
          <w:noProof/>
          <w:color w:val="000000"/>
          <w:sz w:val="21"/>
          <w:szCs w:val="21"/>
        </w:rPr>
        <w:fldChar w:fldCharType="end"/>
      </w:r>
      <w:r w:rsidRPr="00795B25">
        <w:rPr>
          <w:rFonts w:ascii="Arial" w:hAnsi="Arial" w:cs="Arial"/>
          <w:noProof/>
          <w:color w:val="000000"/>
          <w:sz w:val="21"/>
          <w:szCs w:val="21"/>
        </w:rPr>
        <w:t>. Class aptent taciti sociosqu ad litora torquent per conubia nostra, per inceptos himenaeos. Suspendisse maximus interdum ligula, eu iaculis tellus. Aenean eleifend condimentum vehicula. Suspendisse potenti. Sed consequat finibus lectus ac accumsan. Donec congue, elit non lacinia egestas, libero urna laoreet erat, in molestie tellus libero nec nunc. Etiam et mi arcu. Sed scelerisque sapien nec tincidunt sodales. Phasellus semper lobortis dapibus. Suspendisse sem sem, dictum sit amet cursus vel, pulvinar nec metus. Suspendisse rhoncus et libero eget condimentum.</w:t>
      </w:r>
    </w:p>
    <w:p w14:paraId="073AA15D" w14:textId="75C52FA8"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Mauris dui est, pharetra in tincidunt non, interdum vitae ex. Vivamus ac tempor arcu. Suspendisse sagittis ligula sed libero luctus vehicula. Pellentesque venenatis cursus dui, et egestas lorem malesuada ultrices. Aliquam erat volutpat. Lorem ipsum dolor sit amet, consectetur adipiscing elit. Nam sit amet est interdum, tempus urna quis, tempus diam. Aliquam tincidunt sit amet orci eget tincidunt. Curabitur a metus mi. Suspendisse bibendum, nisi a accumsan sollicitudin, arcu magna </w:t>
      </w:r>
      <w:r w:rsidRPr="00795B25">
        <w:rPr>
          <w:rFonts w:ascii="Arial" w:hAnsi="Arial" w:cs="Arial"/>
          <w:noProof/>
          <w:color w:val="000000"/>
          <w:sz w:val="21"/>
          <w:szCs w:val="21"/>
        </w:rPr>
        <w:lastRenderedPageBreak/>
        <w:t>vulputate nibh, et semper dui turpis sed felis. Donec ultricies nec metus ullamcorper consectetur. Integer auctor libero non hendrerit pulvinar. Phasellus in rutrum nibh, at faucibus erat. Nullam lacinia lacus scelerisque dolor consequat dapibus. Sed elementum malesuada diam, a tincidunt nisi sodales eget. Curabitur ultrices, nisi sed elementum rhoncus, tortor dolor ullamcorper tortor, at luctus ligula ante eget nisi.</w:t>
      </w:r>
    </w:p>
    <w:p w14:paraId="28C23D3D" w14:textId="74528A20" w:rsidR="00337193" w:rsidRDefault="00337193" w:rsidP="00337193">
      <w:pPr>
        <w:pStyle w:val="Heading2"/>
        <w:rPr>
          <w:noProof/>
        </w:rPr>
      </w:pPr>
      <w:r>
        <w:rPr>
          <w:noProof/>
        </w:rPr>
        <w:t>Secondary outcomes</w:t>
      </w:r>
    </w:p>
    <w:p w14:paraId="1D89E5AA" w14:textId="5F3526FD" w:rsidR="00683685" w:rsidRPr="00683685" w:rsidRDefault="00683685" w:rsidP="00683685">
      <w:pPr>
        <w:pStyle w:val="Heading3"/>
      </w:pPr>
      <w:r>
        <w:t>Therapeutic criteria</w:t>
      </w:r>
    </w:p>
    <w:p w14:paraId="6F4D22F5" w14:textId="2D47669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Pellentesque ac eros id urna sodales scelerisque eget id mi. Vestibulum tempus diam non nibh facilisis feugiat. Pellentesque interdum, velit a porttitor semper, lorem lacus accumsan erat, ut tempor nulla metus sit amet urna. Quisque vitae leo lectus. Pellentesque at tincidunt turpis. Curabitur accumsan vel est quis vestibulum. Curabitur a ultricies sem, non dapibus felis. Nullam tincidunt blandit pulvinar. Duis diam neque, tincidunt in leo a, pellentesque accumsan libero. Morbi ornare dui non nibh bibendum, aliquam convallis libero venenatis</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9h8WZLOA","properties":{"formattedCitation":"(29)","plainCitation":"(29)","noteIndex":0},"citationItems":[{"id":5264,"uris":["http://zotero.org/users/3162634/items/Y8Z8MNJ6"],"uri":["http://zotero.org/users/3162634/items/Y8Z8MNJ6"],"itemData":{"id":5264,"type":"article-journal","abstract":"It is important for anesthesiologists to appreciate the impact of preoperative anxiety in children. Not only does it cause suffering in many children prior to their surgical experience, it has a negative impact on their postoperative recovery and possibly long afterwards. Because of these concerns, continued research is warranted to seek ways of minimizing their fears in the perioperative setting. In this review, we will examine the risk factors for preoperative anxiety, tools for quantifying children and parent's anxiety, and strategies that may play a part in decreasing preoperative anxiety. Variables, which influence preoperative anxiety in children, include their age, temperament, prior hospital experience and parent coping abilities. This review will also explore issues surrounding parental presence during a child's anesthesia induction and how understanding child development can enhance their cooperativeness during the preoperative period, especially during anesthesia induction. Non-pharmacological interventions as a means of decreasing pediatric anxiety will be explored. Finally recent trends and new directions will be touched upon.","container-title":"Middle East Journal of Anaesthesiology","ISSN":"0544-0440","issue":"2","journalAbbreviation":"Middle East J Anaesthesiol","language":"eng","note":"PMID: 22435267","page":"153-164","source":"PubMed","title":"Preoperative anxiety in children risk factors and non-pharmacological management","volume":"21","author":[{"family":"Ahmed","given":"Mohammad I."},{"family":"Farrell","given":"Maureen A."},{"family":"Parrish","given":"Katie"},{"family":"Karla","given":"Aman"}],"issued":{"date-parts":[["2011",6]]}}}],"schema":"https://github.com/citation-style-language/schema/raw/master/csl-citation.json"}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(29)</w:t>
      </w:r>
      <w:r w:rsidR="002B4D98">
        <w:rPr>
          <w:rFonts w:ascii="Arial" w:hAnsi="Arial" w:cs="Arial"/>
          <w:noProof/>
          <w:color w:val="000000"/>
          <w:sz w:val="21"/>
          <w:szCs w:val="21"/>
        </w:rPr>
        <w:fldChar w:fldCharType="end"/>
      </w:r>
      <w:r w:rsidRPr="00795B25">
        <w:rPr>
          <w:rFonts w:ascii="Arial" w:hAnsi="Arial" w:cs="Arial"/>
          <w:noProof/>
          <w:color w:val="000000"/>
          <w:sz w:val="21"/>
          <w:szCs w:val="21"/>
        </w:rPr>
        <w:t>. Nulla feugiat quam vel risus eleifend euismod. Phasellus lacus ligula, bibendum sit amet finibus nec, ullamcorper at purus. Aliquam gravida elementum dui, sollicitudin pharetra felis facilisis ac. Duis in mauris luctus, scelerisque felis id, vulputate nisl. Etiam turpis lectus, pretium quis egestas ac, dapibus nec nisl. Praesent ornare sapien et orci sollicitudin tristique.</w:t>
      </w:r>
    </w:p>
    <w:p w14:paraId="3DDDBF6F" w14:textId="77777777" w:rsidR="0068368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Fusce at augue a ex accumsan bibendum nec porta enim</w:t>
      </w:r>
      <w:r w:rsidR="00683685">
        <w:rPr>
          <w:rFonts w:ascii="Arial" w:hAnsi="Arial" w:cs="Arial"/>
          <w:noProof/>
          <w:color w:val="000000"/>
          <w:sz w:val="21"/>
          <w:szCs w:val="21"/>
        </w:rPr>
        <w:t>:</w:t>
      </w:r>
      <w:r w:rsidRPr="00795B25">
        <w:rPr>
          <w:rFonts w:ascii="Arial" w:hAnsi="Arial" w:cs="Arial"/>
          <w:noProof/>
          <w:color w:val="000000"/>
          <w:sz w:val="21"/>
          <w:szCs w:val="21"/>
        </w:rPr>
        <w:t xml:space="preserve"> </w:t>
      </w:r>
    </w:p>
    <w:p w14:paraId="7B5E1374" w14:textId="77777777" w:rsidR="00683685" w:rsidRDefault="00795B25" w:rsidP="00683685">
      <w:pPr>
        <w:pStyle w:val="NormalWeb"/>
        <w:numPr>
          <w:ilvl w:val="0"/>
          <w:numId w:val="2"/>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Vestibulum </w:t>
      </w:r>
      <w:r w:rsidRPr="00683685">
        <w:rPr>
          <w:rFonts w:ascii="Arial" w:hAnsi="Arial" w:cs="Arial"/>
          <w:i/>
          <w:iCs/>
          <w:noProof/>
          <w:color w:val="000000"/>
          <w:sz w:val="21"/>
          <w:szCs w:val="21"/>
        </w:rPr>
        <w:t>eget libero iaculis</w:t>
      </w:r>
      <w:r w:rsidRPr="00795B25">
        <w:rPr>
          <w:rFonts w:ascii="Arial" w:hAnsi="Arial" w:cs="Arial"/>
          <w:noProof/>
          <w:color w:val="000000"/>
          <w:sz w:val="21"/>
          <w:szCs w:val="21"/>
        </w:rPr>
        <w:t xml:space="preserve">, sagittis mauris et, eleifend ipsum. </w:t>
      </w:r>
    </w:p>
    <w:p w14:paraId="7500ED3C" w14:textId="77777777" w:rsidR="00683685" w:rsidRDefault="00795B25" w:rsidP="00683685">
      <w:pPr>
        <w:pStyle w:val="NormalWeb"/>
        <w:numPr>
          <w:ilvl w:val="0"/>
          <w:numId w:val="2"/>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Suspendisse eget nibh in lacus varius laoreet. </w:t>
      </w:r>
    </w:p>
    <w:p w14:paraId="12607021" w14:textId="77777777" w:rsidR="00683685" w:rsidRDefault="00795B25" w:rsidP="00683685">
      <w:pPr>
        <w:pStyle w:val="NormalWeb"/>
        <w:numPr>
          <w:ilvl w:val="0"/>
          <w:numId w:val="2"/>
        </w:numPr>
        <w:shd w:val="clear" w:color="auto" w:fill="FFFFFF"/>
        <w:spacing w:before="0" w:beforeAutospacing="0" w:after="225" w:afterAutospacing="0"/>
        <w:jc w:val="both"/>
        <w:rPr>
          <w:rFonts w:ascii="Arial" w:hAnsi="Arial" w:cs="Arial"/>
          <w:noProof/>
          <w:color w:val="000000"/>
          <w:sz w:val="21"/>
          <w:szCs w:val="21"/>
        </w:rPr>
      </w:pPr>
      <w:r w:rsidRPr="00683685">
        <w:rPr>
          <w:rFonts w:ascii="Arial" w:hAnsi="Arial" w:cs="Arial"/>
          <w:b/>
          <w:bCs/>
          <w:noProof/>
          <w:color w:val="000000"/>
          <w:sz w:val="21"/>
          <w:szCs w:val="21"/>
        </w:rPr>
        <w:t>Sed elementum</w:t>
      </w:r>
      <w:r w:rsidRPr="00795B25">
        <w:rPr>
          <w:rFonts w:ascii="Arial" w:hAnsi="Arial" w:cs="Arial"/>
          <w:noProof/>
          <w:color w:val="000000"/>
          <w:sz w:val="21"/>
          <w:szCs w:val="21"/>
        </w:rPr>
        <w:t xml:space="preserve">, lectus nec cursus ultricies, tortor libero condimentum est, nec aliquet dui ligula nec justo. </w:t>
      </w:r>
    </w:p>
    <w:p w14:paraId="4352FB07" w14:textId="77777777" w:rsidR="00683685" w:rsidRDefault="00795B25" w:rsidP="00683685">
      <w:pPr>
        <w:pStyle w:val="NormalWeb"/>
        <w:numPr>
          <w:ilvl w:val="0"/>
          <w:numId w:val="2"/>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Donec ultrices, mi eu gravida pharetra, ante nulla vestibulum nisi, quis tincidunt augue justo sed mi. </w:t>
      </w:r>
    </w:p>
    <w:p w14:paraId="621B9548" w14:textId="77777777" w:rsidR="00683685" w:rsidRDefault="00795B25" w:rsidP="00683685">
      <w:pPr>
        <w:pStyle w:val="NormalWeb"/>
        <w:numPr>
          <w:ilvl w:val="0"/>
          <w:numId w:val="2"/>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Nulla et condimentum libero, id feugiat lectus. Integer lacus orci, consectetur eu finibus ut, aliquet quis ligula.</w:t>
      </w:r>
    </w:p>
    <w:p w14:paraId="0B698678" w14:textId="4323E0C0" w:rsidR="00683685" w:rsidRDefault="00795B25" w:rsidP="00683685">
      <w:pPr>
        <w:pStyle w:val="NormalWeb"/>
        <w:numPr>
          <w:ilvl w:val="0"/>
          <w:numId w:val="2"/>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Donec maximus mauris sed tristique vulputate. </w:t>
      </w:r>
      <w:r w:rsidR="00683685" w:rsidRPr="00795B25">
        <w:rPr>
          <w:rFonts w:ascii="Arial" w:hAnsi="Arial" w:cs="Arial"/>
          <w:noProof/>
          <w:color w:val="000000"/>
          <w:sz w:val="21"/>
          <w:szCs w:val="21"/>
        </w:rPr>
        <w:t>Duis condimentum metus vel neque varius vehicula quis facilisis erat.</w:t>
      </w:r>
    </w:p>
    <w:p w14:paraId="7D42F75A" w14:textId="58A1681C" w:rsidR="00795B25" w:rsidRPr="00795B25" w:rsidRDefault="00795B25" w:rsidP="00683685">
      <w:pPr>
        <w:pStyle w:val="NormalWeb"/>
        <w:numPr>
          <w:ilvl w:val="0"/>
          <w:numId w:val="2"/>
        </w:numPr>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Suspendisse facilisis mattis dui, quis commodo dolor suscipit sit amet. Nullam ut lorem vitae orci faucibus congue. Praesent semper dui dictum, tincidunt metus non, posuere libero.</w:t>
      </w:r>
    </w:p>
    <w:p w14:paraId="0D183CB2" w14:textId="619C96B1"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Etiam semper dui ut tincidunt sodales. Mauris libero sem, molestie in egestas non, hendrerit vel turpis. Proin id massa vitae ligula sagittis semper at eget justo. Morbi quis sodales eros. Vivamus in vehicula ex, ac posuere risus. Donec auctor magna lorem, quis consequat risus elementum a. Sed faucibus, nunc quis ornare scelerisque, nulla mi vestibulum augue, sit amet posuere nibh elit sed nisi. In ante tortor, dapibus vitae pulvinar et, dictum sit amet tellus</w:t>
      </w:r>
      <w:r w:rsidR="00683685">
        <w:rPr>
          <w:rFonts w:ascii="Arial" w:hAnsi="Arial" w:cs="Arial"/>
          <w:noProof/>
          <w:color w:val="000000"/>
          <w:sz w:val="21"/>
          <w:szCs w:val="21"/>
        </w:rPr>
        <w:t xml:space="preserve"> (see </w:t>
      </w:r>
      <w:r w:rsidR="00D53AC2">
        <w:rPr>
          <w:rFonts w:ascii="Arial" w:hAnsi="Arial" w:cs="Arial"/>
          <w:noProof/>
          <w:color w:val="000000"/>
          <w:sz w:val="21"/>
          <w:szCs w:val="21"/>
        </w:rPr>
        <w:fldChar w:fldCharType="begin"/>
      </w:r>
      <w:r w:rsidR="00D53AC2">
        <w:rPr>
          <w:rFonts w:ascii="Arial" w:hAnsi="Arial" w:cs="Arial"/>
          <w:noProof/>
          <w:color w:val="000000"/>
          <w:sz w:val="21"/>
          <w:szCs w:val="21"/>
        </w:rPr>
        <w:instrText xml:space="preserve"> REF _Ref55491652 \h </w:instrText>
      </w:r>
      <w:r w:rsidR="00D53AC2">
        <w:rPr>
          <w:rFonts w:ascii="Arial" w:hAnsi="Arial" w:cs="Arial"/>
          <w:noProof/>
          <w:color w:val="000000"/>
          <w:sz w:val="21"/>
          <w:szCs w:val="21"/>
        </w:rPr>
      </w:r>
      <w:r w:rsidR="00D53AC2">
        <w:rPr>
          <w:rFonts w:ascii="Arial" w:hAnsi="Arial" w:cs="Arial"/>
          <w:noProof/>
          <w:color w:val="000000"/>
          <w:sz w:val="21"/>
          <w:szCs w:val="21"/>
        </w:rPr>
        <w:fldChar w:fldCharType="separate"/>
      </w:r>
      <w:r w:rsidR="00D53AC2">
        <w:rPr>
          <w:noProof/>
        </w:rPr>
        <w:t>Table 2</w:t>
      </w:r>
      <w:r w:rsidR="00D53AC2">
        <w:rPr>
          <w:rFonts w:ascii="Arial" w:hAnsi="Arial" w:cs="Arial"/>
          <w:noProof/>
          <w:color w:val="000000"/>
          <w:sz w:val="21"/>
          <w:szCs w:val="21"/>
        </w:rPr>
        <w:fldChar w:fldCharType="end"/>
      </w:r>
      <w:r w:rsidR="00683685">
        <w:rPr>
          <w:rFonts w:ascii="Arial" w:hAnsi="Arial" w:cs="Arial"/>
          <w:noProof/>
          <w:color w:val="000000"/>
          <w:sz w:val="21"/>
          <w:szCs w:val="21"/>
        </w:rPr>
        <w:t>)</w:t>
      </w:r>
      <w:r w:rsidRPr="00795B25">
        <w:rPr>
          <w:rFonts w:ascii="Arial" w:hAnsi="Arial" w:cs="Arial"/>
          <w:noProof/>
          <w:color w:val="000000"/>
          <w:sz w:val="21"/>
          <w:szCs w:val="21"/>
        </w:rPr>
        <w:t>.</w:t>
      </w:r>
    </w:p>
    <w:p w14:paraId="5A904BBA" w14:textId="08D99D73" w:rsidR="00D53AC2" w:rsidRDefault="00D53AC2" w:rsidP="00D53AC2">
      <w:pPr>
        <w:pStyle w:val="Caption"/>
        <w:keepNext/>
        <w:rPr>
          <w:noProof/>
        </w:rPr>
      </w:pPr>
      <w:bookmarkStart w:id="3" w:name="_Ref55491652"/>
      <w:r>
        <w:rPr>
          <w:noProof/>
        </w:rP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3"/>
      <w:r>
        <w:rPr>
          <w:noProof/>
        </w:rPr>
        <w:t xml:space="preserve"> </w:t>
      </w:r>
      <w:r w:rsidRPr="006E281D">
        <w:rPr>
          <w:noProof/>
        </w:rPr>
        <w:t xml:space="preserve">Maecenas in urna blandit, pellentesque lectus eu, imperdiet nibh </w:t>
      </w:r>
      <w:r>
        <w:rPr>
          <w:noProof/>
        </w:rPr>
        <w:t>a</w:t>
      </w:r>
      <w:r w:rsidRPr="006E281D">
        <w:rPr>
          <w:noProof/>
        </w:rPr>
        <w:t>liquam pretium dignissim purus, nec dapibus ligula.</w:t>
      </w:r>
    </w:p>
    <w:tbl>
      <w:tblPr>
        <w:tblW w:w="9363"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524"/>
        <w:gridCol w:w="1080"/>
        <w:gridCol w:w="1170"/>
        <w:gridCol w:w="900"/>
        <w:gridCol w:w="1530"/>
        <w:gridCol w:w="1170"/>
        <w:gridCol w:w="989"/>
      </w:tblGrid>
      <w:tr w:rsidR="00683685" w14:paraId="2C01B96C" w14:textId="77777777" w:rsidTr="00683685">
        <w:trPr>
          <w:jc w:val="right"/>
        </w:trPr>
        <w:tc>
          <w:tcPr>
            <w:tcW w:w="2524" w:type="dxa"/>
            <w:tcBorders>
              <w:top w:val="single" w:sz="2" w:space="0" w:color="000001"/>
              <w:left w:val="single" w:sz="2" w:space="0" w:color="000001"/>
              <w:bottom w:val="single" w:sz="2" w:space="0" w:color="000001"/>
            </w:tcBorders>
            <w:shd w:val="clear" w:color="auto" w:fill="auto"/>
            <w:tcMar>
              <w:left w:w="39" w:type="dxa"/>
            </w:tcMar>
          </w:tcPr>
          <w:p w14:paraId="7F94159F" w14:textId="24C62AC8" w:rsidR="00683685" w:rsidRDefault="00683685" w:rsidP="00DF76C9">
            <w:pPr>
              <w:pStyle w:val="TableContents"/>
              <w:spacing w:after="103"/>
            </w:pPr>
            <w:r>
              <w:t>Measure</w:t>
            </w:r>
          </w:p>
        </w:tc>
        <w:tc>
          <w:tcPr>
            <w:tcW w:w="1080" w:type="dxa"/>
            <w:tcBorders>
              <w:top w:val="single" w:sz="2" w:space="0" w:color="000001"/>
              <w:left w:val="single" w:sz="2" w:space="0" w:color="000001"/>
              <w:bottom w:val="single" w:sz="2" w:space="0" w:color="000001"/>
            </w:tcBorders>
            <w:shd w:val="clear" w:color="auto" w:fill="auto"/>
            <w:tcMar>
              <w:left w:w="39" w:type="dxa"/>
            </w:tcMar>
          </w:tcPr>
          <w:p w14:paraId="6F0E73D6" w14:textId="20C5469C" w:rsidR="00683685" w:rsidRDefault="00683685" w:rsidP="00DF76C9">
            <w:pPr>
              <w:pStyle w:val="TableContents"/>
              <w:spacing w:after="103"/>
            </w:pPr>
            <w:r>
              <w:t>N</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187EDB58" w14:textId="75CA5867" w:rsidR="00683685" w:rsidRDefault="00683685" w:rsidP="00DF76C9">
            <w:pPr>
              <w:pStyle w:val="TableContents"/>
              <w:spacing w:after="103"/>
            </w:pPr>
            <w:r>
              <w:t>Mean</w:t>
            </w:r>
          </w:p>
        </w:tc>
        <w:tc>
          <w:tcPr>
            <w:tcW w:w="900" w:type="dxa"/>
            <w:tcBorders>
              <w:top w:val="single" w:sz="2" w:space="0" w:color="000001"/>
              <w:left w:val="single" w:sz="2" w:space="0" w:color="000001"/>
              <w:bottom w:val="single" w:sz="2" w:space="0" w:color="000001"/>
            </w:tcBorders>
            <w:shd w:val="clear" w:color="auto" w:fill="auto"/>
            <w:tcMar>
              <w:left w:w="39" w:type="dxa"/>
            </w:tcMar>
          </w:tcPr>
          <w:p w14:paraId="55B18985" w14:textId="17D6B50E" w:rsidR="00683685" w:rsidRDefault="00683685" w:rsidP="00DF76C9">
            <w:pPr>
              <w:pStyle w:val="TableContents"/>
              <w:spacing w:after="103"/>
            </w:pPr>
            <w:r>
              <w:t>SD</w:t>
            </w:r>
          </w:p>
        </w:tc>
        <w:tc>
          <w:tcPr>
            <w:tcW w:w="1530" w:type="dxa"/>
            <w:tcBorders>
              <w:top w:val="single" w:sz="2" w:space="0" w:color="000001"/>
              <w:left w:val="single" w:sz="2" w:space="0" w:color="000001"/>
              <w:bottom w:val="single" w:sz="2" w:space="0" w:color="000001"/>
            </w:tcBorders>
            <w:shd w:val="clear" w:color="auto" w:fill="auto"/>
            <w:tcMar>
              <w:left w:w="39" w:type="dxa"/>
            </w:tcMar>
          </w:tcPr>
          <w:p w14:paraId="16F5A942" w14:textId="074C6CC7" w:rsidR="00683685" w:rsidRDefault="00683685" w:rsidP="00DF76C9">
            <w:pPr>
              <w:pStyle w:val="TableContents"/>
              <w:spacing w:after="103"/>
            </w:pPr>
            <w:r>
              <w:t xml:space="preserve">95% </w:t>
            </w:r>
            <w:r>
              <w:t>CI</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696AF8B4" w14:textId="54ABBD72" w:rsidR="00683685" w:rsidRDefault="00683685" w:rsidP="00DF76C9">
            <w:pPr>
              <w:pStyle w:val="TableContents"/>
              <w:spacing w:after="103"/>
            </w:pPr>
            <w:r>
              <w:t>Max</w:t>
            </w:r>
          </w:p>
        </w:tc>
        <w:tc>
          <w:tcPr>
            <w:tcW w:w="98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47D40647" w14:textId="3F7B0AF7" w:rsidR="00683685" w:rsidRDefault="00683685" w:rsidP="00DF76C9">
            <w:pPr>
              <w:pStyle w:val="TableContents"/>
              <w:spacing w:after="103"/>
            </w:pPr>
            <w:r>
              <w:t>Min</w:t>
            </w:r>
          </w:p>
        </w:tc>
      </w:tr>
      <w:tr w:rsidR="00683685" w14:paraId="41924A34" w14:textId="77777777" w:rsidTr="00683685">
        <w:trPr>
          <w:jc w:val="right"/>
        </w:trPr>
        <w:tc>
          <w:tcPr>
            <w:tcW w:w="2524" w:type="dxa"/>
            <w:tcBorders>
              <w:top w:val="single" w:sz="2" w:space="0" w:color="000001"/>
              <w:left w:val="single" w:sz="2" w:space="0" w:color="000001"/>
              <w:bottom w:val="single" w:sz="2" w:space="0" w:color="000001"/>
            </w:tcBorders>
            <w:shd w:val="clear" w:color="auto" w:fill="auto"/>
            <w:tcMar>
              <w:left w:w="39" w:type="dxa"/>
            </w:tcMar>
          </w:tcPr>
          <w:p w14:paraId="59331FBA" w14:textId="51F192BF" w:rsidR="00683685" w:rsidRDefault="00683685" w:rsidP="00DF76C9">
            <w:pPr>
              <w:pStyle w:val="TableContents"/>
              <w:spacing w:after="103"/>
            </w:pPr>
            <w:r>
              <w:t>Criterion B</w:t>
            </w:r>
          </w:p>
        </w:tc>
        <w:tc>
          <w:tcPr>
            <w:tcW w:w="1080" w:type="dxa"/>
            <w:vMerge w:val="restart"/>
            <w:tcBorders>
              <w:top w:val="single" w:sz="2" w:space="0" w:color="000001"/>
              <w:left w:val="single" w:sz="2" w:space="0" w:color="000001"/>
              <w:bottom w:val="single" w:sz="2" w:space="0" w:color="000001"/>
            </w:tcBorders>
            <w:shd w:val="clear" w:color="auto" w:fill="auto"/>
            <w:tcMar>
              <w:left w:w="39" w:type="dxa"/>
            </w:tcMar>
            <w:vAlign w:val="center"/>
          </w:tcPr>
          <w:p w14:paraId="195504F4" w14:textId="77777777" w:rsidR="00683685" w:rsidRDefault="00683685" w:rsidP="00DF76C9">
            <w:pPr>
              <w:pStyle w:val="TableContents"/>
              <w:spacing w:after="103"/>
              <w:jc w:val="center"/>
            </w:pPr>
            <w:r>
              <w:t>108</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6DABCB12" w14:textId="77777777" w:rsidR="00683685" w:rsidRDefault="00683685" w:rsidP="00DF76C9">
            <w:pPr>
              <w:pStyle w:val="TableContents"/>
              <w:spacing w:after="103"/>
            </w:pPr>
            <w:r>
              <w:t>12,00</w:t>
            </w:r>
          </w:p>
        </w:tc>
        <w:tc>
          <w:tcPr>
            <w:tcW w:w="900" w:type="dxa"/>
            <w:tcBorders>
              <w:top w:val="single" w:sz="2" w:space="0" w:color="000001"/>
              <w:left w:val="single" w:sz="2" w:space="0" w:color="000001"/>
              <w:bottom w:val="single" w:sz="2" w:space="0" w:color="000001"/>
            </w:tcBorders>
            <w:shd w:val="clear" w:color="auto" w:fill="auto"/>
            <w:tcMar>
              <w:left w:w="39" w:type="dxa"/>
            </w:tcMar>
          </w:tcPr>
          <w:p w14:paraId="729A67D9" w14:textId="77777777" w:rsidR="00683685" w:rsidRDefault="00683685" w:rsidP="00DF76C9">
            <w:pPr>
              <w:pStyle w:val="TableContents"/>
              <w:spacing w:after="103"/>
            </w:pPr>
            <w:r>
              <w:t>2,41</w:t>
            </w:r>
          </w:p>
        </w:tc>
        <w:tc>
          <w:tcPr>
            <w:tcW w:w="1530" w:type="dxa"/>
            <w:tcBorders>
              <w:top w:val="single" w:sz="2" w:space="0" w:color="000001"/>
              <w:left w:val="single" w:sz="2" w:space="0" w:color="000001"/>
              <w:bottom w:val="single" w:sz="2" w:space="0" w:color="000001"/>
            </w:tcBorders>
            <w:shd w:val="clear" w:color="auto" w:fill="auto"/>
            <w:tcMar>
              <w:left w:w="39" w:type="dxa"/>
            </w:tcMar>
          </w:tcPr>
          <w:p w14:paraId="288EE8D8" w14:textId="77777777" w:rsidR="00683685" w:rsidRDefault="00683685" w:rsidP="00DF76C9">
            <w:pPr>
              <w:pStyle w:val="TableContents"/>
              <w:spacing w:after="103"/>
            </w:pPr>
            <w:r>
              <w:t>11,54-12,46</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0D87676F" w14:textId="77777777" w:rsidR="00683685" w:rsidRDefault="00683685" w:rsidP="00DF76C9">
            <w:pPr>
              <w:pStyle w:val="TableContents"/>
              <w:spacing w:after="103"/>
            </w:pPr>
            <w:r>
              <w:t>5</w:t>
            </w:r>
          </w:p>
        </w:tc>
        <w:tc>
          <w:tcPr>
            <w:tcW w:w="98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E97D34F" w14:textId="77777777" w:rsidR="00683685" w:rsidRDefault="00683685" w:rsidP="00DF76C9">
            <w:pPr>
              <w:pStyle w:val="TableContents"/>
              <w:spacing w:after="103"/>
            </w:pPr>
            <w:r>
              <w:t>19</w:t>
            </w:r>
          </w:p>
        </w:tc>
      </w:tr>
      <w:tr w:rsidR="00683685" w14:paraId="59527A33" w14:textId="77777777" w:rsidTr="00683685">
        <w:trPr>
          <w:jc w:val="right"/>
        </w:trPr>
        <w:tc>
          <w:tcPr>
            <w:tcW w:w="2524" w:type="dxa"/>
            <w:tcBorders>
              <w:top w:val="single" w:sz="2" w:space="0" w:color="000001"/>
              <w:left w:val="single" w:sz="2" w:space="0" w:color="000001"/>
              <w:bottom w:val="single" w:sz="2" w:space="0" w:color="000001"/>
            </w:tcBorders>
            <w:shd w:val="clear" w:color="auto" w:fill="auto"/>
            <w:tcMar>
              <w:left w:w="39" w:type="dxa"/>
            </w:tcMar>
          </w:tcPr>
          <w:p w14:paraId="243571D4" w14:textId="5731828D" w:rsidR="00683685" w:rsidRDefault="00683685" w:rsidP="00DF76C9">
            <w:pPr>
              <w:pStyle w:val="TableContents"/>
              <w:spacing w:after="103"/>
            </w:pPr>
            <w:r>
              <w:lastRenderedPageBreak/>
              <w:t>Criterion C</w:t>
            </w:r>
          </w:p>
        </w:tc>
        <w:tc>
          <w:tcPr>
            <w:tcW w:w="1080" w:type="dxa"/>
            <w:vMerge/>
            <w:tcBorders>
              <w:top w:val="single" w:sz="2" w:space="0" w:color="000001"/>
              <w:left w:val="single" w:sz="2" w:space="0" w:color="000001"/>
              <w:bottom w:val="single" w:sz="2" w:space="0" w:color="000001"/>
            </w:tcBorders>
            <w:shd w:val="clear" w:color="auto" w:fill="auto"/>
            <w:tcMar>
              <w:left w:w="39" w:type="dxa"/>
            </w:tcMar>
          </w:tcPr>
          <w:p w14:paraId="315C89B0" w14:textId="77777777" w:rsidR="00683685" w:rsidRDefault="00683685" w:rsidP="00DF76C9">
            <w:pPr>
              <w:pStyle w:val="TableContents"/>
              <w:spacing w:after="103"/>
            </w:pP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461AFD34" w14:textId="77777777" w:rsidR="00683685" w:rsidRDefault="00683685" w:rsidP="00DF76C9">
            <w:pPr>
              <w:pStyle w:val="TableContents"/>
              <w:spacing w:after="103"/>
            </w:pPr>
            <w:r>
              <w:t>5,37</w:t>
            </w:r>
          </w:p>
        </w:tc>
        <w:tc>
          <w:tcPr>
            <w:tcW w:w="900" w:type="dxa"/>
            <w:tcBorders>
              <w:top w:val="single" w:sz="2" w:space="0" w:color="000001"/>
              <w:left w:val="single" w:sz="2" w:space="0" w:color="000001"/>
              <w:bottom w:val="single" w:sz="2" w:space="0" w:color="000001"/>
            </w:tcBorders>
            <w:shd w:val="clear" w:color="auto" w:fill="auto"/>
            <w:tcMar>
              <w:left w:w="39" w:type="dxa"/>
            </w:tcMar>
          </w:tcPr>
          <w:p w14:paraId="14708CAF" w14:textId="77777777" w:rsidR="00683685" w:rsidRDefault="00683685" w:rsidP="00DF76C9">
            <w:pPr>
              <w:pStyle w:val="TableContents"/>
              <w:spacing w:after="103"/>
            </w:pPr>
            <w:r>
              <w:t>1,13</w:t>
            </w:r>
          </w:p>
        </w:tc>
        <w:tc>
          <w:tcPr>
            <w:tcW w:w="1530" w:type="dxa"/>
            <w:tcBorders>
              <w:top w:val="single" w:sz="2" w:space="0" w:color="000001"/>
              <w:left w:val="single" w:sz="2" w:space="0" w:color="000001"/>
              <w:bottom w:val="single" w:sz="2" w:space="0" w:color="000001"/>
            </w:tcBorders>
            <w:shd w:val="clear" w:color="auto" w:fill="auto"/>
            <w:tcMar>
              <w:left w:w="39" w:type="dxa"/>
            </w:tcMar>
          </w:tcPr>
          <w:p w14:paraId="3CD1D26B" w14:textId="77777777" w:rsidR="00683685" w:rsidRDefault="00683685" w:rsidP="00DF76C9">
            <w:pPr>
              <w:pStyle w:val="TableContents"/>
              <w:spacing w:after="103"/>
            </w:pPr>
            <w:r>
              <w:t>5,16-5,58</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5882193A" w14:textId="77777777" w:rsidR="00683685" w:rsidRDefault="00683685" w:rsidP="00DF76C9">
            <w:pPr>
              <w:pStyle w:val="TableContents"/>
              <w:spacing w:after="103"/>
            </w:pPr>
            <w:r>
              <w:t>3</w:t>
            </w:r>
          </w:p>
        </w:tc>
        <w:tc>
          <w:tcPr>
            <w:tcW w:w="98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20EB56B" w14:textId="77777777" w:rsidR="00683685" w:rsidRDefault="00683685" w:rsidP="00DF76C9">
            <w:pPr>
              <w:pStyle w:val="TableContents"/>
              <w:spacing w:after="103"/>
            </w:pPr>
            <w:r>
              <w:t>8</w:t>
            </w:r>
          </w:p>
        </w:tc>
      </w:tr>
      <w:tr w:rsidR="00683685" w14:paraId="13AE4E18" w14:textId="77777777" w:rsidTr="00683685">
        <w:trPr>
          <w:jc w:val="right"/>
        </w:trPr>
        <w:tc>
          <w:tcPr>
            <w:tcW w:w="2524" w:type="dxa"/>
            <w:tcBorders>
              <w:top w:val="single" w:sz="2" w:space="0" w:color="000001"/>
              <w:left w:val="single" w:sz="2" w:space="0" w:color="000001"/>
              <w:bottom w:val="single" w:sz="2" w:space="0" w:color="000001"/>
            </w:tcBorders>
            <w:shd w:val="clear" w:color="auto" w:fill="auto"/>
            <w:tcMar>
              <w:left w:w="39" w:type="dxa"/>
            </w:tcMar>
          </w:tcPr>
          <w:p w14:paraId="4C26D66F" w14:textId="1C799052" w:rsidR="00683685" w:rsidRDefault="00683685" w:rsidP="00DF76C9">
            <w:pPr>
              <w:pStyle w:val="TableContents"/>
              <w:spacing w:after="103"/>
            </w:pPr>
            <w:r>
              <w:t>Criterion</w:t>
            </w:r>
            <w:r>
              <w:t xml:space="preserve"> D</w:t>
            </w:r>
          </w:p>
        </w:tc>
        <w:tc>
          <w:tcPr>
            <w:tcW w:w="1080" w:type="dxa"/>
            <w:vMerge/>
            <w:tcBorders>
              <w:top w:val="single" w:sz="2" w:space="0" w:color="000001"/>
              <w:left w:val="single" w:sz="2" w:space="0" w:color="000001"/>
              <w:bottom w:val="single" w:sz="2" w:space="0" w:color="000001"/>
            </w:tcBorders>
            <w:shd w:val="clear" w:color="auto" w:fill="auto"/>
            <w:tcMar>
              <w:left w:w="39" w:type="dxa"/>
            </w:tcMar>
          </w:tcPr>
          <w:p w14:paraId="08FD4D59" w14:textId="77777777" w:rsidR="00683685" w:rsidRDefault="00683685" w:rsidP="00DF76C9">
            <w:pPr>
              <w:pStyle w:val="TableContents"/>
              <w:spacing w:after="103"/>
            </w:pP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788D0DD2" w14:textId="77777777" w:rsidR="00683685" w:rsidRDefault="00683685" w:rsidP="00DF76C9">
            <w:pPr>
              <w:pStyle w:val="TableContents"/>
              <w:spacing w:after="103"/>
            </w:pPr>
            <w:r>
              <w:t>16,48</w:t>
            </w:r>
          </w:p>
        </w:tc>
        <w:tc>
          <w:tcPr>
            <w:tcW w:w="900" w:type="dxa"/>
            <w:tcBorders>
              <w:top w:val="single" w:sz="2" w:space="0" w:color="000001"/>
              <w:left w:val="single" w:sz="2" w:space="0" w:color="000001"/>
              <w:bottom w:val="single" w:sz="2" w:space="0" w:color="000001"/>
            </w:tcBorders>
            <w:shd w:val="clear" w:color="auto" w:fill="auto"/>
            <w:tcMar>
              <w:left w:w="39" w:type="dxa"/>
            </w:tcMar>
          </w:tcPr>
          <w:p w14:paraId="56581DDC" w14:textId="77777777" w:rsidR="00683685" w:rsidRDefault="00683685" w:rsidP="00DF76C9">
            <w:pPr>
              <w:pStyle w:val="TableContents"/>
              <w:spacing w:after="103"/>
            </w:pPr>
            <w:r>
              <w:t>3,33</w:t>
            </w:r>
          </w:p>
        </w:tc>
        <w:tc>
          <w:tcPr>
            <w:tcW w:w="1530" w:type="dxa"/>
            <w:tcBorders>
              <w:top w:val="single" w:sz="2" w:space="0" w:color="000001"/>
              <w:left w:val="single" w:sz="2" w:space="0" w:color="000001"/>
              <w:bottom w:val="single" w:sz="2" w:space="0" w:color="000001"/>
            </w:tcBorders>
            <w:shd w:val="clear" w:color="auto" w:fill="auto"/>
            <w:tcMar>
              <w:left w:w="39" w:type="dxa"/>
            </w:tcMar>
          </w:tcPr>
          <w:p w14:paraId="0D7E6268" w14:textId="77777777" w:rsidR="00683685" w:rsidRDefault="00683685" w:rsidP="00DF76C9">
            <w:pPr>
              <w:pStyle w:val="TableContents"/>
              <w:spacing w:after="103"/>
            </w:pPr>
            <w:r>
              <w:t>15,85-17,12</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4491EF52" w14:textId="77777777" w:rsidR="00683685" w:rsidRDefault="00683685" w:rsidP="00DF76C9">
            <w:pPr>
              <w:pStyle w:val="TableContents"/>
              <w:spacing w:after="103"/>
            </w:pPr>
            <w:r>
              <w:t>10</w:t>
            </w:r>
          </w:p>
        </w:tc>
        <w:tc>
          <w:tcPr>
            <w:tcW w:w="98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D96F7D4" w14:textId="77777777" w:rsidR="00683685" w:rsidRDefault="00683685" w:rsidP="00DF76C9">
            <w:pPr>
              <w:pStyle w:val="TableContents"/>
              <w:spacing w:after="103"/>
            </w:pPr>
            <w:r>
              <w:t>23</w:t>
            </w:r>
          </w:p>
        </w:tc>
      </w:tr>
      <w:tr w:rsidR="00683685" w14:paraId="29F28ACA" w14:textId="77777777" w:rsidTr="00683685">
        <w:trPr>
          <w:jc w:val="right"/>
        </w:trPr>
        <w:tc>
          <w:tcPr>
            <w:tcW w:w="2524" w:type="dxa"/>
            <w:tcBorders>
              <w:top w:val="single" w:sz="2" w:space="0" w:color="000001"/>
              <w:left w:val="single" w:sz="2" w:space="0" w:color="000001"/>
              <w:bottom w:val="single" w:sz="2" w:space="0" w:color="000001"/>
            </w:tcBorders>
            <w:shd w:val="clear" w:color="auto" w:fill="auto"/>
            <w:tcMar>
              <w:left w:w="39" w:type="dxa"/>
            </w:tcMar>
          </w:tcPr>
          <w:p w14:paraId="20F6AC89" w14:textId="2EE5FCFB" w:rsidR="00683685" w:rsidRDefault="00683685" w:rsidP="00DF76C9">
            <w:pPr>
              <w:pStyle w:val="TableContents"/>
              <w:spacing w:after="103"/>
            </w:pPr>
            <w:r>
              <w:t>Criterion</w:t>
            </w:r>
            <w:r>
              <w:t xml:space="preserve"> Е</w:t>
            </w:r>
          </w:p>
        </w:tc>
        <w:tc>
          <w:tcPr>
            <w:tcW w:w="1080" w:type="dxa"/>
            <w:vMerge/>
            <w:tcBorders>
              <w:top w:val="single" w:sz="2" w:space="0" w:color="000001"/>
              <w:left w:val="single" w:sz="2" w:space="0" w:color="000001"/>
              <w:bottom w:val="single" w:sz="2" w:space="0" w:color="000001"/>
            </w:tcBorders>
            <w:shd w:val="clear" w:color="auto" w:fill="auto"/>
            <w:tcMar>
              <w:left w:w="39" w:type="dxa"/>
            </w:tcMar>
          </w:tcPr>
          <w:p w14:paraId="3245D7FD" w14:textId="77777777" w:rsidR="00683685" w:rsidRDefault="00683685" w:rsidP="00DF76C9">
            <w:pPr>
              <w:pStyle w:val="TableContents"/>
              <w:spacing w:after="103"/>
            </w:pP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3C7BE50B" w14:textId="77777777" w:rsidR="00683685" w:rsidRDefault="00683685" w:rsidP="00DF76C9">
            <w:pPr>
              <w:pStyle w:val="TableContents"/>
              <w:spacing w:after="103"/>
            </w:pPr>
            <w:r>
              <w:t>13,09</w:t>
            </w:r>
          </w:p>
        </w:tc>
        <w:tc>
          <w:tcPr>
            <w:tcW w:w="900" w:type="dxa"/>
            <w:tcBorders>
              <w:top w:val="single" w:sz="2" w:space="0" w:color="000001"/>
              <w:left w:val="single" w:sz="2" w:space="0" w:color="000001"/>
              <w:bottom w:val="single" w:sz="2" w:space="0" w:color="000001"/>
            </w:tcBorders>
            <w:shd w:val="clear" w:color="auto" w:fill="auto"/>
            <w:tcMar>
              <w:left w:w="39" w:type="dxa"/>
            </w:tcMar>
          </w:tcPr>
          <w:p w14:paraId="780EB28E" w14:textId="77777777" w:rsidR="00683685" w:rsidRDefault="00683685" w:rsidP="00DF76C9">
            <w:pPr>
              <w:pStyle w:val="TableContents"/>
              <w:spacing w:after="103"/>
            </w:pPr>
            <w:r>
              <w:t>3,07</w:t>
            </w:r>
          </w:p>
        </w:tc>
        <w:tc>
          <w:tcPr>
            <w:tcW w:w="1530" w:type="dxa"/>
            <w:tcBorders>
              <w:top w:val="single" w:sz="2" w:space="0" w:color="000001"/>
              <w:left w:val="single" w:sz="2" w:space="0" w:color="000001"/>
              <w:bottom w:val="single" w:sz="2" w:space="0" w:color="000001"/>
            </w:tcBorders>
            <w:shd w:val="clear" w:color="auto" w:fill="auto"/>
            <w:tcMar>
              <w:left w:w="39" w:type="dxa"/>
            </w:tcMar>
          </w:tcPr>
          <w:p w14:paraId="66E4F070" w14:textId="77777777" w:rsidR="00683685" w:rsidRDefault="00683685" w:rsidP="00DF76C9">
            <w:pPr>
              <w:pStyle w:val="TableContents"/>
              <w:spacing w:after="103"/>
            </w:pPr>
            <w:r>
              <w:t>12,51-13,68</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77E8E674" w14:textId="77777777" w:rsidR="00683685" w:rsidRDefault="00683685" w:rsidP="00DF76C9">
            <w:pPr>
              <w:pStyle w:val="TableContents"/>
              <w:spacing w:after="103"/>
            </w:pPr>
            <w:r>
              <w:t>6</w:t>
            </w:r>
          </w:p>
        </w:tc>
        <w:tc>
          <w:tcPr>
            <w:tcW w:w="98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3CDDF451" w14:textId="77777777" w:rsidR="00683685" w:rsidRDefault="00683685" w:rsidP="00DF76C9">
            <w:pPr>
              <w:pStyle w:val="TableContents"/>
              <w:spacing w:after="103"/>
            </w:pPr>
            <w:r>
              <w:t>20</w:t>
            </w:r>
          </w:p>
        </w:tc>
      </w:tr>
      <w:tr w:rsidR="00683685" w14:paraId="4AC6950B" w14:textId="77777777" w:rsidTr="00683685">
        <w:trPr>
          <w:jc w:val="right"/>
        </w:trPr>
        <w:tc>
          <w:tcPr>
            <w:tcW w:w="2524" w:type="dxa"/>
            <w:tcBorders>
              <w:top w:val="single" w:sz="2" w:space="0" w:color="000001"/>
              <w:left w:val="single" w:sz="2" w:space="0" w:color="000001"/>
              <w:bottom w:val="single" w:sz="2" w:space="0" w:color="000001"/>
            </w:tcBorders>
            <w:shd w:val="clear" w:color="auto" w:fill="auto"/>
            <w:tcMar>
              <w:left w:w="39" w:type="dxa"/>
            </w:tcMar>
          </w:tcPr>
          <w:p w14:paraId="58C3262C" w14:textId="07EB98D3" w:rsidR="00683685" w:rsidRDefault="00683685" w:rsidP="00DF76C9">
            <w:pPr>
              <w:pStyle w:val="TableContents"/>
              <w:spacing w:after="103"/>
            </w:pPr>
            <w:r>
              <w:t>Total</w:t>
            </w:r>
            <w:r>
              <w:t xml:space="preserve"> (B+C+D+E)</w:t>
            </w:r>
          </w:p>
        </w:tc>
        <w:tc>
          <w:tcPr>
            <w:tcW w:w="1080" w:type="dxa"/>
            <w:vMerge/>
            <w:tcBorders>
              <w:top w:val="single" w:sz="2" w:space="0" w:color="000001"/>
              <w:left w:val="single" w:sz="2" w:space="0" w:color="000001"/>
              <w:bottom w:val="single" w:sz="2" w:space="0" w:color="000001"/>
            </w:tcBorders>
            <w:shd w:val="clear" w:color="auto" w:fill="auto"/>
            <w:tcMar>
              <w:left w:w="39" w:type="dxa"/>
            </w:tcMar>
          </w:tcPr>
          <w:p w14:paraId="519C4811" w14:textId="77777777" w:rsidR="00683685" w:rsidRDefault="00683685" w:rsidP="00DF76C9">
            <w:pPr>
              <w:pStyle w:val="TableContents"/>
              <w:spacing w:after="103"/>
            </w:pP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73858518" w14:textId="77777777" w:rsidR="00683685" w:rsidRDefault="00683685" w:rsidP="00DF76C9">
            <w:pPr>
              <w:pStyle w:val="TableContents"/>
              <w:spacing w:after="103"/>
            </w:pPr>
            <w:r>
              <w:t>46,93</w:t>
            </w:r>
          </w:p>
        </w:tc>
        <w:tc>
          <w:tcPr>
            <w:tcW w:w="900" w:type="dxa"/>
            <w:tcBorders>
              <w:top w:val="single" w:sz="2" w:space="0" w:color="000001"/>
              <w:left w:val="single" w:sz="2" w:space="0" w:color="000001"/>
              <w:bottom w:val="single" w:sz="2" w:space="0" w:color="000001"/>
            </w:tcBorders>
            <w:shd w:val="clear" w:color="auto" w:fill="auto"/>
            <w:tcMar>
              <w:left w:w="39" w:type="dxa"/>
            </w:tcMar>
          </w:tcPr>
          <w:p w14:paraId="644FF083" w14:textId="77777777" w:rsidR="00683685" w:rsidRDefault="00683685" w:rsidP="00DF76C9">
            <w:pPr>
              <w:pStyle w:val="TableContents"/>
              <w:spacing w:after="103"/>
            </w:pPr>
            <w:r>
              <w:t>8,44</w:t>
            </w:r>
          </w:p>
        </w:tc>
        <w:tc>
          <w:tcPr>
            <w:tcW w:w="1530" w:type="dxa"/>
            <w:tcBorders>
              <w:top w:val="single" w:sz="2" w:space="0" w:color="000001"/>
              <w:left w:val="single" w:sz="2" w:space="0" w:color="000001"/>
              <w:bottom w:val="single" w:sz="2" w:space="0" w:color="000001"/>
            </w:tcBorders>
            <w:shd w:val="clear" w:color="auto" w:fill="auto"/>
            <w:tcMar>
              <w:left w:w="39" w:type="dxa"/>
            </w:tcMar>
          </w:tcPr>
          <w:p w14:paraId="69CAC919" w14:textId="77777777" w:rsidR="00683685" w:rsidRDefault="00683685" w:rsidP="00DF76C9">
            <w:pPr>
              <w:pStyle w:val="TableContents"/>
              <w:spacing w:after="103"/>
            </w:pPr>
            <w:r>
              <w:t>45,32-48,54</w:t>
            </w:r>
          </w:p>
        </w:tc>
        <w:tc>
          <w:tcPr>
            <w:tcW w:w="1170" w:type="dxa"/>
            <w:tcBorders>
              <w:top w:val="single" w:sz="2" w:space="0" w:color="000001"/>
              <w:left w:val="single" w:sz="2" w:space="0" w:color="000001"/>
              <w:bottom w:val="single" w:sz="2" w:space="0" w:color="000001"/>
            </w:tcBorders>
            <w:shd w:val="clear" w:color="auto" w:fill="auto"/>
            <w:tcMar>
              <w:left w:w="39" w:type="dxa"/>
            </w:tcMar>
          </w:tcPr>
          <w:p w14:paraId="2391B96C" w14:textId="77777777" w:rsidR="00683685" w:rsidRDefault="00683685" w:rsidP="00DF76C9">
            <w:pPr>
              <w:pStyle w:val="TableContents"/>
              <w:spacing w:after="103"/>
            </w:pPr>
            <w:r>
              <w:t>26</w:t>
            </w:r>
          </w:p>
        </w:tc>
        <w:tc>
          <w:tcPr>
            <w:tcW w:w="98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88328F2" w14:textId="77777777" w:rsidR="00683685" w:rsidRDefault="00683685" w:rsidP="00DF76C9">
            <w:pPr>
              <w:pStyle w:val="TableContents"/>
              <w:spacing w:after="103"/>
            </w:pPr>
            <w:r>
              <w:t>68</w:t>
            </w:r>
          </w:p>
        </w:tc>
      </w:tr>
    </w:tbl>
    <w:p w14:paraId="66A1F0C5" w14:textId="77777777" w:rsidR="00683685" w:rsidRPr="00795B25" w:rsidRDefault="00683685" w:rsidP="00795B25">
      <w:pPr>
        <w:pStyle w:val="NormalWeb"/>
        <w:shd w:val="clear" w:color="auto" w:fill="FFFFFF"/>
        <w:spacing w:before="0" w:beforeAutospacing="0" w:after="225" w:afterAutospacing="0"/>
        <w:jc w:val="both"/>
        <w:rPr>
          <w:rFonts w:ascii="Arial" w:hAnsi="Arial" w:cs="Arial"/>
          <w:noProof/>
          <w:color w:val="000000"/>
          <w:sz w:val="21"/>
          <w:szCs w:val="21"/>
        </w:rPr>
      </w:pPr>
    </w:p>
    <w:p w14:paraId="43549755" w14:textId="1525931A"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In et semper nisi. Praesent tempus ex dui, et placerat tortor porta imperdiet. Nam placerat nisl at ipsum porttitor porttitor. Integer nibh orci, finibus eu convallis in, sollicitudin nec nunc. Pellentesque suscipit nisi nec condimentum hendrerit. Pellentesque eleifend nunc non feugiat bibendum. Ut dignissim turpis et tincidunt ullamcorper. Donec gravida et tellus vel condimentum. Mauris at sollicitudin velit. Aliquam sodales sem neque, id faucibus justo feugiat convallis. Proin feugiat purus a nulla mattis, nec tristique urna tincidunt. Quisque purus dolor, ultricies a est ac, vulputate congue mauris. Nulla tincidunt vitae purus vitae posuere. Curabitur molestie, quam vitae cursus molestie, mi risus vestibulum eros, nec egestas ex purus sit amet augue. Mauris ex eros, luctus iaculis tincidunt at, mattis eget ante.</w:t>
      </w:r>
    </w:p>
    <w:p w14:paraId="5D890218" w14:textId="4DFE362F" w:rsidR="00683685" w:rsidRPr="00795B25" w:rsidRDefault="00683685" w:rsidP="00683685">
      <w:pPr>
        <w:pStyle w:val="Heading3"/>
        <w:rPr>
          <w:noProof/>
        </w:rPr>
      </w:pPr>
      <w:r>
        <w:rPr>
          <w:noProof/>
        </w:rPr>
        <w:t>Symptoms intensity</w:t>
      </w:r>
    </w:p>
    <w:p w14:paraId="1F3E7A1D" w14:textId="7777777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Praesent dignissim vel ante quis efficitur. Donec quis nulla tortor. Integer placerat ipsum in urna vehicula iaculis. Nunc in metus dui. Nam fringilla lectus vitae nisl commodo pharetra. Cras quis luctus nunc. Nullam lorem ante, sagittis sed vestibulum sit amet, placerat vel magna. In nisl orci, sodales vitae risus ac, congue pretium tellus. Nam non ultrices massa, non dignissim ante. Duis porta varius dui luctus venenatis. Donec pharetra vehicula ipsum id accumsan. Nullam vitae arcu lobortis, egestas ligula eget, ullamcorper nulla. Integer aliquam dolor id metus suscipit bibendum.</w:t>
      </w:r>
    </w:p>
    <w:p w14:paraId="3ADF6308" w14:textId="3BF6F09E" w:rsid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Curabitur tempus rhoncus nulla dignissim sollicitudin. </w:t>
      </w:r>
      <w:r w:rsidR="00D53AC2">
        <w:rPr>
          <w:rFonts w:ascii="Arial" w:hAnsi="Arial" w:cs="Arial"/>
          <w:noProof/>
          <w:color w:val="000000"/>
          <w:sz w:val="21"/>
          <w:szCs w:val="21"/>
        </w:rPr>
        <w:t xml:space="preserve">As described in </w:t>
      </w:r>
      <w:r w:rsidR="00D53AC2">
        <w:rPr>
          <w:rFonts w:ascii="Arial" w:hAnsi="Arial" w:cs="Arial"/>
          <w:noProof/>
          <w:color w:val="000000"/>
          <w:sz w:val="21"/>
          <w:szCs w:val="21"/>
        </w:rPr>
        <w:fldChar w:fldCharType="begin"/>
      </w:r>
      <w:r w:rsidR="00D53AC2">
        <w:rPr>
          <w:rFonts w:ascii="Arial" w:hAnsi="Arial" w:cs="Arial"/>
          <w:noProof/>
          <w:color w:val="000000"/>
          <w:sz w:val="21"/>
          <w:szCs w:val="21"/>
        </w:rPr>
        <w:instrText xml:space="preserve"> REF _Ref55491696 \h </w:instrText>
      </w:r>
      <w:r w:rsidR="00D53AC2">
        <w:rPr>
          <w:rFonts w:ascii="Arial" w:hAnsi="Arial" w:cs="Arial"/>
          <w:noProof/>
          <w:color w:val="000000"/>
          <w:sz w:val="21"/>
          <w:szCs w:val="21"/>
        </w:rPr>
      </w:r>
      <w:r w:rsidR="00D53AC2">
        <w:rPr>
          <w:rFonts w:ascii="Arial" w:hAnsi="Arial" w:cs="Arial"/>
          <w:noProof/>
          <w:color w:val="000000"/>
          <w:sz w:val="21"/>
          <w:szCs w:val="21"/>
        </w:rPr>
        <w:fldChar w:fldCharType="separate"/>
      </w:r>
      <w:r w:rsidR="00D53AC2">
        <w:rPr>
          <w:noProof/>
        </w:rPr>
        <w:t>Table 3</w:t>
      </w:r>
      <w:r w:rsidR="00D53AC2">
        <w:rPr>
          <w:rFonts w:ascii="Arial" w:hAnsi="Arial" w:cs="Arial"/>
          <w:noProof/>
          <w:color w:val="000000"/>
          <w:sz w:val="21"/>
          <w:szCs w:val="21"/>
        </w:rPr>
        <w:fldChar w:fldCharType="end"/>
      </w:r>
      <w:r w:rsidR="00D53AC2">
        <w:rPr>
          <w:rFonts w:ascii="Arial" w:hAnsi="Arial" w:cs="Arial"/>
          <w:noProof/>
          <w:color w:val="000000"/>
          <w:sz w:val="21"/>
          <w:szCs w:val="21"/>
        </w:rPr>
        <w:t>, i</w:t>
      </w:r>
      <w:r w:rsidRPr="00795B25">
        <w:rPr>
          <w:rFonts w:ascii="Arial" w:hAnsi="Arial" w:cs="Arial"/>
          <w:noProof/>
          <w:color w:val="000000"/>
          <w:sz w:val="21"/>
          <w:szCs w:val="21"/>
        </w:rPr>
        <w:t>nteger faucibus sollicitudin dapibus. Donec congue dictum dolor quis mattis. Aenean dignissim orci est, id ultrices sapien efficitur eu. Suspendisse ultrices tincidunt gravida. Pellentesque enim dui, convallis id pretium dapibus, rutrum id magna. Morbi at lobortis lacus.</w:t>
      </w:r>
    </w:p>
    <w:p w14:paraId="52B488A9" w14:textId="30E43126" w:rsidR="00D53AC2" w:rsidRDefault="00D53AC2" w:rsidP="00D53AC2">
      <w:pPr>
        <w:pStyle w:val="Caption"/>
        <w:keepNext/>
        <w:rPr>
          <w:noProof/>
        </w:rPr>
      </w:pPr>
      <w:bookmarkStart w:id="4" w:name="_Ref55491696"/>
      <w:r>
        <w:rPr>
          <w:noProof/>
        </w:rP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4"/>
      <w:r>
        <w:rPr>
          <w:noProof/>
        </w:rPr>
        <w:t xml:space="preserve"> </w:t>
      </w:r>
      <w:r w:rsidRPr="002960EF">
        <w:rPr>
          <w:noProof/>
        </w:rPr>
        <w:t>Vivamus feugiat felis lectus, sit amet tempor nunc sagittis at</w:t>
      </w:r>
      <w:r>
        <w:rPr>
          <w:noProof/>
        </w:rPr>
        <w:t xml:space="preserve"> </w:t>
      </w:r>
      <w:r w:rsidRPr="002960EF">
        <w:rPr>
          <w:noProof/>
        </w:rPr>
        <w:t>uspendisse tincidunt egestas porttitor</w:t>
      </w:r>
      <w:r>
        <w:rPr>
          <w:noProof/>
        </w:rPr>
        <w:t>,</w:t>
      </w:r>
      <w:r w:rsidRPr="002960EF">
        <w:rPr>
          <w:noProof/>
        </w:rPr>
        <w:t xml:space="preserve"> </w:t>
      </w:r>
      <w:r>
        <w:rPr>
          <w:noProof/>
        </w:rPr>
        <w:t>v</w:t>
      </w:r>
      <w:r w:rsidRPr="002960EF">
        <w:rPr>
          <w:noProof/>
        </w:rPr>
        <w:t>estibulum mauris sapien, viverra ut ex vel, accumsan convallis tellus.</w:t>
      </w:r>
    </w:p>
    <w:tbl>
      <w:tblPr>
        <w:tblW w:w="9306" w:type="dxa"/>
        <w:jc w:val="right"/>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6576"/>
        <w:gridCol w:w="1080"/>
        <w:gridCol w:w="1650"/>
      </w:tblGrid>
      <w:tr w:rsidR="00683685" w14:paraId="6A3C5E0E" w14:textId="77777777" w:rsidTr="00D53AC2">
        <w:trPr>
          <w:jc w:val="right"/>
        </w:trPr>
        <w:tc>
          <w:tcPr>
            <w:tcW w:w="6576" w:type="dxa"/>
            <w:tcBorders>
              <w:top w:val="single" w:sz="2" w:space="0" w:color="000001"/>
              <w:left w:val="single" w:sz="2" w:space="0" w:color="000001"/>
              <w:bottom w:val="single" w:sz="2" w:space="0" w:color="000001"/>
            </w:tcBorders>
            <w:shd w:val="clear" w:color="auto" w:fill="auto"/>
            <w:tcMar>
              <w:left w:w="42" w:type="dxa"/>
            </w:tcMar>
          </w:tcPr>
          <w:p w14:paraId="3BA2C83E" w14:textId="4A4AACBE" w:rsidR="00683685" w:rsidRDefault="00683685" w:rsidP="00DF76C9">
            <w:pPr>
              <w:pStyle w:val="TableContents"/>
              <w:spacing w:after="103"/>
            </w:pPr>
            <w:r>
              <w:t>Intensity</w:t>
            </w:r>
          </w:p>
        </w:tc>
        <w:tc>
          <w:tcPr>
            <w:tcW w:w="1080" w:type="dxa"/>
            <w:tcBorders>
              <w:top w:val="single" w:sz="2" w:space="0" w:color="000001"/>
              <w:left w:val="single" w:sz="2" w:space="0" w:color="000001"/>
              <w:bottom w:val="single" w:sz="2" w:space="0" w:color="000001"/>
            </w:tcBorders>
            <w:shd w:val="clear" w:color="auto" w:fill="auto"/>
            <w:tcMar>
              <w:left w:w="42" w:type="dxa"/>
            </w:tcMar>
          </w:tcPr>
          <w:p w14:paraId="6EE8D7E6" w14:textId="0DFBCD7E" w:rsidR="00683685" w:rsidRDefault="00683685" w:rsidP="00DF76C9">
            <w:pPr>
              <w:pStyle w:val="TableContents"/>
              <w:spacing w:after="103"/>
            </w:pPr>
            <w:r>
              <w:t>Frequency</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5AF898A" w14:textId="37F2B13F" w:rsidR="00683685" w:rsidRDefault="00683685" w:rsidP="00DF76C9">
            <w:pPr>
              <w:pStyle w:val="TableContents"/>
              <w:spacing w:after="103"/>
            </w:pPr>
            <w:r>
              <w:t xml:space="preserve">% </w:t>
            </w:r>
            <w:r w:rsidR="00D53AC2">
              <w:t>among</w:t>
            </w:r>
            <w:r>
              <w:t xml:space="preserve"> general population</w:t>
            </w:r>
          </w:p>
        </w:tc>
      </w:tr>
      <w:tr w:rsidR="00683685" w14:paraId="45810052" w14:textId="77777777" w:rsidTr="00D53AC2">
        <w:trPr>
          <w:jc w:val="right"/>
        </w:trPr>
        <w:tc>
          <w:tcPr>
            <w:tcW w:w="9306" w:type="dxa"/>
            <w:gridSpan w:val="3"/>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14:paraId="28F120B8" w14:textId="369081E0" w:rsidR="00683685" w:rsidRDefault="00D53AC2" w:rsidP="00DF76C9">
            <w:pPr>
              <w:pStyle w:val="TableContents"/>
              <w:spacing w:after="103"/>
              <w:jc w:val="center"/>
            </w:pPr>
            <w:r>
              <w:t>Core symptoms</w:t>
            </w:r>
          </w:p>
        </w:tc>
      </w:tr>
      <w:tr w:rsidR="00683685" w14:paraId="5A7F4E4C" w14:textId="77777777" w:rsidTr="00D53AC2">
        <w:trPr>
          <w:jc w:val="right"/>
        </w:trPr>
        <w:tc>
          <w:tcPr>
            <w:tcW w:w="6576" w:type="dxa"/>
            <w:tcBorders>
              <w:top w:val="single" w:sz="2" w:space="0" w:color="000001"/>
              <w:left w:val="single" w:sz="2" w:space="0" w:color="000001"/>
              <w:bottom w:val="single" w:sz="2" w:space="0" w:color="000001"/>
            </w:tcBorders>
            <w:shd w:val="clear" w:color="auto" w:fill="auto"/>
            <w:tcMar>
              <w:left w:w="42" w:type="dxa"/>
            </w:tcMar>
          </w:tcPr>
          <w:p w14:paraId="00F61C97" w14:textId="5CFA1C7D" w:rsidR="00683685" w:rsidRDefault="00D53AC2" w:rsidP="00DF76C9">
            <w:pPr>
              <w:pStyle w:val="TableContents"/>
              <w:spacing w:after="103"/>
            </w:pPr>
            <w:r>
              <w:t>Absence</w:t>
            </w:r>
          </w:p>
        </w:tc>
        <w:tc>
          <w:tcPr>
            <w:tcW w:w="1080" w:type="dxa"/>
            <w:tcBorders>
              <w:top w:val="single" w:sz="2" w:space="0" w:color="000001"/>
              <w:left w:val="single" w:sz="2" w:space="0" w:color="000001"/>
              <w:bottom w:val="single" w:sz="2" w:space="0" w:color="000001"/>
            </w:tcBorders>
            <w:shd w:val="clear" w:color="auto" w:fill="auto"/>
            <w:tcMar>
              <w:left w:w="42" w:type="dxa"/>
            </w:tcMar>
          </w:tcPr>
          <w:p w14:paraId="7CB37550" w14:textId="77777777" w:rsidR="00683685" w:rsidRDefault="00683685" w:rsidP="00DF76C9">
            <w:pPr>
              <w:pStyle w:val="TableContents"/>
              <w:spacing w:after="103"/>
            </w:pPr>
            <w:r>
              <w:t>64</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BA88191" w14:textId="77777777" w:rsidR="00683685" w:rsidRDefault="00683685" w:rsidP="00DF76C9">
            <w:pPr>
              <w:pStyle w:val="TableContents"/>
              <w:spacing w:after="103"/>
            </w:pPr>
            <w:r>
              <w:t>59,26%</w:t>
            </w:r>
          </w:p>
        </w:tc>
      </w:tr>
      <w:tr w:rsidR="00683685" w14:paraId="7040B008" w14:textId="77777777" w:rsidTr="00D53AC2">
        <w:trPr>
          <w:jc w:val="right"/>
        </w:trPr>
        <w:tc>
          <w:tcPr>
            <w:tcW w:w="6576" w:type="dxa"/>
            <w:tcBorders>
              <w:top w:val="single" w:sz="2" w:space="0" w:color="000001"/>
              <w:left w:val="single" w:sz="2" w:space="0" w:color="000001"/>
              <w:bottom w:val="single" w:sz="2" w:space="0" w:color="000001"/>
            </w:tcBorders>
            <w:shd w:val="clear" w:color="auto" w:fill="auto"/>
            <w:tcMar>
              <w:left w:w="42" w:type="dxa"/>
            </w:tcMar>
          </w:tcPr>
          <w:p w14:paraId="60EBA368" w14:textId="0FAD10ED" w:rsidR="00683685" w:rsidRDefault="00D53AC2" w:rsidP="00DF76C9">
            <w:pPr>
              <w:pStyle w:val="TableContents"/>
              <w:spacing w:after="103"/>
            </w:pPr>
            <w:r>
              <w:t>Borderline</w:t>
            </w:r>
          </w:p>
        </w:tc>
        <w:tc>
          <w:tcPr>
            <w:tcW w:w="1080" w:type="dxa"/>
            <w:tcBorders>
              <w:top w:val="single" w:sz="2" w:space="0" w:color="000001"/>
              <w:left w:val="single" w:sz="2" w:space="0" w:color="000001"/>
              <w:bottom w:val="single" w:sz="2" w:space="0" w:color="000001"/>
            </w:tcBorders>
            <w:shd w:val="clear" w:color="auto" w:fill="auto"/>
            <w:tcMar>
              <w:left w:w="42" w:type="dxa"/>
            </w:tcMar>
          </w:tcPr>
          <w:p w14:paraId="4AE8B8E7" w14:textId="77777777" w:rsidR="00683685" w:rsidRDefault="00683685" w:rsidP="00DF76C9">
            <w:pPr>
              <w:pStyle w:val="TableContents"/>
              <w:spacing w:after="103"/>
            </w:pPr>
            <w:r>
              <w:t>28</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D0A53E0" w14:textId="77777777" w:rsidR="00683685" w:rsidRDefault="00683685" w:rsidP="00DF76C9">
            <w:pPr>
              <w:pStyle w:val="TableContents"/>
              <w:spacing w:after="103"/>
            </w:pPr>
            <w:r>
              <w:t>25,93%</w:t>
            </w:r>
          </w:p>
        </w:tc>
      </w:tr>
      <w:tr w:rsidR="00683685" w14:paraId="18518355" w14:textId="77777777" w:rsidTr="00D53AC2">
        <w:trPr>
          <w:jc w:val="right"/>
        </w:trPr>
        <w:tc>
          <w:tcPr>
            <w:tcW w:w="6576" w:type="dxa"/>
            <w:tcBorders>
              <w:top w:val="single" w:sz="2" w:space="0" w:color="000001"/>
              <w:left w:val="single" w:sz="2" w:space="0" w:color="000001"/>
              <w:bottom w:val="single" w:sz="2" w:space="0" w:color="000001"/>
            </w:tcBorders>
            <w:shd w:val="clear" w:color="auto" w:fill="auto"/>
            <w:tcMar>
              <w:left w:w="42" w:type="dxa"/>
            </w:tcMar>
          </w:tcPr>
          <w:p w14:paraId="7CAE262D" w14:textId="7473BFBF" w:rsidR="00683685" w:rsidRDefault="00D53AC2" w:rsidP="00DF76C9">
            <w:pPr>
              <w:pStyle w:val="TableContents"/>
              <w:spacing w:after="103"/>
            </w:pPr>
            <w:r>
              <w:t>Clinically significant</w:t>
            </w:r>
          </w:p>
        </w:tc>
        <w:tc>
          <w:tcPr>
            <w:tcW w:w="1080" w:type="dxa"/>
            <w:tcBorders>
              <w:top w:val="single" w:sz="2" w:space="0" w:color="000001"/>
              <w:left w:val="single" w:sz="2" w:space="0" w:color="000001"/>
              <w:bottom w:val="single" w:sz="2" w:space="0" w:color="000001"/>
            </w:tcBorders>
            <w:shd w:val="clear" w:color="auto" w:fill="auto"/>
            <w:tcMar>
              <w:left w:w="42" w:type="dxa"/>
            </w:tcMar>
          </w:tcPr>
          <w:p w14:paraId="3FFB958B" w14:textId="77777777" w:rsidR="00683685" w:rsidRDefault="00683685" w:rsidP="00DF76C9">
            <w:pPr>
              <w:pStyle w:val="TableContents"/>
              <w:spacing w:after="103"/>
            </w:pPr>
            <w:r>
              <w:t>16</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1A4BF74" w14:textId="77777777" w:rsidR="00683685" w:rsidRDefault="00683685" w:rsidP="00DF76C9">
            <w:pPr>
              <w:pStyle w:val="TableContents"/>
              <w:spacing w:after="103"/>
            </w:pPr>
            <w:r>
              <w:t>14,81%</w:t>
            </w:r>
          </w:p>
        </w:tc>
      </w:tr>
      <w:tr w:rsidR="00683685" w14:paraId="41100D4B" w14:textId="77777777" w:rsidTr="00D53AC2">
        <w:trPr>
          <w:jc w:val="right"/>
        </w:trPr>
        <w:tc>
          <w:tcPr>
            <w:tcW w:w="9306" w:type="dxa"/>
            <w:gridSpan w:val="3"/>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14:paraId="0A282495" w14:textId="3C5F712D" w:rsidR="00683685" w:rsidRDefault="00D53AC2" w:rsidP="00DF76C9">
            <w:pPr>
              <w:pStyle w:val="TableContents"/>
              <w:spacing w:after="103"/>
              <w:jc w:val="center"/>
            </w:pPr>
            <w:r>
              <w:t>Secondary symptoms</w:t>
            </w:r>
          </w:p>
        </w:tc>
      </w:tr>
      <w:tr w:rsidR="00D53AC2" w14:paraId="107585C4" w14:textId="77777777" w:rsidTr="00D53AC2">
        <w:trPr>
          <w:jc w:val="right"/>
        </w:trPr>
        <w:tc>
          <w:tcPr>
            <w:tcW w:w="6576" w:type="dxa"/>
            <w:tcBorders>
              <w:top w:val="single" w:sz="2" w:space="0" w:color="000001"/>
              <w:left w:val="single" w:sz="2" w:space="0" w:color="000001"/>
              <w:bottom w:val="single" w:sz="2" w:space="0" w:color="000001"/>
            </w:tcBorders>
            <w:shd w:val="clear" w:color="auto" w:fill="auto"/>
            <w:tcMar>
              <w:left w:w="42" w:type="dxa"/>
            </w:tcMar>
          </w:tcPr>
          <w:p w14:paraId="1FDAD3AF" w14:textId="3FF7E21C" w:rsidR="00D53AC2" w:rsidRDefault="00D53AC2" w:rsidP="00D53AC2">
            <w:pPr>
              <w:pStyle w:val="TableContents"/>
              <w:spacing w:after="103"/>
            </w:pPr>
            <w:r>
              <w:t>Absence</w:t>
            </w:r>
          </w:p>
        </w:tc>
        <w:tc>
          <w:tcPr>
            <w:tcW w:w="1080" w:type="dxa"/>
            <w:tcBorders>
              <w:top w:val="single" w:sz="2" w:space="0" w:color="000001"/>
              <w:left w:val="single" w:sz="2" w:space="0" w:color="000001"/>
              <w:bottom w:val="single" w:sz="2" w:space="0" w:color="000001"/>
            </w:tcBorders>
            <w:shd w:val="clear" w:color="auto" w:fill="auto"/>
            <w:tcMar>
              <w:left w:w="42" w:type="dxa"/>
            </w:tcMar>
          </w:tcPr>
          <w:p w14:paraId="28F7A775" w14:textId="77777777" w:rsidR="00D53AC2" w:rsidRDefault="00D53AC2" w:rsidP="00D53AC2">
            <w:pPr>
              <w:pStyle w:val="TableContents"/>
              <w:spacing w:after="103"/>
            </w:pPr>
            <w:r>
              <w:t>93</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FE006E6" w14:textId="77777777" w:rsidR="00D53AC2" w:rsidRDefault="00D53AC2" w:rsidP="00D53AC2">
            <w:pPr>
              <w:pStyle w:val="TableContents"/>
              <w:spacing w:after="103"/>
            </w:pPr>
            <w:r>
              <w:t>86,11%</w:t>
            </w:r>
          </w:p>
        </w:tc>
      </w:tr>
      <w:tr w:rsidR="00D53AC2" w14:paraId="210A7586" w14:textId="77777777" w:rsidTr="00D53AC2">
        <w:trPr>
          <w:jc w:val="right"/>
        </w:trPr>
        <w:tc>
          <w:tcPr>
            <w:tcW w:w="6576" w:type="dxa"/>
            <w:tcBorders>
              <w:top w:val="single" w:sz="2" w:space="0" w:color="000001"/>
              <w:left w:val="single" w:sz="2" w:space="0" w:color="000001"/>
              <w:bottom w:val="single" w:sz="2" w:space="0" w:color="000001"/>
            </w:tcBorders>
            <w:shd w:val="clear" w:color="auto" w:fill="auto"/>
            <w:tcMar>
              <w:left w:w="42" w:type="dxa"/>
            </w:tcMar>
          </w:tcPr>
          <w:p w14:paraId="07996C60" w14:textId="50BDA705" w:rsidR="00D53AC2" w:rsidRDefault="00D53AC2" w:rsidP="00D53AC2">
            <w:pPr>
              <w:pStyle w:val="TableContents"/>
              <w:spacing w:after="103"/>
            </w:pPr>
            <w:r>
              <w:t>Borderline</w:t>
            </w:r>
          </w:p>
        </w:tc>
        <w:tc>
          <w:tcPr>
            <w:tcW w:w="1080" w:type="dxa"/>
            <w:tcBorders>
              <w:top w:val="single" w:sz="2" w:space="0" w:color="000001"/>
              <w:left w:val="single" w:sz="2" w:space="0" w:color="000001"/>
              <w:bottom w:val="single" w:sz="2" w:space="0" w:color="000001"/>
            </w:tcBorders>
            <w:shd w:val="clear" w:color="auto" w:fill="auto"/>
            <w:tcMar>
              <w:left w:w="42" w:type="dxa"/>
            </w:tcMar>
          </w:tcPr>
          <w:p w14:paraId="23DF4CE2" w14:textId="77777777" w:rsidR="00D53AC2" w:rsidRDefault="00D53AC2" w:rsidP="00D53AC2">
            <w:pPr>
              <w:pStyle w:val="TableContents"/>
              <w:spacing w:after="103"/>
            </w:pPr>
            <w:r>
              <w:t>14</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89541CF" w14:textId="77777777" w:rsidR="00D53AC2" w:rsidRDefault="00D53AC2" w:rsidP="00D53AC2">
            <w:pPr>
              <w:pStyle w:val="TableContents"/>
              <w:spacing w:after="103"/>
            </w:pPr>
            <w:r>
              <w:t>12,96%</w:t>
            </w:r>
          </w:p>
        </w:tc>
      </w:tr>
      <w:tr w:rsidR="00D53AC2" w14:paraId="076267C3" w14:textId="77777777" w:rsidTr="00D53AC2">
        <w:trPr>
          <w:jc w:val="right"/>
        </w:trPr>
        <w:tc>
          <w:tcPr>
            <w:tcW w:w="6576" w:type="dxa"/>
            <w:tcBorders>
              <w:top w:val="single" w:sz="2" w:space="0" w:color="000001"/>
              <w:left w:val="single" w:sz="2" w:space="0" w:color="000001"/>
              <w:bottom w:val="single" w:sz="2" w:space="0" w:color="000001"/>
            </w:tcBorders>
            <w:shd w:val="clear" w:color="auto" w:fill="auto"/>
            <w:tcMar>
              <w:left w:w="42" w:type="dxa"/>
            </w:tcMar>
          </w:tcPr>
          <w:p w14:paraId="294B488F" w14:textId="767B4D24" w:rsidR="00D53AC2" w:rsidRDefault="00D53AC2" w:rsidP="00D53AC2">
            <w:pPr>
              <w:pStyle w:val="TableContents"/>
              <w:spacing w:after="103"/>
            </w:pPr>
            <w:r>
              <w:lastRenderedPageBreak/>
              <w:t>Clinically significant</w:t>
            </w:r>
          </w:p>
        </w:tc>
        <w:tc>
          <w:tcPr>
            <w:tcW w:w="1080" w:type="dxa"/>
            <w:tcBorders>
              <w:top w:val="single" w:sz="2" w:space="0" w:color="000001"/>
              <w:left w:val="single" w:sz="2" w:space="0" w:color="000001"/>
              <w:bottom w:val="single" w:sz="2" w:space="0" w:color="000001"/>
            </w:tcBorders>
            <w:shd w:val="clear" w:color="auto" w:fill="auto"/>
            <w:tcMar>
              <w:left w:w="42" w:type="dxa"/>
            </w:tcMar>
          </w:tcPr>
          <w:p w14:paraId="482B563D" w14:textId="77777777" w:rsidR="00D53AC2" w:rsidRDefault="00D53AC2" w:rsidP="00D53AC2">
            <w:pPr>
              <w:pStyle w:val="TableContents"/>
              <w:spacing w:after="103"/>
            </w:pPr>
            <w:r>
              <w:t>1</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1983628" w14:textId="77777777" w:rsidR="00D53AC2" w:rsidRDefault="00D53AC2" w:rsidP="00D53AC2">
            <w:pPr>
              <w:pStyle w:val="TableContents"/>
              <w:spacing w:after="103"/>
            </w:pPr>
            <w:r>
              <w:t>0,93%</w:t>
            </w:r>
          </w:p>
        </w:tc>
      </w:tr>
    </w:tbl>
    <w:p w14:paraId="1A7E73C2" w14:textId="77777777" w:rsidR="00683685" w:rsidRPr="00795B25" w:rsidRDefault="00683685" w:rsidP="00795B25">
      <w:pPr>
        <w:pStyle w:val="NormalWeb"/>
        <w:shd w:val="clear" w:color="auto" w:fill="FFFFFF"/>
        <w:spacing w:before="0" w:beforeAutospacing="0" w:after="225" w:afterAutospacing="0"/>
        <w:jc w:val="both"/>
        <w:rPr>
          <w:rFonts w:ascii="Arial" w:hAnsi="Arial" w:cs="Arial"/>
          <w:noProof/>
          <w:color w:val="000000"/>
          <w:sz w:val="21"/>
          <w:szCs w:val="21"/>
        </w:rPr>
      </w:pPr>
    </w:p>
    <w:p w14:paraId="1D7D20CC" w14:textId="6F6293D7" w:rsidR="00D53AC2" w:rsidRDefault="00D53AC2" w:rsidP="00D53AC2">
      <w:pPr>
        <w:pStyle w:val="Heading1"/>
        <w:rPr>
          <w:noProof/>
        </w:rPr>
      </w:pPr>
      <w:r>
        <w:rPr>
          <w:noProof/>
        </w:rPr>
        <w:t>Discussion</w:t>
      </w:r>
    </w:p>
    <w:p w14:paraId="26E70219" w14:textId="709DF55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Aliquam erat volutpat. Curabitur blandit libero lacinia condimentum pharetra. Sed pellentesque laoreet porttitor. Etiam ullamcorper commodo nunc, sit amet iaculis augue semper a. Nunc eu lobortis augue. Phasellus dignissim ante a turpis varius, eget laoreet massa porta. Sed efficitur nulla lacus, ac sagittis ligula venenatis vel</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sBG4KiiY","properties":{"formattedCitation":"(4,30,31)","plainCitation":"(4,30,31)","noteIndex":0},"citationItems":[{"id":193,"uris":["http://zotero.org/users/3162634/items/MLGT9BLZ"],"uri":["http://zotero.org/users/3162634/items/MLGT9BLZ"],"itemData":{"id":193,"type":"article-journal","abstract":"The clinical manifestations of Posttraumatic Stress Disorder (PTSD) include both fear and anxiety symptoms. Animal studies provide significant information about the neurobiological pathways involved in fear and anxiety and are relevant to the study of PTSD. These studies are reviewed along with Rauch's proposed neurobiologic model for PTSD. Neuroimaging findings in PTSD are summarized by region. Most neuroimaging studies to date have been provocation studies which present a trauma-related stimulus and measure response.While providing information about PTSD, these complex studies were not designed to target specific emotions. Studies which can specifically elicit fear or anxiety and evaluate associated brain regions, such as the bed nucleus of the stria terminalis (BNST) may provide a clearer understanding of the biologic underpinnings of PTSD and bridge the knowledge between animal neurobiology and human studies.","container-title":"Psychopharmacology Bulletin","ISSN":"0048-5764","issue":"3","journalAbbreviation":"Psychopharmacol Bull","language":"eng","note":"PMID: 18007571","page":"88-103","source":"PubMed","title":"Fear, anxiety, and the neuroimaging of PTSD","volume":"40","author":[{"family":"Ahearn","given":"Eileen P."},{"family":"Juergens","given":"Timothy"},{"family":"Smith","given":"Tracey"},{"family":"Krahn","given":"Dean"},{"family":"Kalin","given":"Ned"}],"issued":{"date-parts":[["2007"]]}}},{"id":229,"uris":["http://zotero.org/users/3162634/items/N6EKBT2T"],"uri":["http://zotero.org/users/3162634/items/N6EKBT2T"],"itemData":{"id":229,"type":"article-journal","abstract":"OBJECTIVE: The role of behavioral inhibition (BI) and parenting for an unfavorable emotional trauma response (DSM-IV criterion A2) and post-traumatic stress disorder (PTSD) development is unclear.\nMETHOD: A community sample of adolescents and young adults (aged 14-24) was followed up over 10 years (N=2378). Traumatic events, criterion A2, and PTSD (according to DSM-IV-TR) were assessed using the M-CIDI. BI and parenting were assessed using the Retrospective Self-Report of Inhibition and the Questionnaire of Recalled Parenting Rearing Behavior. Multiple logistic regressions adjusted for sex, age, and number of traumata were used to examine associations of BI as well as maternal and paternal overprotection, rejection, and reduced emotional warmth with (i) criterion A2 in those with trauma (N=1794) and (ii) subsequent PTSD in those with criterion A2 (N=1160).\nRESULTS: Behavioral inhibition (BI; odds ratio, OR=1.32) and paternal overprotection (OR=1.27) predicted criterion A2 in those with trauma, while only BI (OR=1.53) predicted subsequent PTSD. BI and paternal emotional warmth interacted on subsequent PTSD (OR=1.32), that is, BI only predicted PTSD in those with low paternal emotional warmth.\nCONCLUSION: Our findings suggest that BI and adverse parenting increase the risk of an unfavorable emotional trauma response and subsequent PTSD. Paternal emotional warmth buffers the association between BI and PTSD development.","container-title":"Acta Psychiatrica Scandinavica","DOI":"10.1111/acps.12316","ISSN":"1600-0447","issue":"4","journalAbbreviation":"Acta Psychiatr Scand","language":"eng","note":"PMID: 25039395","page":"279-289","source":"PubMed","title":"The role of behavioral inhibition and parenting for an unfavorable emotional trauma response and PTSD","volume":"131","author":[{"family":"Asselmann","given":"E."},{"family":"Wittchen","given":"H.-U."},{"family":"Lieb","given":"R."},{"family":"Höfler","given":"M."},{"family":"Beesdo-Baum","given":"K."}],"issued":{"date-parts":[["2015",4]]}}},{"id":22528,"uris":["http://zotero.org/users/3162634/items/P8MZQ268"],"uri":["http://zotero.org/users/3162634/items/P8MZQ268"],"itemData":{"id":22528,"type":"article-journal","abstract":"Certain women experience negative mood symptoms as a result of progesterone during the luteal phase of the menstrual cycle, progestagens in hormonal contraceptives, or the addition of progesterone or progestagens in sequential hormone therapy (HT). This phenomenon is believed to be mediated via the action of the progesterone metabolites on the GABA(A) system, which is the major inhibitory system in the mammalian CNS. The positive modulators of the GABA(A) receptor include allopregnanolone and pregnanolone, both neuroactive metabolites of progesterone, as well as benzodiazepines, barbiturates, and alcohol. Studies on the effect of GABA(A) receptor modulators have shown contradictory results; although human and animal studies have revealed beneficial properties such as anaesthesia, sedation, anticonvulsant effects, and anxiolytic effects, recent reports have also indicated adverse effects such as anxiety, irritability, and aggression. It has actually been suggested that several GABA(A) receptor modulators, including allopregnanolone, have biphasic effects, in that low concentrations increase an adverse, anxiogenic effect whereas higher concentrations decrease this effect and show beneficial, calming properties. The allopregnanolone increase during the luteal phase in fertile women, as well as during the addition of progesterone in HT, has been shown to induce adverse mood in women. The severity of these mood symptoms is related to the allopregnanolone serum concentrations in a manner similar to an inverted U-shaped curve. Negative mood symptoms occur when the serum concentration of allopregnanolone is similar to endogenous luteal phase levels, while low and high concentrations have less effect on mood. It has also been shown that progesterone/allopregnanolone treatment in women increases the activity in the amygdala (as measured with functional magnetic resonance imaging) in a similar way to the changes seen during anxiety reactions. However, it is evident that only certain women experience adverse mood during progesterone or GABA(A) receptor modulator treatments. Women with premenstrual dysphoric disorder (PMDD) have severe luteal phase related symptoms; in this phase, they show changes in GABA(A) receptor sensitivity and GABA concentrations that are related to the severity of the condition. These findings suggest that negative mood symptoms in women with PMDD are caused by the paradoxical effect of allopregnanolone mediated via the GABA(A) receptor.\nCONCLUSION: Progesterone and progestagens induce negative mood, most probably via their GABA(A) receptor active metabolites. In postmenopausal women treated with progesterone and animals treated with allopregnanolone, there is a bimodal association between serum allopregnanolone concentration and adverse mood, resembling an inverted U-shaped curve. In humans, the maximal effective concentration of allopregnanolone for producing negative mood is within the range of physiological luteal phase serum concentrations.","container-title":"Psychoneuroendocrinology","DOI":"10.1016/j.psyneuen.2009.02.003","ISSN":"1873-3360","issue":"8","journalAbbreviation":"Psychoneuroendocrinology","language":"eng","note":"PMID: 19272715","page":"1121-1132","source":"PubMed","title":"Sex steroid induced negative mood may be explained by the paradoxical effect mediated by GABAA modulators","volume":"34","author":[{"family":"Andréen","given":"Lotta"},{"family":"Nyberg","given":"Sigrid"},{"family":"Turkmen","given":"Sharuh"},{"family":"Wingen","given":"Guido","non-dropping-particle":"van"},{"family":"Fernández","given":"Guillen"},{"family":"Bäckström","given":"Torbjörn"}],"issued":{"date-parts":[["2009",9]]}}}],"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(4,30,31)</w:t>
      </w:r>
      <w:r w:rsidR="002B4D98">
        <w:rPr>
          <w:rFonts w:ascii="Arial" w:hAnsi="Arial" w:cs="Arial"/>
          <w:noProof/>
          <w:color w:val="000000"/>
          <w:sz w:val="21"/>
          <w:szCs w:val="21"/>
        </w:rPr>
        <w:fldChar w:fldCharType="end"/>
      </w:r>
      <w:r w:rsidRPr="00795B25">
        <w:rPr>
          <w:rFonts w:ascii="Arial" w:hAnsi="Arial" w:cs="Arial"/>
          <w:noProof/>
          <w:color w:val="000000"/>
          <w:sz w:val="21"/>
          <w:szCs w:val="21"/>
        </w:rPr>
        <w:t>. Donec condimentum lectus sapien, ac commodo erat malesuada et. Mauris congue, lorem vel lacinia laoreet, lectus ipsum malesuada orci, vitae tincidunt lorem sapien vitae est.</w:t>
      </w:r>
    </w:p>
    <w:p w14:paraId="07484AE8" w14:textId="6A0A7D54"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Nulla aliquet magna vel urna interdum luctus. Morbi eu metus interdum, mattis orci id, dignissim tellus. Vivamus et accumsan odio, ut tempor elit</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cmK1PkKo","properties":{"formattedCitation":"(32\\uc0\\u8211{}34)","plainCitation":"(32–34)","noteIndex":0},"citationItems":[{"id":5295,"uris":["http://zotero.org/users/3162634/items/ZHK7IX2V"],"uri":["http://zotero.org/users/3162634/items/ZHK7IX2V"],"itemData":{"id":5295,"type":"article-journal","abstract":"OBJECTIVES: To describe a range of anxieties in men on active surveillance (AS) for prostate cancer and determine which of these anxieties predicted health-related quality of life (HRQL).\nPATIENTS AND METHODS: In all, 260 men with prostate cancer on AS were invited to complete psychological measures including the Hospital and Anxiety Depression Scale; the State-Trait Anxiety Inventory-Trait Scale; the Memorial Anxiety Scale for Prostate Cancer; and the Functional Assessment of Cancer Therapy Scale-Prostate. Overall, 86 men with a mean (sd, range) age of 65.7 (5.4, 51-75) years returned data, yielding a response rate of 33%. Outcome measures were standardised psychological measures. Pearson's correlations were used to examine bivariate relationships, while regression analyses were used to describe predictors of dependent variables.\nRESULTS: When compared with the findings of prior research, the men in our cohort had normal levels of general anxiety and illness-specific anxiety and high prostate cancer-related HRQL. Age, trait anxiety and fear of recurrence (FoR) were significant predictors of prostate cancer-related HRQL; trait anxiety and FoR were significant predictors of total HRQL. Results should be interpreted in context of sample characteristics and the correlational design of the study.\nCONCLUSIONS: Participants reported low levels of anxiety and high HRQL. Trait anxiety and FoR were significant predictors of both prostate cancer-related and total HRQL. The administration of a short trait-anxiety screening tool may help identify men with clinically significant levels of anxiety and those at risk of reduced HRQL.","container-title":"BJU international","DOI":"10.1111/bju.12765","ISSN":"1464-410X","journalAbbreviation":"BJU Int.","language":"eng","note":"PMID: 25070423","page":"55-61","source":"PubMed","title":"Anxiety in the management of localised prostate cancer by active surveillance","volume":"114 Suppl 1","author":[{"family":"Anderson","given":"Jake"},{"family":"Burney","given":"Susan"},{"family":"Brooker","given":"Joanne E."},{"family":"Ricciardelli","given":"Lina A."},{"family":"Fletcher","given":"Jane M."},{"family":"Satasivam","given":"Prassannah"},{"family":"Frydenberg","given":"Mark"}],"issued":{"date-parts":[["2014",11]]}}},{"id":140,"uris":["http://zotero.org/users/3162634/items/VND4JFKC"],"uri":["http://zotero.org/users/3162634/items/VND4JFKC"],"itemData":{"id":140,"type":"article-journal","abstract":"Traumatic events and their consequences are often hidden or minimised by patients for reasons linked to the post-traumatic stress disorder itself (inexpressibility, shame, depressive thoughts, fear of stigmatisation, etc.). Although post-traumatic stress disorder (PTSD) remains the most widely known disorder, chronic post-traumatic psychiatric disorders are many and varied. After a trauma, the practitioner has to check for the different clinical forms of post-traumatic psychological consequences: PTSD is not the only diagnosis. Based on our own clinical experience compared to the international literature, we think necessary to build a didactic classification describing chronic post-traumatic symptoms and syndromes. Post traumatic depressions and bereavement lead to high risk of suicidal crisis and self-harm behaviours. Re-experiencing are felt with anxiety, hyper arousal increases anxious reactivity, and avoidance strategies increase anticipatory anxiety, indicating post-traumatic anxiety disorders (agoraphobia, specific phobia, obsessive compulsive disorder, separation anxiety, social phobia). Characterising an often-severe clinical picture, the co-occurrence of post-traumatic and chronic psychotic symptoms is not unusual (post-traumatic schizophrenia, post-traumatic depression with mood-congruent psychotic features, non-schizophrenic post-traumatic psychotic disorder, and bipolar reaction to trauma). A physical injury occurring at the same time as a traumatic exposure increases the risk of developing post-traumatic stress disorder later which, in turn, afflicts the subjective perception of the physical health (development of somatoform and psychosomatic disorders, comorbidity with a post-concussion syndrome). The trauma may cause a rupture in the biography of a person, also in his/her internal physiological functioning as in his/her social activities (impacts of instinctive functions and behaviours, personality changes, and adjustment difficulties on professional and personal life). Although a nomenclature is necessary for semiological descriptions, a thorough analysis of the patient's general psychological functioning must also be conducted.","container-title":"Presse Medicale (Paris, France: 1983)","DOI":"10.1016/j.lpm.2017.12.006","ISSN":"2213-0276","issue":"5","journalAbbreviation":"Presse Med","language":"eng","note":"PMID: 29580906","page":"423-430","source":"PubMed","title":"Post-traumatic psychiatric disorders: PTSD is not the only diagnosis","title-short":"Post-traumatic psychiatric disorders","volume":"47","author":[{"family":"Auxéméry","given":"Yann"}],"issued":{"date-parts":[["2018",5]]}}},{"id":13821,"uris":["http://zotero.org/users/3162634/items/M4GVADSR"],"uri":["http://zotero.org/users/3162634/items/M4GVADSR"],"itemData":{"id":13821,"type":"article-journal","abstract":"Already in the late 1990s microgram-per-liter levels of perfluorooctane sulfonate (PFOS) were measured in water samples from areas where fire-fighting foams were used or spilled. Despite these early warnings, the problems of groundwater, and thus drinking water, contaminated with perfluoroalkyl and polyfluoroalkyl substances (PFASs) including PFOS are only beginning to be addressed. It is clear that this PFAS contamination is poorly reversible and that the societal costs of clean-up will be high. This inability to reverse exposure in a reasonable timeframe is a major motivation for application of the precautionary principle in chemicals management. We conclude that exposure can be poorly reversible; 1) due to slow elimination kinetics in organisms, or 2) due to poorly reversible environmental contamination that leads to continuous exposure. In the second case, which is relevant for contaminated groundwater, the reversibility of exposure is not related to the magnitude of a chemical's bioaccumulation potential. We argue therefore that all PFASs entering groundwater, irrespective of their perfluoroalkyl chain length and bioaccumulation potential, will result in poorly reversible exposures and risks as well as further clean-up costs for society. To protect groundwater resources for future generations, society should consider a precautionary approach to chemicals management and prevent the use and release of highly persistent and mobile chemicals such as PFASs.","container-title":"Environment International","DOI":"10.1016/j.envint.2016.04.044","ISSN":"1873-6750","journalAbbreviation":"Environ Int","language":"eng","note":"PMID: 27337597","page":"331-340","source":"PubMed","title":"The precautionary principle and chemicals management: The example of perfluoroalkyl acids in groundwater","title-short":"The precautionary principle and chemicals management","volume":"94","author":[{"family":"Cousins","given":"Ian T."},{"family":"Vestergren","given":"Robin"},{"family":"Wang","given":"Zhanyun"},{"family":"Scheringer","given":"Martin"},{"family":"McLachlan","given":"Michael S."}],"issued":{"date-parts":[["2016",9]]}}}],"schema":"https://github.com/citation-style-language/schema/raw/master/csl-citation.json"}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(32–34)</w:t>
      </w:r>
      <w:r w:rsidR="002B4D98">
        <w:rPr>
          <w:rFonts w:ascii="Arial" w:hAnsi="Arial" w:cs="Arial"/>
          <w:noProof/>
          <w:color w:val="000000"/>
          <w:sz w:val="21"/>
          <w:szCs w:val="21"/>
        </w:rPr>
        <w:fldChar w:fldCharType="end"/>
      </w:r>
      <w:r w:rsidRPr="00795B25">
        <w:rPr>
          <w:rFonts w:ascii="Arial" w:hAnsi="Arial" w:cs="Arial"/>
          <w:noProof/>
          <w:color w:val="000000"/>
          <w:sz w:val="21"/>
          <w:szCs w:val="21"/>
        </w:rPr>
        <w:t>. Praesent vestibulum iaculis ligula, vitae pharetra dolor rutrum ut. Pellentesque sem urna, porta a luctus vel, viverra nec enim</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UXEAHS4D","properties":{"formattedCitation":"(35)","plainCitation":"(35)","noteIndex":0},"citationItems":[{"id":222,"uris":["http://zotero.org/users/3162634/items/RVYVMAQ4"],"uri":["http://zotero.org/users/3162634/items/RVYVMAQ4"],"itemData":{"id":222,"type":"article-journal","container-title":"The American Journal of Psychiatry","DOI":"10.1176/appi.ajp.2009.08121799","ISSN":"1535-7228","issue":"6","journalAbbreviation":"Am J Psychiatry","language":"eng","note":"PMID: 19487404","page":"726; author reply 727","source":"PubMed","title":"PTSD diagnostic criteria: understanding etiology and treatment","title-short":"PTSD diagnostic criteria","volume":"166","author":[{"family":"Asmundson","given":"Gordon J. G."},{"family":"Taylor","given":"Steven"}],"issued":{"date-parts":[["2009",6]]}}}],"schema":"https://github.com/citation-style-language/schema/raw/master/csl-citation.json"}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(35)</w:t>
      </w:r>
      <w:r w:rsidR="002B4D98">
        <w:rPr>
          <w:rFonts w:ascii="Arial" w:hAnsi="Arial" w:cs="Arial"/>
          <w:noProof/>
          <w:color w:val="000000"/>
          <w:sz w:val="21"/>
          <w:szCs w:val="21"/>
        </w:rPr>
        <w:fldChar w:fldCharType="end"/>
      </w:r>
      <w:r w:rsidRPr="00795B25">
        <w:rPr>
          <w:rFonts w:ascii="Arial" w:hAnsi="Arial" w:cs="Arial"/>
          <w:noProof/>
          <w:color w:val="000000"/>
          <w:sz w:val="21"/>
          <w:szCs w:val="21"/>
        </w:rPr>
        <w:t>. Aenean vitae venenatis risus</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AXMekNwY","properties":{"formattedCitation":"(36,37)","plainCitation":"(36,37)","noteIndex":0},"citationItems":[{"id":259,"uris":["http://zotero.org/users/3162634/items/NUC7CWFQ"],"uri":["http://zotero.org/users/3162634/items/NUC7CWFQ"],"itemData":{"id":259,"type":"article-journal","abstract":"Post traumatic stress disorder (PTSD) is a complex and heterogeneous disorder, which specific symptoms are re-experiencing, increased arousal and avoidance of stimuli associated with the trauma. PTSD has much comorbidity like depression, substance abuse, somatic complaints, repeated dissociative phenomena and transitory or chronic psychotic reactions. PTSD can manifest itself in different clinical forms: some patients present higher symptoms in one domain as compared to another, probably because of abnormalities in different neurobiological systems. Hyposerotonergic and hypernoradrenergic PTSD endophenotypes have been previously identified and the purpose of this paper is to focus on the hypothesis of a hyperdopaminergic endophenotype. The current review discusses several entities: PTSD with psychotic features with or without depression, the comorbide use of psychoactive substances that increase psychotic symptoms and traumatic brain injuries as agents of psycho traumatic and psychotic features. For all of these nosographic entities, the dopaminergic neuromodulation may play a central role. The hypothesis of a hyperdopaminergic endophenotype of PTSD opens up new research and therapeutic perspectives. Although antipsychotics are frequently used for people with PTSD further studies are needed to develop a consensus on the guidelines for treating the psychotic forms of PTSD.","container-title":"Medical Hypotheses","DOI":"10.1016/j.mehy.2012.08.005","ISSN":"1532-2777","issue":"5","journalAbbreviation":"Med. Hypotheses","language":"eng","note":"PMID: 22939767","page":"667-672","source":"PubMed","title":"Etiopathogenic perspectives on chronic psycho traumatic and chronic psychotic symptoms: the hypothesis of a hyperdopaminergic endophenotype of PTSD","title-short":"Etiopathogenic perspectives on chronic psycho traumatic and chronic psychotic symptoms","volume":"79","author":[{"family":"Auxemery","given":"Yann"}],"issued":{"date-parts":[["2012",11]]}}},{"id":15246,"uris":["http://zotero.org/users/3162634/items/6ZAR4N7F"],"uri":["http://zotero.org/users/3162634/items/6ZAR4N7F"],"itemData":{"id":15246,"type":"article-journal","abstract":"OBJECTIVE: To analyze the changes in the serum levels of CRH and 5-HT in women with postpartum depression (PPD) and to study the value of the CRH/5-HT ratio for the prediction of PPD.\nMETHODS: This prospective study recruited pregnant women from the Fourth Affiliated Hospital, China Medical University between January 2017 and October 2019. Women were considered for inclusion if they had no history, or no current evidence, of a psychiatric disorder. All women were assessed at postpartum day 10 with the Edinburgh Postnatal Depression Scale (EPDS). Blood samples were obtained at 20 weeks of pregnancy and the levels of CRH and 5-HT were determined by radioimmunoassay and ELISA. Associations between EPDS score, the demographic variables, and hormone levels were identified using bivariate logistic regression models.\nRESULTS: A total of 185 women were included. We found that the serum level of both CRH and 5-HT was significantly correlated with EPDS score; the AUC for CRH was 0.79, and 5-HT was 0.85, which indicated that both CRH and 5-HT are a reliable biomarker for PPD. The AUC, specificity, and sensitivity of CRH/5-HT were 0.92, 0.86, and 0.95, respectively, which were better than those of CRH or 5-HT individually.\nCONCLUSIONS: We believe that the serum CRH/5-HT ratio is an excellent biomarker for the prediction of PPD.","container-title":"International Journal of Gynaecology and Obstetrics: The Official Organ of the International Federation of Gynaecology and Obstetrics","DOI":"10.1002/ijgo.13351","ISSN":"1879-3479","journalAbbreviation":"Int J Gynaecol Obstet","language":"eng","note":"PMID: 32812654","source":"PubMed","title":"Predictive value of serum CRH/5-HT ratio for postpartum depression","author":[{"family":"Cao","given":"Shiyue"},{"family":"Wei","given":"Li"}],"issued":{"date-parts":[["2020",8,19]]}}}],"schema":"https://github.com/citation-style-language/schema/raw/master/csl-citation.json"}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(36,37)</w:t>
      </w:r>
      <w:r w:rsidR="002B4D98">
        <w:rPr>
          <w:rFonts w:ascii="Arial" w:hAnsi="Arial" w:cs="Arial"/>
          <w:noProof/>
          <w:color w:val="000000"/>
          <w:sz w:val="21"/>
          <w:szCs w:val="21"/>
        </w:rPr>
        <w:fldChar w:fldCharType="end"/>
      </w:r>
      <w:r w:rsidRPr="00795B25">
        <w:rPr>
          <w:rFonts w:ascii="Arial" w:hAnsi="Arial" w:cs="Arial"/>
          <w:noProof/>
          <w:color w:val="000000"/>
          <w:sz w:val="21"/>
          <w:szCs w:val="21"/>
        </w:rPr>
        <w:t>. Cras ut massa efficitur, facilisis odio sed, scelerisque magna.</w:t>
      </w:r>
    </w:p>
    <w:p w14:paraId="7B6E673E" w14:textId="77777777"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Vivamus felis eros, dignissim quis ultricies sit amet, hendrerit sed erat. Curabitur rhoncus finibus risus. Integer euismod dictum egestas. Fusce maximus convallis felis ac accumsan. Sed consectetur odio quis nisi facilisis, pharetra cursus diam ultricies. Mauris sit amet nisl eget nulla imperdiet iaculis. Morbi nisl urna, luctus ut sapien et, congue feugiat odio.</w:t>
      </w:r>
    </w:p>
    <w:p w14:paraId="557BA1DE" w14:textId="0BB31D95" w:rsidR="00795B25" w:rsidRPr="00795B25" w:rsidRDefault="00795B25" w:rsidP="00795B25">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Sed vel iaculis nulla. Aenean magna lorem, posuere at hendrerit vehicula, viverra nec mauris. Nulla fermentum placerat est, sed laoreet nisi iaculis nec</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fzAfOKKc","properties":{"formattedCitation":"(38\\uc0\\u8211{}40)","plainCitation":"(38–40)","noteIndex":0},"citationItems":[{"id":20122,"uris":["http://zotero.org/users/3162634/items/BB4ATTIQ"],"uri":["http://zotero.org/users/3162634/items/BB4ATTIQ"],"itemData":{"id":20122,"type":"article-journal","abstract":"We experienced marked efficacy with steroid treatment of three patients with jackhammer esophagus (JHE). An esophageal biopsy revealed eosinophilic esophagitis (EoE) in two patients. One of the patients without EoE had eosinophilia and an increased serum immunoglobulin E level, and endoscopic ultrasonography revealed thickening of the esophageal muscularis propria. Esophageal manometry was used to diagnose all cases of JHE. Treatment consisted of steroid administration, which improved the symptoms and resolved the esophageal muscularis propria thickening in all patients. The esophageal manometry findings also normalized following treatment. Allergic diseases, including EoE, were assumed to have caused JHE.","container-title":"Internal Medicine (Tokyo, Japan)","DOI":"10.2169/internalmedicine.3865-19","ISSN":"1349-7235","issue":"5","journalAbbreviation":"Intern. Med.","language":"eng","note":"PMID: 31708550\nPMCID: PMC7086336","page":"633-639","source":"PubMed","title":"Markedly Effective Steroid Treatment of Three Patients with Allergy-related Jackhammer Esophagus","volume":"59","author":[{"family":"Funaki","given":"Yasushi"},{"family":"Ogasawara","given":"Naotaka"},{"family":"Kawamura","given":"Yurika"},{"family":"Yoshimine","given":"Takashi"},{"family":"Tamura","given":"Yasuhiro"},{"family":"Izawa","given":"Shinya"},{"family":"Tsuyuki","given":"Takuji"},{"family":"Ebi","given":"Masahide"},{"family":"Sasaki","given":"Makoto"},{"family":"Kasugai","given":"Kunio"}],"issued":{"date-parts":[["2020",3,1]]}}},{"id":16735,"uris":["http://zotero.org/users/3162634/items/3J2GXD6F"],"uri":["http://zotero.org/users/3162634/items/3J2GXD6F"],"itemData":{"id":16735,"type":"article-journal","abstract":"A patient presented after ingesting the contents of a lava lamp that he believed to contain alcohol. It was later discovered that this product was comprised of 76% calcium nitrate, leading to his subsequent development of methemoglobinemia. This disease is a medical emergency secondary to poor transportation of oxygen and resultant tissue hypoxic effects. Therefore, having high suspicion for this disease process in patients with toxic ingestions, understanding the proper diagnosis, and promptly starting treatment are all critical actions for emergency physicians.","container-title":"Clinical Practice and Cases in Emergency Medicine","DOI":"10.5811/cpcem.2018.5.38261","ISSN":"2474-252X","issue":"3","journalAbbreviation":"Clin Pract Cases Emerg Med","language":"eng","note":"PMID: 30083634\nPMCID: PMC6075504","page":"207-210","source":"PubMed","title":"Methemoglobinemia Induced By Ingesting Lava Lamp Contents","volume":"2","author":[{"family":"Funke","given":"Mary E."},{"family":"Fischetti","given":"Chanel E."},{"family":"Rodino","given":"Anne M."},{"family":"Shaheen","given":"Stephen P."}],"issued":{"date-parts":[["2018",8]]}}},{"id":2627,"uris":["http://zotero.org/users/3162634/items/RAMNDP4H"],"uri":["http://zotero.org/users/3162634/items/RAMNDP4H"],"itemData":{"id":2627,"type":"article-journal","abstract":"BACKGROUND: Soluble aggregates of oligomeric forms of tau protein (oTau) have been associated with impairment of synaptic plasticity and memory in Alzheimer's disease. However, the molecular mechanisms underlying the synaptic and memory dysfunction induced by elevation of oTau are still unknown.\nMETHODS: This work used a combination of biochemical, electrophysiological and behavioral techniques. Biochemical methods included analysis of phosphorylation of the cAMP-responsive element binding (CREB) protein, a transcriptional factor involved in memory, histone acetylation, and expression immediate early genes c-Fos and Arc. Electrophysiological methods included assessment of long-term potentiation (LTP), a type of synaptic plasticity thought to underlie memory formation. Behavioral studies investigated both short-term spatial memory and associative memory. These phenomena were examined following oTau elevation.\nRESULTS: Levels of phospho-CREB, histone 3 acetylation at lysine 27, and immediate early genes c-Fos and Arc, were found to be reduced after oTau elevation during memory formation. These findings led us to explore whether up-regulation of various components of the nitric oxide (NO) signaling pathway impinging onto CREB is capable of rescuing oTau-induced impairment of plasticity, memory, and CREB phosphorylation. The increase of NO levels protected against oTau-induced impairment of LTP through activation of soluble guanylyl cyclase. Similarly, the elevation of cGMP levels and stimulation of the cGMP-dependent protein kinases (PKG) re-established normal LTP after exposure to oTau. Pharmacological inhibition of cGMP degradation through inhibition of phosphodiesterase 5 (PDE5), rescued oTau-induced LTP reduction. These findings could be extrapolated to memory because PKG activation and PDE5 inhibition rescued oTau-induced memory impairment. Finally, PDE5 inhibition re-established normal elevation of CREB phosphorylation and cGMP levels after memory induction in the presence of oTau.\nCONCLUSIONS: Up-regulation of CREB activation through agents acting on the NO cascade might be beneficial against tau-induced synaptic and memory dysfunctions.","container-title":"Molecular Neurodegeneration","DOI":"10.1186/s13024-019-0326-4","ISSN":"1750-1326","issue":"1","journalAbbreviation":"Mol Neurodegener","language":"eng","note":"PMID: 31248451\nPMCID: PMC6598340","page":"26","source":"PubMed","title":"Synaptic and memory dysfunction induced by tau oligomers is rescued by up-regulation of the nitric oxide cascade","volume":"14","author":[{"family":"Acquarone","given":"Erica"},{"family":"Argyrousi","given":"Elentina K."},{"family":"Berg","given":"Manon","non-dropping-particle":"van den"},{"family":"Gulisano","given":"Walter"},{"family":"Fà","given":"Mauro"},{"family":"Staniszewski","given":"Agnieszka"},{"family":"Calcagno","given":"Elisa"},{"family":"Zuccarello","given":"Elisa"},{"family":"D'Adamio","given":"Luciano"},{"family":"Deng","given":"Shi-Xian"},{"family":"Puzzo","given":"Daniela"},{"family":"Arancio","given":"Ottavio"},{"family":"Fiorito","given":"Jole"}],"issued":{"date-parts":[["2019"]],"season":"27"}}}],"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(38–40)</w:t>
      </w:r>
      <w:r w:rsidR="002B4D98">
        <w:rPr>
          <w:rFonts w:ascii="Arial" w:hAnsi="Arial" w:cs="Arial"/>
          <w:noProof/>
          <w:color w:val="000000"/>
          <w:sz w:val="21"/>
          <w:szCs w:val="21"/>
        </w:rPr>
        <w:fldChar w:fldCharType="end"/>
      </w:r>
      <w:r w:rsidRPr="00795B25">
        <w:rPr>
          <w:rFonts w:ascii="Arial" w:hAnsi="Arial" w:cs="Arial"/>
          <w:noProof/>
          <w:color w:val="000000"/>
          <w:sz w:val="21"/>
          <w:szCs w:val="21"/>
        </w:rPr>
        <w:t>. Nullam nibh nulla, posuere eu ornare non, aliquam non neque. Cras quis consectetur arcu. Integer sit amet vestibulum lorem. Sed orci dui, egestas sit amet leo et, eleifend faucibus arcu. Integer elit metus, egestas sed massa in, egestas mollis sapien</w:t>
      </w:r>
      <w:r w:rsidR="002B4D98">
        <w:rPr>
          <w:rFonts w:ascii="Arial" w:hAnsi="Arial" w:cs="Arial"/>
          <w:noProof/>
          <w:color w:val="000000"/>
          <w:sz w:val="21"/>
          <w:szCs w:val="21"/>
        </w:rPr>
        <w:t xml:space="preserve"> </w:t>
      </w:r>
      <w:r w:rsidR="002B4D98">
        <w:rPr>
          <w:rFonts w:ascii="Arial" w:hAnsi="Arial" w:cs="Arial"/>
          <w:noProof/>
          <w:color w:val="000000"/>
          <w:sz w:val="21"/>
          <w:szCs w:val="21"/>
        </w:rPr>
        <w:fldChar w:fldCharType="begin"/>
      </w:r>
      <w:r w:rsidR="002B4D98">
        <w:rPr>
          <w:rFonts w:ascii="Arial" w:hAnsi="Arial" w:cs="Arial"/>
          <w:noProof/>
          <w:color w:val="000000"/>
          <w:sz w:val="21"/>
          <w:szCs w:val="21"/>
        </w:rPr>
        <w:instrText xml:space="preserve"> ADDIN ZOTERO_ITEM CSL_CITATION {"citationID":"i6OH5YG5","properties":{"formattedCitation":"(41\\uc0\\u8211{}44)","plainCitation":"(41–44)","noteIndex":0},"citationItems":[{"id":19982,"uris":["http://zotero.org/users/3162634/items/DXWNN663"],"uri":["http://zotero.org/users/3162634/items/DXWNN663"],"itemData":{"id":19982,"type":"article-journal","abstract":"Epidemiological and experimental studies indicate psychoemotional stress as an important factor in carcinogenesis. The aim of this study was to evaluate the effect of restraint stress on N-nitroso-N-methylurea (NMU)-induced mammary carcinogenesis. Female Sprague-Dawley rats were injected with two intraperitoneal NMU doses each per 50 mg/kg b.w. between 39-49 postnatal days. Three experimental groups were created: 1. NMU (without restraint--control group, 12 animals), 2. NMU+1IMS (group with single restraint, IMS--immobilization stress, 12 animals), 3. NMU+7IMS (group restrained 7 times during a week, 12 animals). Animals were immobilized daily in special boxes for 120 minutes or 7 x 120 minutes, respectively from third day after carcinogen administration. The observation lasted for 20 weeks. The incidence, frequency, latency and volume of mammary tumors were evaluated. In repeatedly immobilized group NMU+7IMS increase in tumor incidence by 57% (p&lt;0.05), marked increase in frequency per group by 153% (p&lt;0.01), increase in frequency per animal by 61% and shortened latency period by 7 days were recorded. The effect of single restraint was not seen. In this experiment repeated immobilization carried out early after carcinogen administration had a remarkable stimulatory effect on chemically-induced mammary carcinogenesis in female rats.","container-title":"Neoplasma","ISSN":"0028-2685","issue":"6","journalAbbreviation":"Neoplasma","language":"eng","note":"PMID: 14689064","page":"428-432","source":"PubMed","title":"NMU-induced mammary carcinogenesis in female rats is influenced by repeated psychoemotional stress","volume":"50","author":[{"family":"Adámeková","given":"E."},{"family":"Marková","given":"M."},{"family":"Kubatka","given":"P."},{"family":"Bojková","given":"B."},{"family":"Ahlers","given":"I."},{"family":"Ahlersová","given":"E."}],"issued":{"date-parts":[["2003"]]}}},{"id":18043,"uris":["http://zotero.org/users/3162634/items/JA9TG5FY"],"uri":["http://zotero.org/users/3162634/items/JA9TG5FY"],"itemData":{"id":18043,"type":"article-journal","abstract":"TY-011, a novel Aurora A/B kinases inhibitor, was found in our previous study to exhibit prominent inhibitory effects on growth of gastric cancer, both in vitro and in vivo. To clarify the mechanisms of TY-011 in inhibiting proliferation of gastric cancer cells, the effects of TY-011 on mitosis, cell cycle, apoptosis and cellular DNA were checked in the present study. Our results showed that TY-011 treatment induced aberrant mitosis, G2/M phase arrest and apoptosis. Importantly, TY-011 induced evident DNA damage in MGC-803 and MKN-45 human gastric cancer cells, which was further characterized as DNA double-strand break. Furthermore, cells treated with TY-011 appeared to generate multiple spindle fibers emanating from several spindle poles, leading to poly-merotelic kinetochore. These results suggested that TY-011 induced abnormal microtubule-kinetochores attachment and thus DNA damage, apoptosis and finally inhibition of cell proliferation of human gastric cancer cells.","container-title":"Anti-Cancer Drugs","DOI":"10.1097/CAD.0000000000000928","ISSN":"1473-5741","issue":"5","journalAbbreviation":"Anticancer Drugs","language":"eng","note":"PMID: 32187025","page":"440-451","source":"PubMed","title":"Antitumor activity of a novel Aurora A/B kinases inhibitor TY-011 against gastric cancer by inducing DNA damage","volume":"31","author":[{"family":"Jiang","given":"Tongtong"},{"family":"Liu","given":"Wang"},{"family":"Lu","given":"Yu"},{"family":"Fang","given":"Yanfen"},{"family":"Chen","given":"Rui"},{"family":"Zhang","given":"Wanli"},{"family":"Liu","given":"Xuan"},{"family":"Zhang","given":"Xiongwen"}],"issued":{"date-parts":[["2020"]]}}},{"id":22109,"uris":["http://zotero.org/users/3162634/items/N8LHMUAT"],"uri":["http://zotero.org/users/3162634/items/N8LHMUAT"],"itemData":{"id":22109,"type":"article-journal","abstract":"Afferent loop syndrome (ALS) is a rare complication of Billroth-II gastrojejunostomy. Causes of afferent loop obstruction include adhesions, internal hernias, intestinal strictures or malignancy. Obstruction caused by enteroliths is rare and usually requires surgery. We present the case of a 90-year-old man with a Billroth-II performed 50 years earlier and three acute pancreatitis. He presented with acute abdominal pain, without signs of pancreatitis. Upper digestive endoscopy revealed a punctiform anastomotic stricture of the afferent loop. Fluoroscopy-guided contrast injection showed a dilated loop with multiple filling defects. After through-the-scope balloon dilation, multiple calculi similar to gallstones were observed in the afferent loop and were removed with a basket. There were no signs of choledochoduodenal fistula or abnormalities in the ampulla of Vater, leading us to assume the formation of intestinal calculi. This case represents a rare cause of ALS, emphasizing the possibility of solely endoscopic treatment. The stone was removed and the anastomotic stricture which was the underlying cause of the enterolith formation was treated by endoscopy. Endoscopic management of enterolith-related ALS is technically difficult and rarely reported. To our knowledge, there are two cases in which electrohydraulic lithotripsy was used to fragment a large enterolith in the afferent loop. This includes one report of failed endoscopic retrieval of an enterolith and in another case a perforation after an attempt to grasp the stone with a basket. ALS has multiple causes and non-specific clinical manifestations. We highlight the importance of high clinical suspicion and individualized treatment according to the patient's condition, severity, ALS etiology and locally available treatment possibilities.","container-title":"Revista Espanola De Enfermedades Digestivas: Organo Oficial De La Sociedad Espanola De Patologia Digestiva","ISSN":"1130-0108","issue":"6","journalAbbreviation":"Rev Esp Enferm Dig","language":"eng","note":"PMID: 28597677","page":"457","source":"PubMed","title":"Endoscopic management of afferent loop syndrome caused by enteroliths and anastomotic stricture. A case report","volume":"109","author":[{"family":"Alves","given":"Ana Rita"},{"family":"Almeida","given":"Nuno"},{"family":"Ferreira","given":"Margarida"},{"family":"Tomé","given":"Luís"}],"issued":{"date-parts":[["2017",6]]}}},{"id":168,"uris":["http://zotero.org/users/3162634/items/SA8I8DCR"],"uri":["http://zotero.org/users/3162634/items/SA8I8DCR"],"itemData":{"id":168,"type":"article-journal","abstract":"PURPOSE OF REVIEW: Sex differences in PTSD are well-established with a 2:1 sex ratio favouring women. Less well-established is the basis of such differences. The purpose of this review is to explore recent research examining potential gender- and sex-based contributors to sex differences in PTSD.\nRECENT FINDINGS: We identified 19 studies published since 2015. Masculinity is inconclusively associated with PTSD, but masculine ideals and masculine gender role stress are positively associated with PTSD. Among the sex-related factors, testosterone, oestradiol, progesterone, and ALLO/5α-progesterone ratio are believed to be involved in the development of PTSD. These factors likely affect PTSD risk directly and through epigenetic mechanisms. Findings suggest that gender and sex have multiple ways of affecting PTSD, including gender roles, genetic predisposition, and hormonal influences. These factors work together to put women at a particular risk of developing PTSD. By conducting more research, we may improve prediction, prevention, and treatment of PTSD.","container-title":"Current Psychiatry Reports","DOI":"10.1007/s11920-020-1140-y","ISSN":"1535-1645","issue":"4","journalAbbreviation":"Curr Psychiatry Rep","language":"eng","note":"PMID: 32125541","page":"19","source":"PubMed","title":"Gender- and Sex-Based Contributors to Sex Differences in PTSD","volume":"22","author":[{"family":"Christiansen","given":"Dorte M."},{"family":"Berke","given":"Emma T."}],"issued":{"date-parts":[["2020"]],"season":"03"}}}],"schema":"https://github.com/citation-style-language/schema/raw/master/csl-citation.json"} </w:instrText>
      </w:r>
      <w:r w:rsidR="002B4D98">
        <w:rPr>
          <w:rFonts w:ascii="Arial" w:hAnsi="Arial" w:cs="Arial"/>
          <w:noProof/>
          <w:color w:val="000000"/>
          <w:sz w:val="21"/>
          <w:szCs w:val="21"/>
        </w:rPr>
        <w:fldChar w:fldCharType="separate"/>
      </w:r>
      <w:r w:rsidR="002B4D98" w:rsidRPr="002B4D98">
        <w:rPr>
          <w:rFonts w:ascii="Arial" w:hAnsi="Arial" w:cs="Arial"/>
          <w:sz w:val="21"/>
        </w:rPr>
        <w:t>(41–44)</w:t>
      </w:r>
      <w:r w:rsidR="002B4D98">
        <w:rPr>
          <w:rFonts w:ascii="Arial" w:hAnsi="Arial" w:cs="Arial"/>
          <w:noProof/>
          <w:color w:val="000000"/>
          <w:sz w:val="21"/>
          <w:szCs w:val="21"/>
        </w:rPr>
        <w:fldChar w:fldCharType="end"/>
      </w:r>
      <w:r w:rsidRPr="00795B25">
        <w:rPr>
          <w:rFonts w:ascii="Arial" w:hAnsi="Arial" w:cs="Arial"/>
          <w:noProof/>
          <w:color w:val="000000"/>
          <w:sz w:val="21"/>
          <w:szCs w:val="21"/>
        </w:rPr>
        <w:t>. Nulla tempor mauris eu eros rhoncus scelerisque. Suspendisse interdum congue felis, ut ultricies neque euismod in. Suspendisse et vehicula mauris. Donec maximus leo mattis turpis efficitur aliquet.</w:t>
      </w:r>
    </w:p>
    <w:p w14:paraId="194C653E" w14:textId="529984F3" w:rsidR="00D53AC2" w:rsidRDefault="00D53AC2" w:rsidP="00D53AC2">
      <w:pPr>
        <w:pStyle w:val="Heading1"/>
        <w:rPr>
          <w:noProof/>
        </w:rPr>
      </w:pPr>
      <w:r>
        <w:rPr>
          <w:noProof/>
        </w:rPr>
        <w:t>Conclusion</w:t>
      </w:r>
    </w:p>
    <w:p w14:paraId="7DFA7853" w14:textId="73F201D3" w:rsidR="00A1301E" w:rsidRPr="00D53AC2" w:rsidRDefault="00795B25" w:rsidP="00D53AC2">
      <w:pPr>
        <w:pStyle w:val="NormalWeb"/>
        <w:shd w:val="clear" w:color="auto" w:fill="FFFFFF"/>
        <w:spacing w:before="0" w:beforeAutospacing="0" w:after="225" w:afterAutospacing="0"/>
        <w:jc w:val="both"/>
        <w:rPr>
          <w:rFonts w:ascii="Arial" w:hAnsi="Arial" w:cs="Arial"/>
          <w:noProof/>
          <w:color w:val="000000"/>
          <w:sz w:val="21"/>
          <w:szCs w:val="21"/>
        </w:rPr>
      </w:pPr>
      <w:r w:rsidRPr="00795B25">
        <w:rPr>
          <w:rFonts w:ascii="Arial" w:hAnsi="Arial" w:cs="Arial"/>
          <w:noProof/>
          <w:color w:val="000000"/>
          <w:sz w:val="21"/>
          <w:szCs w:val="21"/>
        </w:rPr>
        <w:t xml:space="preserve">Aliquam elit tortor, </w:t>
      </w:r>
      <w:r w:rsidRPr="00D53AC2">
        <w:rPr>
          <w:rFonts w:ascii="Arial" w:hAnsi="Arial" w:cs="Arial"/>
          <w:b/>
          <w:bCs/>
          <w:noProof/>
          <w:color w:val="000000"/>
          <w:sz w:val="21"/>
          <w:szCs w:val="21"/>
        </w:rPr>
        <w:t>bibendum nec</w:t>
      </w:r>
      <w:r w:rsidRPr="00795B25">
        <w:rPr>
          <w:rFonts w:ascii="Arial" w:hAnsi="Arial" w:cs="Arial"/>
          <w:noProof/>
          <w:color w:val="000000"/>
          <w:sz w:val="21"/>
          <w:szCs w:val="21"/>
        </w:rPr>
        <w:t xml:space="preserve"> ultricies ut, </w:t>
      </w:r>
      <w:r w:rsidRPr="003805D0">
        <w:rPr>
          <w:rFonts w:ascii="Arial" w:hAnsi="Arial" w:cs="Arial"/>
          <w:b/>
          <w:bCs/>
          <w:noProof/>
          <w:color w:val="000000"/>
          <w:sz w:val="21"/>
          <w:szCs w:val="21"/>
        </w:rPr>
        <w:t>elementum</w:t>
      </w:r>
      <w:r w:rsidRPr="00795B25">
        <w:rPr>
          <w:rFonts w:ascii="Arial" w:hAnsi="Arial" w:cs="Arial"/>
          <w:noProof/>
          <w:color w:val="000000"/>
          <w:sz w:val="21"/>
          <w:szCs w:val="21"/>
        </w:rPr>
        <w:t xml:space="preserve"> in diam. Aenean non faucibus tellus. Aenean scelerisque, dolor ac scelerisque fringilla, lorem neque vehicula mauris, sed sodales arcu risus sit amet lectus. Donec ullamcorper pharetra nulla, ut tempus ligula iaculis eu. Cras euismod auctor sem et condimentum. Integer fringilla orci at nulla elementum, scelerisque posuere nunc dictum. Duis sodales turpis a nisl volutpat maximus. Lorem ipsum dolor sit amet, consectetur adipiscing elit. Praesent sit amet augue nec sapien facilisis volutpat. Nunc sit amet venenatis dui. Ut nec neque sit amet elit tristique suscipit. Nulla quis fermentum leo.</w:t>
      </w:r>
    </w:p>
    <w:sectPr w:rsidR="00A1301E" w:rsidRPr="00D5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4"/>
    <w:multiLevelType w:val="hybridMultilevel"/>
    <w:tmpl w:val="AE9883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41C58"/>
    <w:multiLevelType w:val="hybridMultilevel"/>
    <w:tmpl w:val="01D6D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25"/>
    <w:rsid w:val="002B4D98"/>
    <w:rsid w:val="00337193"/>
    <w:rsid w:val="003805D0"/>
    <w:rsid w:val="00514772"/>
    <w:rsid w:val="00683685"/>
    <w:rsid w:val="006E1799"/>
    <w:rsid w:val="00795B25"/>
    <w:rsid w:val="00850A3B"/>
    <w:rsid w:val="00866B6D"/>
    <w:rsid w:val="00A1301E"/>
    <w:rsid w:val="00B2421C"/>
    <w:rsid w:val="00D5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A65C"/>
  <w15:chartTrackingRefBased/>
  <w15:docId w15:val="{3E3EBFEE-B007-4F1C-B4BA-B3D97D56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6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5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5B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B2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50A3B"/>
    <w:pPr>
      <w:spacing w:after="200" w:line="240" w:lineRule="auto"/>
    </w:pPr>
    <w:rPr>
      <w:i/>
      <w:iCs/>
      <w:color w:val="44546A" w:themeColor="text2"/>
      <w:sz w:val="18"/>
      <w:szCs w:val="18"/>
    </w:rPr>
  </w:style>
  <w:style w:type="paragraph" w:customStyle="1" w:styleId="TableContents">
    <w:name w:val="Table Contents"/>
    <w:basedOn w:val="Normal"/>
    <w:qFormat/>
    <w:rsid w:val="00850A3B"/>
    <w:rPr>
      <w:rFonts w:ascii="Calibri" w:eastAsia="Calibri" w:hAnsi="Calibri"/>
      <w:color w:val="00000A"/>
    </w:rPr>
  </w:style>
  <w:style w:type="character" w:customStyle="1" w:styleId="Heading3Char">
    <w:name w:val="Heading 3 Char"/>
    <w:basedOn w:val="DefaultParagraphFont"/>
    <w:link w:val="Heading3"/>
    <w:uiPriority w:val="9"/>
    <w:rsid w:val="006836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9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E823-3C21-4BF9-86AD-465EA33C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17510</Words>
  <Characters>99811</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dc:creator>
  <cp:keywords/>
  <dc:description/>
  <cp:lastModifiedBy>Vitalii</cp:lastModifiedBy>
  <cp:revision>2</cp:revision>
  <dcterms:created xsi:type="dcterms:W3CDTF">2020-11-05T12:45:00Z</dcterms:created>
  <dcterms:modified xsi:type="dcterms:W3CDTF">2020-11-05T16:34:00Z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id="ew0WPNdA"/&gt;&lt;style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