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CFA6" w14:textId="77777777" w:rsidR="00B46601" w:rsidRPr="00E65532" w:rsidRDefault="00B46601" w:rsidP="00B46601">
      <w:pPr>
        <w:pStyle w:val="Sinespaciado"/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DISEÑO GENERAL PARA PERFIL FUNCIONAL BASADO EN METILOMA DE SANGRE</w:t>
      </w:r>
    </w:p>
    <w:p w14:paraId="3A9115AE" w14:textId="77777777" w:rsidR="008D4371" w:rsidRPr="00E65532" w:rsidRDefault="008D4371" w:rsidP="00B46601">
      <w:pPr>
        <w:pStyle w:val="Sinespaciado"/>
        <w:rPr>
          <w:rFonts w:ascii="Arial" w:hAnsi="Arial" w:cs="Arial"/>
          <w:color w:val="222222"/>
          <w:lang w:val="es-AR"/>
        </w:rPr>
      </w:pPr>
    </w:p>
    <w:p w14:paraId="6AF99025" w14:textId="02B0CF3A" w:rsidR="00DB67FF" w:rsidRPr="00E65532" w:rsidRDefault="00B46601" w:rsidP="000F1A65">
      <w:pPr>
        <w:pStyle w:val="Sinespaciado"/>
        <w:pBdr>
          <w:bottom w:val="single" w:sz="4" w:space="1" w:color="auto"/>
        </w:pBdr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 xml:space="preserve">1. </w:t>
      </w:r>
      <w:r w:rsidR="00E65532">
        <w:rPr>
          <w:rFonts w:ascii="Arial" w:hAnsi="Arial" w:cs="Arial"/>
          <w:b/>
          <w:color w:val="222222"/>
          <w:shd w:val="clear" w:color="auto" w:fill="FFFFFF"/>
          <w:lang w:val="es-AR"/>
        </w:rPr>
        <w:t>Muestra</w:t>
      </w:r>
    </w:p>
    <w:p w14:paraId="031BD6C7" w14:textId="77777777" w:rsidR="000F1A65" w:rsidRPr="00E65532" w:rsidRDefault="000F1A65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4CA8B4EB" w14:textId="77777777" w:rsidR="00E65532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Muestra: ADN de alta pureza.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Conversión: Bisulfito (EZ DNA </w:t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Methylation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 Kit u otro).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="00E65532">
        <w:rPr>
          <w:rFonts w:ascii="Arial" w:hAnsi="Arial" w:cs="Arial"/>
          <w:color w:val="222222"/>
          <w:shd w:val="clear" w:color="auto" w:fill="FFFFFF"/>
          <w:lang w:val="es-AR"/>
        </w:rPr>
        <w:t>Cuantificación</w:t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: </w:t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Illumina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 EPIC array (850K) </w:t>
      </w:r>
    </w:p>
    <w:p w14:paraId="27A9A772" w14:textId="77777777" w:rsidR="00E65532" w:rsidRDefault="00E655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08D76EA3" w14:textId="77777777" w:rsidR="00E65532" w:rsidRDefault="00E655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>
        <w:rPr>
          <w:rFonts w:ascii="Arial" w:hAnsi="Arial" w:cs="Arial"/>
          <w:color w:val="222222"/>
          <w:shd w:val="clear" w:color="auto" w:fill="FFFFFF"/>
          <w:lang w:val="es-AR"/>
        </w:rPr>
        <w:t>Cuantificación alternativa: secuenciación</w:t>
      </w:r>
    </w:p>
    <w:p w14:paraId="61AAD542" w14:textId="77777777" w:rsidR="00E65532" w:rsidRPr="002B4062" w:rsidRDefault="00E655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proofErr w:type="spellStart"/>
      <w:r w:rsidRPr="002B4062">
        <w:rPr>
          <w:rFonts w:ascii="Arial" w:hAnsi="Arial" w:cs="Arial"/>
          <w:color w:val="222222"/>
          <w:shd w:val="clear" w:color="auto" w:fill="FFFFFF"/>
          <w:lang w:val="es-AR"/>
        </w:rPr>
        <w:t>T</w:t>
      </w:r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>argeted</w:t>
      </w:r>
      <w:proofErr w:type="spellEnd"/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 xml:space="preserve"> </w:t>
      </w:r>
      <w:proofErr w:type="spellStart"/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>bisulfite</w:t>
      </w:r>
      <w:proofErr w:type="spellEnd"/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 xml:space="preserve"> </w:t>
      </w:r>
      <w:proofErr w:type="spellStart"/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>sequencing</w:t>
      </w:r>
      <w:proofErr w:type="spellEnd"/>
      <w:r w:rsidR="00B46601" w:rsidRPr="002B4062">
        <w:rPr>
          <w:rFonts w:ascii="Arial" w:hAnsi="Arial" w:cs="Arial"/>
          <w:color w:val="222222"/>
          <w:shd w:val="clear" w:color="auto" w:fill="FFFFFF"/>
          <w:lang w:val="es-AR"/>
        </w:rPr>
        <w:t xml:space="preserve"> </w:t>
      </w:r>
      <w:r w:rsidRPr="002B4062">
        <w:rPr>
          <w:rFonts w:ascii="Arial" w:hAnsi="Arial" w:cs="Arial"/>
          <w:color w:val="222222"/>
          <w:shd w:val="clear" w:color="auto" w:fill="FFFFFF"/>
          <w:lang w:val="es-AR"/>
        </w:rPr>
        <w:t>para paneles específicos</w:t>
      </w:r>
    </w:p>
    <w:p w14:paraId="3578C82B" w14:textId="77777777" w:rsidR="00E65532" w:rsidRPr="002B4062" w:rsidRDefault="00E655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2B4062">
        <w:rPr>
          <w:rFonts w:ascii="Arial" w:hAnsi="Arial" w:cs="Arial"/>
          <w:color w:val="222222"/>
          <w:shd w:val="clear" w:color="auto" w:fill="FFFFFF"/>
          <w:lang w:val="es-AR"/>
        </w:rPr>
        <w:t>RRBS/WGBS</w:t>
      </w:r>
    </w:p>
    <w:p w14:paraId="5E0B432B" w14:textId="679D54CA" w:rsidR="00DB67FF" w:rsidRPr="002B4062" w:rsidRDefault="00E655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proofErr w:type="spellStart"/>
      <w:r w:rsidRPr="002B4062">
        <w:rPr>
          <w:rFonts w:ascii="Arial" w:hAnsi="Arial" w:cs="Arial"/>
          <w:color w:val="222222"/>
          <w:shd w:val="clear" w:color="auto" w:fill="FFFFFF"/>
          <w:lang w:val="es-AR"/>
        </w:rPr>
        <w:t>Nanopore</w:t>
      </w:r>
      <w:proofErr w:type="spellEnd"/>
      <w:r w:rsidR="00B46601" w:rsidRPr="002B4062">
        <w:rPr>
          <w:rFonts w:ascii="Arial" w:hAnsi="Arial" w:cs="Arial"/>
          <w:color w:val="222222"/>
          <w:lang w:val="es-AR"/>
        </w:rPr>
        <w:br/>
      </w:r>
      <w:r w:rsidR="00B46601" w:rsidRPr="002B4062">
        <w:rPr>
          <w:rFonts w:ascii="Arial" w:hAnsi="Arial" w:cs="Arial"/>
          <w:color w:val="222222"/>
          <w:lang w:val="es-AR"/>
        </w:rPr>
        <w:br/>
      </w:r>
    </w:p>
    <w:p w14:paraId="711CAF46" w14:textId="77777777" w:rsidR="00B46601" w:rsidRPr="00E65532" w:rsidRDefault="00B46601" w:rsidP="000F1A65">
      <w:pPr>
        <w:pStyle w:val="Sinespaciado"/>
        <w:pBdr>
          <w:bottom w:val="single" w:sz="4" w:space="1" w:color="auto"/>
        </w:pBdr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2. Análisis bioinformático en 4 ejes funcionales</w:t>
      </w:r>
    </w:p>
    <w:p w14:paraId="747CFB6D" w14:textId="77777777" w:rsidR="005D12FA" w:rsidRPr="00E65532" w:rsidRDefault="00B46601" w:rsidP="00B46601">
      <w:pPr>
        <w:pStyle w:val="Sinespaciado"/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A. Edad epigenética / estado general del organismo</w:t>
      </w:r>
      <w:r w:rsidRPr="00E65532">
        <w:rPr>
          <w:rFonts w:ascii="Arial" w:hAnsi="Arial" w:cs="Arial"/>
          <w:b/>
          <w:color w:val="222222"/>
          <w:lang w:val="es-AR"/>
        </w:rPr>
        <w:br/>
      </w:r>
    </w:p>
    <w:p w14:paraId="40180FF5" w14:textId="77777777" w:rsidR="0097265E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Aplicar relojes epigenéticos: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Horvath, Hannum, </w:t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PhenoAge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, </w:t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GrimAge</w:t>
      </w:r>
      <w:proofErr w:type="spellEnd"/>
      <w:r w:rsidR="007470FB"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 </w:t>
      </w:r>
      <w:proofErr w:type="spellStart"/>
      <w:r w:rsidR="007470FB" w:rsidRPr="00E65532">
        <w:rPr>
          <w:rFonts w:ascii="Arial" w:hAnsi="Arial" w:cs="Arial"/>
          <w:color w:val="222222"/>
          <w:shd w:val="clear" w:color="auto" w:fill="FFFFFF"/>
          <w:lang w:val="es-AR"/>
        </w:rPr>
        <w:t>DunedinPace</w:t>
      </w:r>
      <w:proofErr w:type="spellEnd"/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DNAmFitAge</w:t>
      </w:r>
      <w:proofErr w:type="spellEnd"/>
    </w:p>
    <w:p w14:paraId="20BE6D89" w14:textId="77777777" w:rsidR="0097265E" w:rsidRDefault="0097265E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79C66D1F" w14:textId="45D2258A" w:rsidR="00A42528" w:rsidRPr="00E65532" w:rsidRDefault="0097265E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proofErr w:type="spellStart"/>
      <w:r w:rsidRPr="0097265E">
        <w:rPr>
          <w:rFonts w:ascii="Arial" w:hAnsi="Arial" w:cs="Arial"/>
          <w:color w:val="808080" w:themeColor="background1" w:themeShade="80"/>
          <w:shd w:val="clear" w:color="auto" w:fill="FFFFFF"/>
          <w:lang w:val="es-AR"/>
        </w:rPr>
        <w:t>SystemAge</w:t>
      </w:r>
      <w:proofErr w:type="spellEnd"/>
      <w:r w:rsidRPr="0097265E">
        <w:rPr>
          <w:rFonts w:ascii="Arial" w:hAnsi="Arial" w:cs="Arial"/>
          <w:color w:val="808080" w:themeColor="background1" w:themeShade="80"/>
          <w:shd w:val="clear" w:color="auto" w:fill="FFFFFF"/>
          <w:lang w:val="es-AR"/>
        </w:rPr>
        <w:t xml:space="preserve"> (</w:t>
      </w:r>
      <w:proofErr w:type="spellStart"/>
      <w:r>
        <w:rPr>
          <w:rFonts w:ascii="Arial" w:hAnsi="Arial" w:cs="Arial"/>
          <w:color w:val="808080" w:themeColor="background1" w:themeShade="80"/>
          <w:shd w:val="clear" w:color="auto" w:fill="FFFFFF"/>
          <w:lang w:val="es-AR"/>
        </w:rPr>
        <w:t>samplea</w:t>
      </w:r>
      <w:proofErr w:type="spellEnd"/>
      <w:r>
        <w:rPr>
          <w:rFonts w:ascii="Arial" w:hAnsi="Arial" w:cs="Arial"/>
          <w:color w:val="808080" w:themeColor="background1" w:themeShade="80"/>
          <w:shd w:val="clear" w:color="auto" w:fill="FFFFFF"/>
          <w:lang w:val="es-AR"/>
        </w:rPr>
        <w:t xml:space="preserve"> edad de 11 órganos, </w:t>
      </w:r>
      <w:r w:rsidRPr="0097265E">
        <w:rPr>
          <w:rFonts w:ascii="Arial" w:hAnsi="Arial" w:cs="Arial"/>
          <w:color w:val="808080" w:themeColor="background1" w:themeShade="80"/>
          <w:shd w:val="clear" w:color="auto" w:fill="FFFFFF"/>
          <w:lang w:val="es-AR"/>
        </w:rPr>
        <w:t>no disponible aún)</w:t>
      </w:r>
      <w:r w:rsidR="00B46601" w:rsidRPr="0097265E">
        <w:rPr>
          <w:rFonts w:ascii="Arial" w:hAnsi="Arial" w:cs="Arial"/>
          <w:color w:val="808080" w:themeColor="background1" w:themeShade="80"/>
          <w:lang w:val="es-AR"/>
        </w:rPr>
        <w:br/>
      </w:r>
      <w:r w:rsidR="00B46601" w:rsidRPr="00E65532">
        <w:rPr>
          <w:rFonts w:ascii="Arial" w:hAnsi="Arial" w:cs="Arial"/>
          <w:color w:val="222222"/>
          <w:lang w:val="es-AR"/>
        </w:rPr>
        <w:br/>
      </w:r>
      <w:r w:rsidR="00B46601" w:rsidRPr="00E65532">
        <w:rPr>
          <w:rFonts w:ascii="Arial" w:hAnsi="Arial" w:cs="Arial"/>
          <w:color w:val="222222"/>
          <w:shd w:val="clear" w:color="auto" w:fill="FFFFFF"/>
          <w:lang w:val="es-AR"/>
        </w:rPr>
        <w:t>Salida: Años epigenéticos vs. cronológicos, aceleración, mortalidad, fragilidad</w:t>
      </w:r>
      <w:r w:rsidR="00B46601" w:rsidRPr="00E65532">
        <w:rPr>
          <w:rFonts w:ascii="Arial" w:hAnsi="Arial" w:cs="Arial"/>
          <w:color w:val="222222"/>
          <w:lang w:val="es-AR"/>
        </w:rPr>
        <w:br/>
      </w:r>
      <w:r w:rsidR="00B46601" w:rsidRPr="00E65532">
        <w:rPr>
          <w:rFonts w:ascii="Arial" w:hAnsi="Arial" w:cs="Arial"/>
          <w:color w:val="222222"/>
          <w:lang w:val="es-AR"/>
        </w:rPr>
        <w:br/>
      </w:r>
    </w:p>
    <w:p w14:paraId="4C552716" w14:textId="77777777" w:rsidR="005D12FA" w:rsidRPr="00E65532" w:rsidRDefault="00B46601" w:rsidP="00B46601">
      <w:pPr>
        <w:pStyle w:val="Sinespaciado"/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B. Riesgo metabólico y cardiovascular</w:t>
      </w:r>
      <w:r w:rsidRPr="00E65532">
        <w:rPr>
          <w:rFonts w:ascii="Arial" w:hAnsi="Arial" w:cs="Arial"/>
          <w:b/>
          <w:color w:val="222222"/>
          <w:lang w:val="es-AR"/>
        </w:rPr>
        <w:br/>
      </w:r>
    </w:p>
    <w:p w14:paraId="79C95553" w14:textId="77777777" w:rsidR="000F0114" w:rsidRPr="00E65532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CpGs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 relacionados con: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IMC, circunferencia de cintura, insulina, glucosa, presión arterial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Estudios EWAS de síndrome metabólico, inflamación, lípidos (ex: Lotta et al. 2021)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Salida: Score de riesgo epigenético de síndrome metabólico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</w:p>
    <w:p w14:paraId="3BDB454B" w14:textId="1B664D65" w:rsidR="005D12FA" w:rsidRPr="00E65532" w:rsidRDefault="00B46601" w:rsidP="00B46601">
      <w:pPr>
        <w:pStyle w:val="Sinespaciado"/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C. Predictores tempranos de cáncer (detección subclínica</w:t>
      </w:r>
      <w:r w:rsidR="002B4062">
        <w:rPr>
          <w:rFonts w:ascii="Arial" w:hAnsi="Arial" w:cs="Arial"/>
          <w:b/>
          <w:color w:val="222222"/>
          <w:shd w:val="clear" w:color="auto" w:fill="FFFFFF"/>
          <w:lang w:val="es-AR"/>
        </w:rPr>
        <w:t xml:space="preserve"> en </w:t>
      </w:r>
      <w:proofErr w:type="spellStart"/>
      <w:r w:rsidR="002B4062">
        <w:rPr>
          <w:rFonts w:ascii="Arial" w:hAnsi="Arial" w:cs="Arial"/>
          <w:b/>
          <w:color w:val="222222"/>
          <w:shd w:val="clear" w:color="auto" w:fill="FFFFFF"/>
          <w:lang w:val="es-AR"/>
        </w:rPr>
        <w:t>cfDNA</w:t>
      </w:r>
      <w:proofErr w:type="spellEnd"/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)</w:t>
      </w:r>
      <w:r w:rsidRPr="00E65532">
        <w:rPr>
          <w:rFonts w:ascii="Arial" w:hAnsi="Arial" w:cs="Arial"/>
          <w:b/>
          <w:color w:val="222222"/>
          <w:lang w:val="es-AR"/>
        </w:rPr>
        <w:br/>
      </w:r>
    </w:p>
    <w:p w14:paraId="65FE16B3" w14:textId="5A8F0879" w:rsidR="00DB67FF" w:rsidRPr="00E65532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Panel funcional basado en: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proofErr w:type="spellStart"/>
      <w:r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>CpGs</w:t>
      </w:r>
      <w:proofErr w:type="spellEnd"/>
      <w:r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 xml:space="preserve"> del estudio </w:t>
      </w:r>
      <w:proofErr w:type="spellStart"/>
      <w:r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>PanSeer</w:t>
      </w:r>
      <w:proofErr w:type="spellEnd"/>
      <w:r w:rsidR="0097265E"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 xml:space="preserve"> (</w:t>
      </w:r>
      <w:proofErr w:type="spellStart"/>
      <w:r w:rsidR="0097265E"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>cfDNA</w:t>
      </w:r>
      <w:proofErr w:type="spellEnd"/>
      <w:r w:rsidR="0097265E" w:rsidRPr="0097265E">
        <w:rPr>
          <w:rFonts w:ascii="Arial" w:hAnsi="Arial" w:cs="Arial"/>
          <w:b/>
          <w:bCs/>
          <w:color w:val="222222"/>
          <w:shd w:val="clear" w:color="auto" w:fill="FFFFFF"/>
          <w:lang w:val="es-AR"/>
        </w:rPr>
        <w:t>)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proofErr w:type="spellStart"/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CpGs</w:t>
      </w:r>
      <w:proofErr w:type="spellEnd"/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 xml:space="preserve"> en SEPT9, SDC2, otros marcadores validados (</w:t>
      </w:r>
      <w:proofErr w:type="spellStart"/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cfDNA</w:t>
      </w:r>
      <w:proofErr w:type="spellEnd"/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)</w:t>
      </w:r>
      <w:r w:rsidRPr="00E65532">
        <w:rPr>
          <w:rFonts w:ascii="Arial" w:hAnsi="Arial" w:cs="Arial"/>
          <w:b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lastRenderedPageBreak/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Salida: Score de riesgo de cáncer general o específico (</w:t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ej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: colorrectal)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</w:p>
    <w:p w14:paraId="5FB9C3AB" w14:textId="77777777" w:rsidR="005D12FA" w:rsidRPr="00E65532" w:rsidRDefault="00B46601" w:rsidP="00B46601">
      <w:pPr>
        <w:pStyle w:val="Sinespaciado"/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D. Estado inmune y exposición ambiental</w:t>
      </w:r>
      <w:r w:rsidRPr="00E65532">
        <w:rPr>
          <w:rFonts w:ascii="Arial" w:hAnsi="Arial" w:cs="Arial"/>
          <w:b/>
          <w:color w:val="222222"/>
          <w:lang w:val="es-AR"/>
        </w:rPr>
        <w:br/>
      </w:r>
    </w:p>
    <w:p w14:paraId="74944D83" w14:textId="77777777" w:rsidR="00214F2F" w:rsidRPr="00E65532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Metilación en genes de linajes inmunes (CD4, CD8, neutros, NK), proporciones celulares (Houseman)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proofErr w:type="spellStart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CpGs</w:t>
      </w:r>
      <w:proofErr w:type="spellEnd"/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 xml:space="preserve"> asociados a exposiciones (tabaquismo, contaminación, estrés)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Salida: Edad inmunológica, firma inflamatoria, exposición previa</w:t>
      </w:r>
    </w:p>
    <w:p w14:paraId="72D98E6E" w14:textId="1BCA4E3E" w:rsidR="00DB67FF" w:rsidRPr="00E65532" w:rsidRDefault="00B46601" w:rsidP="000F1A65">
      <w:pPr>
        <w:pStyle w:val="Sinespaciado"/>
        <w:pBdr>
          <w:bottom w:val="single" w:sz="4" w:space="1" w:color="auto"/>
        </w:pBdr>
        <w:rPr>
          <w:rFonts w:ascii="Arial" w:hAnsi="Arial" w:cs="Arial"/>
          <w:b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="0097265E">
        <w:rPr>
          <w:rFonts w:ascii="Arial" w:hAnsi="Arial" w:cs="Arial"/>
          <w:b/>
          <w:color w:val="222222"/>
          <w:shd w:val="clear" w:color="auto" w:fill="FFFFFF"/>
          <w:lang w:val="es-AR"/>
        </w:rPr>
        <w:t>3</w:t>
      </w:r>
      <w:r w:rsidRPr="00E65532">
        <w:rPr>
          <w:rFonts w:ascii="Arial" w:hAnsi="Arial" w:cs="Arial"/>
          <w:b/>
          <w:color w:val="222222"/>
          <w:shd w:val="clear" w:color="auto" w:fill="FFFFFF"/>
          <w:lang w:val="es-AR"/>
        </w:rPr>
        <w:t>. Informe personalizado</w:t>
      </w:r>
    </w:p>
    <w:p w14:paraId="1F39F4F2" w14:textId="77777777" w:rsidR="000F1A65" w:rsidRPr="00E65532" w:rsidRDefault="000F1A65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0D769972" w14:textId="77777777" w:rsidR="00BA6456" w:rsidRPr="00E65532" w:rsidRDefault="00B46601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Un output tipo “reporte clínico-epigenético” puede incluir: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Área Resultado Interpretación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Edad epigenética 53 años +5 años respecto a cronológica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Score metabólico Alto Similar a perfil de pacientes con síndrome metabólico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Riesgo oncológico (SEPT9/SDC2) Bajo Sin alteraciones significativas en regiones marcadoras</w:t>
      </w:r>
      <w:r w:rsidRPr="00E65532">
        <w:rPr>
          <w:rFonts w:ascii="Arial" w:hAnsi="Arial" w:cs="Arial"/>
          <w:color w:val="222222"/>
          <w:lang w:val="es-AR"/>
        </w:rPr>
        <w:br/>
      </w:r>
      <w:r w:rsidRPr="00E65532">
        <w:rPr>
          <w:rFonts w:ascii="Arial" w:hAnsi="Arial" w:cs="Arial"/>
          <w:color w:val="222222"/>
          <w:shd w:val="clear" w:color="auto" w:fill="FFFFFF"/>
          <w:lang w:val="es-AR"/>
        </w:rPr>
        <w:t>Exposición ambiental Alta Firma compatible con fumador pasivo / contaminación urbana</w:t>
      </w:r>
    </w:p>
    <w:p w14:paraId="19E9605D" w14:textId="77777777" w:rsidR="00756D32" w:rsidRPr="00E65532" w:rsidRDefault="00756D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2922A13C" w14:textId="77777777" w:rsidR="00756D32" w:rsidRPr="00E65532" w:rsidRDefault="00756D32" w:rsidP="00B46601">
      <w:pPr>
        <w:pStyle w:val="Sinespaciado"/>
        <w:rPr>
          <w:rFonts w:ascii="Arial" w:hAnsi="Arial" w:cs="Arial"/>
          <w:color w:val="222222"/>
          <w:shd w:val="clear" w:color="auto" w:fill="FFFFFF"/>
          <w:lang w:val="es-AR"/>
        </w:rPr>
      </w:pPr>
    </w:p>
    <w:p w14:paraId="4581F0FF" w14:textId="2751EC51" w:rsidR="00756D32" w:rsidRPr="00E4138E" w:rsidRDefault="0066035E" w:rsidP="00E4138E">
      <w:pPr>
        <w:rPr>
          <w:rFonts w:ascii="Arial" w:hAnsi="Arial" w:cs="Arial"/>
          <w:color w:val="222222"/>
          <w:shd w:val="clear" w:color="auto" w:fill="FFFFFF"/>
          <w:lang w:val="es-AR"/>
        </w:rPr>
      </w:pPr>
      <w:r w:rsidRPr="00E4138E">
        <w:rPr>
          <w:lang w:val="es-AR"/>
        </w:rPr>
        <w:t xml:space="preserve"> </w:t>
      </w:r>
    </w:p>
    <w:sectPr w:rsidR="00756D32" w:rsidRPr="00E413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F13"/>
    <w:rsid w:val="000B72AF"/>
    <w:rsid w:val="000F0114"/>
    <w:rsid w:val="000F1A65"/>
    <w:rsid w:val="001734A2"/>
    <w:rsid w:val="00214F2F"/>
    <w:rsid w:val="00236B45"/>
    <w:rsid w:val="002B4062"/>
    <w:rsid w:val="002D1F13"/>
    <w:rsid w:val="00443937"/>
    <w:rsid w:val="004D62BB"/>
    <w:rsid w:val="005D12FA"/>
    <w:rsid w:val="0066035E"/>
    <w:rsid w:val="007470FB"/>
    <w:rsid w:val="00756D32"/>
    <w:rsid w:val="008D4371"/>
    <w:rsid w:val="0097265E"/>
    <w:rsid w:val="00A42528"/>
    <w:rsid w:val="00B46601"/>
    <w:rsid w:val="00BA3EF1"/>
    <w:rsid w:val="00BA6456"/>
    <w:rsid w:val="00C606BC"/>
    <w:rsid w:val="00D61A17"/>
    <w:rsid w:val="00DB67FF"/>
    <w:rsid w:val="00E4138E"/>
    <w:rsid w:val="00E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E8B1"/>
  <w15:docId w15:val="{C5D0BECE-D9AD-41FD-8027-73E7E712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4660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6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66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7279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Betina Gonzalez</dc:creator>
  <cp:keywords/>
  <dc:description/>
  <cp:lastModifiedBy>User</cp:lastModifiedBy>
  <cp:revision>15</cp:revision>
  <dcterms:created xsi:type="dcterms:W3CDTF">2025-06-18T12:21:00Z</dcterms:created>
  <dcterms:modified xsi:type="dcterms:W3CDTF">2026-02-11T09:34:00Z</dcterms:modified>
</cp:coreProperties>
</file>