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6"/>
        <w:gridCol w:w="7582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Заголовок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Не сворачиваются две формы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Описание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При закрытии формы входа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остается задний фон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Шаги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Воспроизведения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1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Заполнить поле регистрации и входа</w:t>
            </w:r>
          </w:p>
          <w:p>
            <w:pPr>
              <w:pStyle w:val="Стиль таблицы 2"/>
              <w:numPr>
                <w:ilvl w:val="0"/>
                <w:numId w:val="1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Нажать на кнопку «Регистрация»</w:t>
            </w:r>
            <w:r>
              <w:rPr>
                <w:sz w:val="28"/>
                <w:szCs w:val="28"/>
                <w:rtl w:val="0"/>
                <w:lang w:val="ru-RU"/>
              </w:rPr>
              <w:t>/</w:t>
            </w:r>
            <w:r>
              <w:rPr>
                <w:sz w:val="28"/>
                <w:szCs w:val="28"/>
                <w:rtl w:val="0"/>
                <w:lang w:val="ru-RU"/>
              </w:rPr>
              <w:t>«Войти»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Фактический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При закрытии формы входа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остается задний фон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Форма требует отдельного закрытия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При закрытии формы входа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/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регистрации сворачиваются две формы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Окружение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Страница входа и регистрации на платформе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, Visual studio 2022</w:t>
            </w:r>
          </w:p>
        </w:tc>
      </w:tr>
      <w:tr>
        <w:tblPrEx>
          <w:shd w:val="clear" w:color="auto" w:fill="auto"/>
        </w:tblPrEx>
        <w:trPr>
          <w:trHeight w:val="416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Вложения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</w:pPr>
            <w:r>
              <w:drawing xmlns:a="http://schemas.openxmlformats.org/drawingml/2006/main">
                <wp:inline distT="0" distB="0" distL="0" distR="0">
                  <wp:extent cx="4630057" cy="2604407"/>
                  <wp:effectExtent l="0" t="0" r="0" b="0"/>
                  <wp:docPr id="1073741825" name="officeArt object" descr="pasted-image.ti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tiff" descr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057" cy="26044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Основной текст"/>
        <w:bidi w:val="0"/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6"/>
        <w:gridCol w:w="7582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Заголовок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Считывание пробелов при регистрации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Описание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При заполнении формы регистрации учитываются пробелы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что приведет к необходимости прописывать их при входе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либо система сообщает об ошибке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Шаги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Воспроизведения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2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Заполнить</w:t>
            </w:r>
            <w:r>
              <w:rPr>
                <w:sz w:val="28"/>
                <w:szCs w:val="28"/>
                <w:rtl w:val="0"/>
                <w:lang w:val="ru-RU"/>
              </w:rPr>
              <w:t xml:space="preserve"> строку регистрации</w:t>
            </w:r>
            <w:r>
              <w:rPr>
                <w:sz w:val="28"/>
                <w:szCs w:val="28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rtl w:val="0"/>
                <w:lang w:val="ru-RU"/>
              </w:rPr>
              <w:t>используя пробелы</w:t>
            </w:r>
          </w:p>
          <w:p>
            <w:pPr>
              <w:pStyle w:val="Стиль таблицы 2"/>
              <w:numPr>
                <w:ilvl w:val="0"/>
                <w:numId w:val="2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Войти в систему</w:t>
            </w:r>
            <w:r>
              <w:rPr>
                <w:sz w:val="28"/>
                <w:szCs w:val="28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rtl w:val="0"/>
                <w:lang w:val="ru-RU"/>
              </w:rPr>
              <w:t>без использования пробелов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Фактический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При некорректном заполнении формы регистрации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система входа выдает ошибку</w:t>
            </w:r>
          </w:p>
          <w:p>
            <w:pPr>
              <w:pStyle w:val="Стиль таблицы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Форма регистрации не учитывает пробелы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и осуществляется корректный вход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Окружение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Страница входа и регистрации на платформе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, Visual studio 2022</w:t>
            </w:r>
          </w:p>
        </w:tc>
      </w:tr>
      <w:tr>
        <w:tblPrEx>
          <w:shd w:val="clear" w:color="auto" w:fill="auto"/>
        </w:tblPrEx>
        <w:trPr>
          <w:trHeight w:val="416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Вложения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</w:pPr>
            <w:r>
              <w:drawing xmlns:a="http://schemas.openxmlformats.org/drawingml/2006/main">
                <wp:inline distT="0" distB="0" distL="0" distR="0">
                  <wp:extent cx="4630057" cy="2604407"/>
                  <wp:effectExtent l="0" t="0" r="0" b="0"/>
                  <wp:docPr id="1073741826" name="officeArt object" descr="pasted-image.ti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tiff" descr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057" cy="26044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Основной текст"/>
        <w:bidi w:val="0"/>
        <w:sectPr>
          <w:headerReference w:type="default" r:id="rId8"/>
          <w:footerReference w:type="default" r:id="rId9"/>
          <w:pgSz w:w="11906" w:h="16838" w:orient="portrait"/>
          <w:pgMar w:top="1134" w:right="1134" w:bottom="1134" w:left="1134" w:header="709" w:footer="850"/>
          <w:bidi w:val="0"/>
        </w:sect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6"/>
        <w:gridCol w:w="7582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Заголовок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Форма входа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/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регистации не учитывает регистр при вводе логина и пароля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Описание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К примеру логин и пароль заданы с нижним регистром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однако имеется возможность авторизоваться в аккаунт с верхним регистром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Не производится учет регистра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Шаги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Воспроизведения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Заполняем строку регистрации</w:t>
            </w:r>
            <w:r>
              <w:rPr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rtl w:val="0"/>
                <w:lang w:val="ru-RU"/>
              </w:rPr>
              <w:t>не учитывая регистр</w:t>
            </w:r>
          </w:p>
          <w:p>
            <w:pPr>
              <w:pStyle w:val="Стиль таблицы 2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Выполняем вход</w:t>
            </w:r>
            <w:r>
              <w:rPr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rtl w:val="0"/>
                <w:lang w:val="ru-RU"/>
              </w:rPr>
              <w:t>изменяя регистр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Фактический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 xml:space="preserve">Успешная авторизация с верхним регистром при зарегистрированном пароле и логине с нижним регистром 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 xml:space="preserve">При попытке авторизации в аккаунт с некорректным регистром система сообщает об неправильном введенном логине или пароле 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Окружение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Страница входа и регистрации на платформе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, Visual studio 2022</w:t>
            </w:r>
          </w:p>
        </w:tc>
      </w:tr>
      <w:tr>
        <w:tblPrEx>
          <w:shd w:val="clear" w:color="auto" w:fill="auto"/>
        </w:tblPrEx>
        <w:trPr>
          <w:trHeight w:val="4168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Вложения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</w:rPr>
              <w:drawing xmlns:a="http://schemas.openxmlformats.org/drawingml/2006/main">
                <wp:inline distT="0" distB="0" distL="0" distR="0">
                  <wp:extent cx="4630057" cy="2604407"/>
                  <wp:effectExtent l="0" t="0" r="0" b="0"/>
                  <wp:docPr id="1073741827" name="officeArt object" descr="pasted-image.ti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sted-image.tiff" descr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057" cy="26044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Основной текст"/>
        <w:bidi w:val="0"/>
        <w:sectPr>
          <w:headerReference w:type="default" r:id="rId11"/>
          <w:footerReference w:type="default" r:id="rId12"/>
          <w:pgSz w:w="11906" w:h="16838" w:orient="portrait"/>
          <w:pgMar w:top="1134" w:right="1134" w:bottom="1134" w:left="1134" w:header="709" w:footer="850"/>
          <w:bidi w:val="0"/>
        </w:sect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6"/>
        <w:gridCol w:w="7582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Заголовок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 xml:space="preserve">Формат даты дедлайна 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Описание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TextBox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 xml:space="preserve">считывает любые заданные данные с несоблюдением формата даты 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Шаги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Воспроизведения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4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 xml:space="preserve">Заполняем </w:t>
            </w:r>
            <w:r>
              <w:rPr>
                <w:sz w:val="28"/>
                <w:szCs w:val="28"/>
                <w:rtl w:val="0"/>
                <w:lang w:val="en-US"/>
              </w:rPr>
              <w:t xml:space="preserve">TextBox </w:t>
            </w:r>
            <w:r>
              <w:rPr>
                <w:sz w:val="28"/>
                <w:szCs w:val="28"/>
                <w:rtl w:val="0"/>
                <w:lang w:val="ru-RU"/>
              </w:rPr>
              <w:t>в некорректном виде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Заполняем описание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Оформляем заявку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Фактический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 xml:space="preserve">Система принимает любое некорректное заполнение 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TextBox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Система выдает ошибку при некорректном заполнении даты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Окружение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Форма оформления заявки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, Visual studio 2022</w:t>
            </w:r>
          </w:p>
        </w:tc>
      </w:tr>
      <w:tr>
        <w:tblPrEx>
          <w:shd w:val="clear" w:color="auto" w:fill="auto"/>
        </w:tblPrEx>
        <w:trPr>
          <w:trHeight w:val="416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Вложения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</w:pPr>
            <w:r>
              <w:drawing xmlns:a="http://schemas.openxmlformats.org/drawingml/2006/main">
                <wp:inline distT="0" distB="0" distL="0" distR="0">
                  <wp:extent cx="4630057" cy="2604407"/>
                  <wp:effectExtent l="0" t="0" r="0" b="0"/>
                  <wp:docPr id="1073741828" name="officeArt object" descr="pasted-image.ti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sted-image.tiff" descr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057" cy="26044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Основной текст"/>
        <w:bidi w:val="0"/>
        <w:sectPr>
          <w:headerReference w:type="default" r:id="rId14"/>
          <w:footerReference w:type="default" r:id="rId15"/>
          <w:pgSz w:w="11906" w:h="16838" w:orient="portrait"/>
          <w:pgMar w:top="1134" w:right="1134" w:bottom="1134" w:left="1134" w:header="709" w:footer="850"/>
          <w:bidi w:val="0"/>
        </w:sect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6"/>
        <w:gridCol w:w="7582"/>
      </w:tblGrid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Заголовок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Форма заявки сохраняет прежнее состояние после отправки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Описание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Заполнив заявку и отправив в определенный отдел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сохраняются текущие данные в окне формы и не отображаются актуальные задачи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Шаги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Воспроизведения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5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Заполнить форму заявки</w:t>
            </w:r>
            <w:r>
              <w:rPr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rtl w:val="0"/>
                <w:lang w:val="ru-RU"/>
              </w:rPr>
              <w:t>выполнив задание</w:t>
            </w:r>
          </w:p>
          <w:p>
            <w:pPr>
              <w:pStyle w:val="Стиль таблицы 2"/>
              <w:numPr>
                <w:ilvl w:val="0"/>
                <w:numId w:val="5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rtl w:val="0"/>
                <w:lang w:val="ru-RU"/>
              </w:rPr>
              <w:t>Отправить в отдел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Фактический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 xml:space="preserve">Форма не возвращается в исходное состояние при отправке заявки в отдел 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При отправке данных в отдел форма обновляется и появляется список актуальных задач</w:t>
            </w:r>
          </w:p>
        </w:tc>
      </w:tr>
      <w:tr>
        <w:tblPrEx>
          <w:shd w:val="clear" w:color="auto" w:fill="auto"/>
        </w:tblPrEx>
        <w:trPr>
          <w:trHeight w:val="192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Окружение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Форма оформления заявки и решения задач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, Visual studio 2022</w:t>
            </w:r>
          </w:p>
        </w:tc>
      </w:tr>
      <w:tr>
        <w:tblPrEx>
          <w:shd w:val="clear" w:color="auto" w:fill="auto"/>
        </w:tblPrEx>
        <w:trPr>
          <w:trHeight w:val="4160" w:hRule="atLeast"/>
        </w:trPr>
        <w:tc>
          <w:tcPr>
            <w:tcW w:type="dxa" w:w="20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Вложения</w:t>
            </w:r>
          </w:p>
        </w:tc>
        <w:tc>
          <w:tcPr>
            <w:tcW w:type="dxa" w:w="7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</w:pPr>
            <w:r>
              <w:drawing xmlns:a="http://schemas.openxmlformats.org/drawingml/2006/main">
                <wp:inline distT="0" distB="0" distL="0" distR="0">
                  <wp:extent cx="4630057" cy="2604407"/>
                  <wp:effectExtent l="0" t="0" r="0" b="0"/>
                  <wp:docPr id="1073741829" name="officeArt object" descr="pasted-image.ti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sted-image.tiff" descr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057" cy="26044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Основной текст"/>
        <w:bidi w:val="0"/>
      </w:pPr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tif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tif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4.tif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image" Target="media/image5.tif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