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b/>
          <w:sz w:val="42"/>
        </w:rPr>
        <w:t>Карточки профессий</w:t>
      </w:r>
    </w:p>
    <w:p>
      <w:pPr>
        <w:spacing w:after="240"/>
      </w:pPr>
      <w:r>
        <w:rPr>
          <w:sz w:val="22"/>
        </w:rPr>
        <w:t>Краткая инструкция для программиста</w:t>
      </w:r>
    </w:p>
    <w:p>
      <w:r>
        <w:t>12 карточек профессий используются во внутреннем круге «Крысиные бега». Суммы брать из подготовленного файла карточек: они уже переведены в рубли.</w:t>
      </w:r>
    </w:p>
    <w:p>
      <w:pPr>
        <w:keepLines/>
      </w:pPr>
      <w:r>
        <w:rPr>
          <w:b/>
        </w:rPr>
        <w:t xml:space="preserve">1. Выдача карточки. </w:t>
      </w:r>
      <w:r>
        <w:t>Каждому игроку автоматически выдаётся случайная профессия. В одной игре профессии не повторяются, в новой игре карточки перемешиваются заново. При повторном входе в текущую игру профессия и бюджет сохраняются. Показать приветствие: «Добро пожаловать в игру! Сегодня ваша профессия: {профессия}».</w:t>
      </w:r>
    </w:p>
    <w:p>
      <w:pPr>
        <w:keepLines/>
      </w:pPr>
      <w:r>
        <w:rPr>
          <w:b/>
        </w:rPr>
        <w:t xml:space="preserve">2. Начальный бюджет. </w:t>
      </w:r>
      <w:r>
        <w:t>Перенести из карточки зарплату, статьи расходов, долги, расходы на одного ребёнка и наличные на старте. Пассивный доход и количество детей равны нулю, список активов пуст. Стартовые наличные начислить один раз в указанной сумме. Данные каждого игрока меняются в его карточке независимо от других игроков.</w:t>
      </w:r>
    </w:p>
    <w:p>
      <w:pPr>
        <w:keepLines/>
      </w:pPr>
      <w:r>
        <w:rPr>
          <w:b/>
        </w:rPr>
        <w:t xml:space="preserve">3. Доходы и активы. </w:t>
      </w:r>
      <w:r>
        <w:t>Зарплата — постоянная сумма. Пассивный доход складывается из процентов и дивидендов по ценным бумагам, аренды недвижимости и прибыли бизнеса по условиям карточек активов. Каждый приобретённый актив добавить в раздел «Активы» с названием, описанием, количеством или долей и ежемесячным доходом. При продаже убрать проданную часть актива и связанный с ней доход.</w:t>
      </w:r>
    </w:p>
    <w:p>
      <w:pPr>
        <w:keepLines/>
      </w:pPr>
      <w:r>
        <w:rPr>
          <w:b/>
        </w:rPr>
        <w:t xml:space="preserve">4. Расходы и обязательства. </w:t>
      </w:r>
      <w:r>
        <w:t>Рождение ребёнка добавляет ежемесячный расход из карточки профессии. Общие расходы на детей равны количеству детей, умноженному на эту сумму. Новый кредит увеличивает долг и ежемесячные выплаты; полное погашение убирает долг и соответствующую выплату. В «Пассивах» показывать сумму задолженности, в расходах — ежемесячный платёж.</w:t>
      </w:r>
    </w:p>
    <w:p>
      <w:pPr>
        <w:keepLines/>
      </w:pPr>
      <w:r>
        <w:rPr>
          <w:b/>
        </w:rPr>
        <w:t xml:space="preserve">5. Пересчёт бюджета. </w:t>
      </w:r>
      <w:r>
        <w:t>Общий доход = зарплата + пассивный доход. Общие расходы = сумма всех действующих ежемесячных расходов. Чистый доход, или месячный денежный поток, = общий доход − общие расходы. Все показатели пересчитывать автоматически после подтверждённых сделок и событий. Наличные учитывать отдельно: покупка уменьшает их, продажа увеличивает с учётом условий сделки. Пересчёт бюджета сам по себе не начисляет деньги; денежный поток начисляется автоматически по событию «Доход».</w:t>
      </w:r>
    </w:p>
    <w:p>
      <w:pPr>
        <w:keepLines/>
      </w:pPr>
      <w:r>
        <w:rPr>
          <w:b/>
        </w:rPr>
        <w:t xml:space="preserve">6. Выход в большой круг. </w:t>
      </w:r>
      <w:r>
        <w:t>Условие выхода: пассивный доход строго превышает общие расходы. Зарплата в этом сравнении не участвует. Игрок сам сообщает ведущему: «Я хочу выйти в большой круг». Программа проверяет условие, а ведущий переводит игрока кнопкой «Перевести в большой круг». Автоматического перехода нет. После перехода карточка профессии больше не используется в расчётах большого круга.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40"/>
    </w:pPr>
    <w:rPr>
      <w:rFonts w:ascii="Calibri" w:hAnsi="Calibri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Карточки профессий</dc:title>
  <dc:subject>Краткая инструкция для программиста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