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ТЕХНИЧЕСКОЕ ОПИСАНИЕ КОНСТРУКЦИИ</w:t>
        <w:br/>
      </w:r>
      <w:r>
        <w:rPr>
          <w:rFonts w:ascii="Times New Roman" w:hAnsi="Times New Roman" w:eastAsia="Times New Roman"/>
          <w:b/>
          <w:i w:val="0"/>
          <w:sz w:val="32"/>
        </w:rPr>
        <w:t>интегрированной 10-ступенчатой выпарной установки</w:t>
        <w:br/>
      </w:r>
      <w:r>
        <w:rPr>
          <w:rFonts w:ascii="Times New Roman" w:hAnsi="Times New Roman" w:eastAsia="Times New Roman"/>
          <w:b/>
          <w:i w:val="0"/>
          <w:sz w:val="32"/>
        </w:rPr>
        <w:t>с солнечной генерацией насыщенного пара, аккумулятором-сепаратором</w:t>
        <w:br/>
      </w:r>
      <w:r>
        <w:rPr>
          <w:rFonts w:ascii="Times New Roman" w:hAnsi="Times New Roman" w:eastAsia="Times New Roman"/>
          <w:b/>
          <w:i w:val="0"/>
          <w:sz w:val="32"/>
        </w:rPr>
        <w:t>и прудом-испарителем</w:t>
      </w:r>
    </w:p>
    <w:p>
      <w:pPr>
        <w:jc w:val="center"/>
      </w:pPr>
      <w:r>
        <w:rPr>
          <w:rFonts w:ascii="Times New Roman" w:hAnsi="Times New Roman" w:eastAsia="Times New Roman"/>
          <w:b w:val="0"/>
          <w:i/>
          <w:sz w:val="24"/>
        </w:rPr>
        <w:t>Базовая проектная версия для анализа конструкции, переходных режимов и обоснования применимости технологии в распределённых системах опреснения</w:t>
      </w:r>
    </w:p>
    <w:p/>
    <w:p>
      <w:r>
        <w:drawing>
          <wp:inline xmlns:a="http://schemas.openxmlformats.org/drawingml/2006/main" xmlns:pic="http://schemas.openxmlformats.org/drawingml/2006/picture">
            <wp:extent cx="5760000" cy="3164400"/>
            <wp:docPr id="1" name="Picture 1"/>
            <wp:cNvGraphicFramePr>
              <a:graphicFrameLocks noChangeAspect="1"/>
            </wp:cNvGraphicFramePr>
            <a:graphic>
              <a:graphicData uri="http://schemas.openxmlformats.org/drawingml/2006/picture">
                <pic:pic>
                  <pic:nvPicPr>
                    <pic:cNvPr id="0" name="3схема солнечного опреснителя англэ__вк(1).jpg"/>
                    <pic:cNvPicPr/>
                  </pic:nvPicPr>
                  <pic:blipFill>
                    <a:blip r:embed="rId9"/>
                    <a:stretch>
                      <a:fillRect/>
                    </a:stretch>
                  </pic:blipFill>
                  <pic:spPr>
                    <a:xfrm>
                      <a:off x="0" y="0"/>
                      <a:ext cx="5760000" cy="3164400"/>
                    </a:xfrm>
                    <a:prstGeom prst="rect"/>
                  </pic:spPr>
                </pic:pic>
              </a:graphicData>
            </a:graphic>
          </wp:inline>
        </w:drawing>
      </w:r>
    </w:p>
    <w:p>
      <w:pPr>
        <w:jc w:val="center"/>
      </w:pPr>
      <w:r>
        <w:rPr>
          <w:rFonts w:ascii="Times New Roman" w:hAnsi="Times New Roman" w:eastAsia="Times New Roman"/>
          <w:b w:val="0"/>
          <w:i/>
          <w:sz w:val="21"/>
        </w:rPr>
        <w:t>Рисунок 1. Интегрированная схема: солнечная генерация пара -&gt; 10-ступенчатый DFE-модуль -&gt; пруд-испаритель.</w:t>
      </w:r>
    </w:p>
    <w:p>
      <w:pPr>
        <w:spacing w:before="160" w:after="80"/>
      </w:pPr>
      <w:r>
        <w:rPr>
          <w:rFonts w:ascii="Times New Roman" w:hAnsi="Times New Roman" w:eastAsia="Times New Roman"/>
          <w:b/>
          <w:i w:val="0"/>
          <w:sz w:val="28"/>
        </w:rPr>
        <w:t>1. Назначение и общая инженерная идея</w:t>
      </w:r>
    </w:p>
    <w:p>
      <w:pPr>
        <w:spacing w:after="40" w:line="264" w:lineRule="auto"/>
        <w:ind w:firstLine="425"/>
      </w:pPr>
      <w:r>
        <w:rPr>
          <w:rFonts w:ascii="Times New Roman" w:hAnsi="Times New Roman" w:eastAsia="Times New Roman"/>
          <w:b w:val="0"/>
          <w:i w:val="0"/>
          <w:sz w:val="22"/>
        </w:rPr>
        <w:t>Рассматриваемая установка предназначена для получения дистиллята из морской или солоноватой воды в модульном распределённом формате, где тепловой источник вынесен в отдельный солнечный контур прямой генерации насыщенного пара. Конструктивная идея комплекса состоит в том, чтобы объединить три узла в единую энергетически и материально согласованную систему: солнечное поле прямой генерации пара, многоступенчатый DFE-модуль на 10 ступеней и завершающий контур концентрата в виде пруда-испарителя.</w:t>
      </w:r>
    </w:p>
    <w:p>
      <w:pPr>
        <w:spacing w:after="40" w:line="264" w:lineRule="auto"/>
        <w:ind w:firstLine="425"/>
      </w:pPr>
      <w:r>
        <w:rPr>
          <w:rFonts w:ascii="Times New Roman" w:hAnsi="Times New Roman" w:eastAsia="Times New Roman"/>
          <w:b w:val="0"/>
          <w:i w:val="0"/>
          <w:sz w:val="22"/>
        </w:rPr>
        <w:t>В такой архитектуре солнечное поле не просто подаёт тепло, а задаёт верхний уровень температуры и давления для первой ступени. Многоступенчатый DFE-модуль понижает этот потенциал каскадом вторичного пара, многократно использует одну и ту же теплоту фазового перехода и формирует два конечных продукта: дистиллят и концентрат. Пруд-испаритель принимает концентрат после выпарного модуля и завершает контур обращения солей, снижая требования к сбросу рассола в окружающую среду.</w:t>
      </w:r>
    </w:p>
    <w:p>
      <w:pPr>
        <w:spacing w:after="40" w:line="264" w:lineRule="auto"/>
        <w:ind w:firstLine="425"/>
      </w:pPr>
      <w:r>
        <w:rPr>
          <w:rFonts w:ascii="Times New Roman" w:hAnsi="Times New Roman" w:eastAsia="Times New Roman"/>
          <w:b w:val="0"/>
          <w:i w:val="0"/>
          <w:sz w:val="22"/>
        </w:rPr>
        <w:t>Главная ценность этой связки заключается в том, что система изначально спроектирована не как крупный централизованный объект, а как повторяемый автономный тепловой модуль. За счёт этого технология подходит для удалённых прибрежных площадок, малых агропромышленных комплексов, распределённых промышленных объектов и локальных поселений, где есть солнце, дефицит пресной воды и ограничения по электроэнергии или подвозному топливу.</w:t>
      </w:r>
    </w:p>
    <w:p>
      <w:pPr>
        <w:spacing w:before="160" w:after="80"/>
      </w:pPr>
      <w:r>
        <w:rPr>
          <w:rFonts w:ascii="Times New Roman" w:hAnsi="Times New Roman" w:eastAsia="Times New Roman"/>
          <w:b/>
          <w:i w:val="0"/>
          <w:sz w:val="28"/>
        </w:rPr>
        <w:t>2. Расчётная база и принятые исходные данные</w:t>
      </w:r>
    </w:p>
    <w:p>
      <w:pPr>
        <w:spacing w:after="40" w:line="264" w:lineRule="auto"/>
        <w:ind w:firstLine="425"/>
      </w:pPr>
      <w:r>
        <w:rPr>
          <w:rFonts w:ascii="Times New Roman" w:hAnsi="Times New Roman" w:eastAsia="Times New Roman"/>
          <w:b w:val="0"/>
          <w:i w:val="0"/>
          <w:sz w:val="22"/>
        </w:rPr>
        <w:t>Для описания конструкции принята доработанная проектная база: солнечная система вырабатывает насыщенный пар при давлении 1,6 мегапаскаля и расходе 450 килограмм в час; 10-ступенчатый DFE-модуль работает с параллельной подачей раствора по ступеням и каскадным использованием пара; контур солнечной генерации использует эжекторную рециркуляцию насыщенной воды из аккумулятора-сепаратора; утренний пуск облегчён теплоизолированным аккумулятором-сепаратором, сохраняющим тепло и давление после ночного простоя.</w:t>
      </w:r>
    </w:p>
    <w:p>
      <w:pPr>
        <w:spacing w:after="40" w:line="264" w:lineRule="auto"/>
        <w:ind w:firstLine="425"/>
      </w:pPr>
      <w:r>
        <w:rPr>
          <w:rFonts w:ascii="Times New Roman" w:hAnsi="Times New Roman" w:eastAsia="Times New Roman"/>
          <w:b w:val="0"/>
          <w:i w:val="0"/>
          <w:sz w:val="22"/>
        </w:rPr>
        <w:t>Номинальная производительность опреснительного модуля, пересчитанная на расход первичного пара 450 килограмм в час, составляет около 3,95 тонны дистиллята в час при суммарной подаче исходной воды около 5,80 тонны в час и суммарном выводе концентрата около 1,84 тонны в час. Термодинамический уровень первой ступени задаётся насыщенным паром с температурой около 201 градуса Цельсия. Этот уровень обеспечивает далее каскад давления и температуры по 10 ступеням.</w:t>
      </w:r>
    </w:p>
    <w:p>
      <w:pPr>
        <w:spacing w:after="40" w:line="264" w:lineRule="auto"/>
        <w:ind w:firstLine="425"/>
      </w:pPr>
      <w:r>
        <w:rPr>
          <w:rFonts w:ascii="Times New Roman" w:hAnsi="Times New Roman" w:eastAsia="Times New Roman"/>
          <w:b w:val="0"/>
          <w:i w:val="0"/>
          <w:sz w:val="22"/>
        </w:rPr>
        <w:t>В качестве базового варианта для солнечного контура приняты: коэффициент инжекции эжектора 2,5; суммарный расход в поле 1575 килограмм в час; теплообменник перед эжектором с тепловой нагрузкой 31,5 киловатта; аккумулятор-сепаратор объёмом 6 кубических метров с теплоизоляцией 150 миллиметров; солнечное поле из двух параболических рядов общей апертурой порядка 1450 квадратных метров.</w:t>
      </w:r>
    </w:p>
    <w:p>
      <w:pPr>
        <w:spacing w:before="160" w:after="80"/>
      </w:pPr>
      <w:r>
        <w:rPr>
          <w:rFonts w:ascii="Times New Roman" w:hAnsi="Times New Roman" w:eastAsia="Times New Roman"/>
          <w:b/>
          <w:i w:val="0"/>
          <w:sz w:val="28"/>
        </w:rPr>
        <w:t>3. Архитектура интегрированного комплекса</w:t>
      </w:r>
    </w:p>
    <w:p>
      <w:pPr>
        <w:spacing w:after="40" w:line="264" w:lineRule="auto"/>
        <w:ind w:firstLine="425"/>
      </w:pPr>
      <w:r>
        <w:rPr>
          <w:rFonts w:ascii="Times New Roman" w:hAnsi="Times New Roman" w:eastAsia="Times New Roman"/>
          <w:b w:val="0"/>
          <w:i w:val="0"/>
          <w:sz w:val="22"/>
        </w:rPr>
        <w:t>Комплекс состоит из пяти тесно связанных подсистем. Первая подсистема — поле параболических солнечных коллекторов с прямой генерацией пара в приёмной трубе. Вторая — аккумулятор-сепаратор высокого давления, совмещающий функции парового барабана, сепаратора влаги, буфера давления, теплового аккумулятора и узла рециркуляции насыщенной воды. Третья — эжекторный контур, в котором свежая подготовленная вода подсасывает часть насыщенной воды из аккумулятора, а затем уже смешанный поток поступает на вход коллекторов. Четвёртая — собственно 10-ступенчатый DFE-модуль с распределённой подачей исходного раствора, каскадной передачей вторичного пара и развитой системой внутренней рекуперации. Пятая — контур концентрата с конечным прудом-испарителем.</w:t>
      </w:r>
    </w:p>
    <w:p>
      <w:pPr>
        <w:spacing w:after="40" w:line="264" w:lineRule="auto"/>
        <w:ind w:firstLine="425"/>
      </w:pPr>
      <w:r>
        <w:rPr>
          <w:rFonts w:ascii="Times New Roman" w:hAnsi="Times New Roman" w:eastAsia="Times New Roman"/>
          <w:b w:val="0"/>
          <w:i w:val="0"/>
          <w:sz w:val="22"/>
        </w:rPr>
        <w:t>Такая компоновка принципиально отличается от обычной схемы «котёл — выпарная батарея — сброс рассола». Здесь тепловой источник синхронизирован с возможностями самой выпарной батареи, а концентрат не рассматривается как обязательный отход для немедленного сброса. Избыточная насыщенная вода из аккумулятора возвращает тепло в солнечный контур, избыточный пар может быть перепущен на вторую ступень, а конечный концентрат уходит в низкопотенциальный испарительный узел. За счёт этого вся система работает как единый каскад по качеству энергии: от высокопотенциального солнечного тепла до низкопотенциального испарения остаточного концентрата.</w:t>
      </w:r>
    </w:p>
    <w:p>
      <w:pPr>
        <w:spacing w:before="160" w:after="80"/>
      </w:pPr>
      <w:r>
        <w:rPr>
          <w:rFonts w:ascii="Times New Roman" w:hAnsi="Times New Roman" w:eastAsia="Times New Roman"/>
          <w:b/>
          <w:i w:val="0"/>
          <w:sz w:val="28"/>
        </w:rPr>
        <w:t>4. Сводные рекомендуемые параметры комплекса</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2464"/>
            <w:vAlign w:val="center"/>
            <w:shd w:fill="D9EAF7"/>
          </w:tcPr>
          <w:p>
            <w:pPr>
              <w:jc w:val="center"/>
            </w:pPr>
            <w:r/>
            <w:r>
              <w:rPr>
                <w:rFonts w:ascii="Times New Roman" w:hAnsi="Times New Roman" w:eastAsia="Times New Roman"/>
                <w:b/>
                <w:i w:val="0"/>
                <w:sz w:val="20"/>
              </w:rPr>
              <w:t>Подсистема</w:t>
            </w:r>
          </w:p>
        </w:tc>
        <w:tc>
          <w:tcPr>
            <w:tcW w:type="dxa" w:w="2464"/>
            <w:vAlign w:val="center"/>
            <w:shd w:fill="D9EAF7"/>
          </w:tcPr>
          <w:p>
            <w:pPr>
              <w:jc w:val="center"/>
            </w:pPr>
            <w:r/>
            <w:r>
              <w:rPr>
                <w:rFonts w:ascii="Times New Roman" w:hAnsi="Times New Roman" w:eastAsia="Times New Roman"/>
                <w:b/>
                <w:i w:val="0"/>
                <w:sz w:val="20"/>
              </w:rPr>
              <w:t>Параметр</w:t>
            </w:r>
          </w:p>
        </w:tc>
        <w:tc>
          <w:tcPr>
            <w:tcW w:type="dxa" w:w="2464"/>
            <w:vAlign w:val="center"/>
            <w:shd w:fill="D9EAF7"/>
          </w:tcPr>
          <w:p>
            <w:pPr>
              <w:jc w:val="center"/>
            </w:pPr>
            <w:r/>
            <w:r>
              <w:rPr>
                <w:rFonts w:ascii="Times New Roman" w:hAnsi="Times New Roman" w:eastAsia="Times New Roman"/>
                <w:b/>
                <w:i w:val="0"/>
                <w:sz w:val="20"/>
              </w:rPr>
              <w:t>Рекомендуемое значение</w:t>
            </w:r>
          </w:p>
        </w:tc>
        <w:tc>
          <w:tcPr>
            <w:tcW w:type="dxa" w:w="2464"/>
            <w:vAlign w:val="center"/>
            <w:shd w:fill="D9EAF7"/>
          </w:tcPr>
          <w:p>
            <w:pPr>
              <w:jc w:val="center"/>
            </w:pPr>
            <w:r/>
            <w:r>
              <w:rPr>
                <w:rFonts w:ascii="Times New Roman" w:hAnsi="Times New Roman" w:eastAsia="Times New Roman"/>
                <w:b/>
                <w:i w:val="0"/>
                <w:sz w:val="20"/>
              </w:rPr>
              <w:t>Комментарий</w:t>
            </w:r>
          </w:p>
        </w:tc>
      </w:tr>
      <w:tr>
        <w:tc>
          <w:tcPr>
            <w:tcW w:type="dxa" w:w="2464"/>
            <w:vAlign w:val="center"/>
          </w:tcPr>
          <w:p>
            <w:pPr>
              <w:jc w:val="left"/>
            </w:pPr>
            <w:r/>
            <w:r>
              <w:rPr>
                <w:rFonts w:ascii="Times New Roman" w:hAnsi="Times New Roman" w:eastAsia="Times New Roman"/>
                <w:b w:val="0"/>
                <w:i w:val="0"/>
                <w:sz w:val="19"/>
              </w:rPr>
              <w:t>Солнечная генерация</w:t>
            </w:r>
          </w:p>
        </w:tc>
        <w:tc>
          <w:tcPr>
            <w:tcW w:type="dxa" w:w="2464"/>
            <w:vAlign w:val="center"/>
          </w:tcPr>
          <w:p>
            <w:pPr>
              <w:jc w:val="left"/>
            </w:pPr>
            <w:r/>
            <w:r>
              <w:rPr>
                <w:rFonts w:ascii="Times New Roman" w:hAnsi="Times New Roman" w:eastAsia="Times New Roman"/>
                <w:b w:val="0"/>
                <w:i w:val="0"/>
                <w:sz w:val="19"/>
              </w:rPr>
              <w:t>Давление насыщенного пара</w:t>
            </w:r>
          </w:p>
        </w:tc>
        <w:tc>
          <w:tcPr>
            <w:tcW w:type="dxa" w:w="2464"/>
            <w:vAlign w:val="center"/>
          </w:tcPr>
          <w:p>
            <w:pPr>
              <w:jc w:val="left"/>
            </w:pPr>
            <w:r/>
            <w:r>
              <w:rPr>
                <w:rFonts w:ascii="Times New Roman" w:hAnsi="Times New Roman" w:eastAsia="Times New Roman"/>
                <w:b w:val="0"/>
                <w:i w:val="0"/>
                <w:sz w:val="19"/>
              </w:rPr>
              <w:t>1,6 мегапаскаля</w:t>
            </w:r>
          </w:p>
        </w:tc>
        <w:tc>
          <w:tcPr>
            <w:tcW w:type="dxa" w:w="2464"/>
            <w:vAlign w:val="center"/>
          </w:tcPr>
          <w:p>
            <w:pPr>
              <w:jc w:val="left"/>
            </w:pPr>
            <w:r/>
            <w:r>
              <w:rPr>
                <w:rFonts w:ascii="Times New Roman" w:hAnsi="Times New Roman" w:eastAsia="Times New Roman"/>
                <w:b w:val="0"/>
                <w:i w:val="0"/>
                <w:sz w:val="19"/>
              </w:rPr>
              <w:t>Пар на первую ступень</w:t>
            </w:r>
          </w:p>
        </w:tc>
      </w:tr>
      <w:tr>
        <w:tc>
          <w:tcPr>
            <w:tcW w:type="dxa" w:w="2464"/>
            <w:vAlign w:val="center"/>
          </w:tcPr>
          <w:p>
            <w:pPr>
              <w:jc w:val="left"/>
            </w:pPr>
            <w:r/>
            <w:r>
              <w:rPr>
                <w:rFonts w:ascii="Times New Roman" w:hAnsi="Times New Roman" w:eastAsia="Times New Roman"/>
                <w:b w:val="0"/>
                <w:i w:val="0"/>
                <w:sz w:val="19"/>
              </w:rPr>
              <w:t>Солнечная генерация</w:t>
            </w:r>
          </w:p>
        </w:tc>
        <w:tc>
          <w:tcPr>
            <w:tcW w:type="dxa" w:w="2464"/>
            <w:vAlign w:val="center"/>
          </w:tcPr>
          <w:p>
            <w:pPr>
              <w:jc w:val="left"/>
            </w:pPr>
            <w:r/>
            <w:r>
              <w:rPr>
                <w:rFonts w:ascii="Times New Roman" w:hAnsi="Times New Roman" w:eastAsia="Times New Roman"/>
                <w:b w:val="0"/>
                <w:i w:val="0"/>
                <w:sz w:val="19"/>
              </w:rPr>
              <w:t>Расход насыщенного пара</w:t>
            </w:r>
          </w:p>
        </w:tc>
        <w:tc>
          <w:tcPr>
            <w:tcW w:type="dxa" w:w="2464"/>
            <w:vAlign w:val="center"/>
          </w:tcPr>
          <w:p>
            <w:pPr>
              <w:jc w:val="left"/>
            </w:pPr>
            <w:r/>
            <w:r>
              <w:rPr>
                <w:rFonts w:ascii="Times New Roman" w:hAnsi="Times New Roman" w:eastAsia="Times New Roman"/>
                <w:b w:val="0"/>
                <w:i w:val="0"/>
                <w:sz w:val="19"/>
              </w:rPr>
              <w:t>450 килограмм в час</w:t>
            </w:r>
          </w:p>
        </w:tc>
        <w:tc>
          <w:tcPr>
            <w:tcW w:type="dxa" w:w="2464"/>
            <w:vAlign w:val="center"/>
          </w:tcPr>
          <w:p>
            <w:pPr>
              <w:jc w:val="left"/>
            </w:pPr>
            <w:r/>
            <w:r>
              <w:rPr>
                <w:rFonts w:ascii="Times New Roman" w:hAnsi="Times New Roman" w:eastAsia="Times New Roman"/>
                <w:b w:val="0"/>
                <w:i w:val="0"/>
                <w:sz w:val="19"/>
              </w:rPr>
              <w:t>Номинальный режим</w:t>
            </w:r>
          </w:p>
        </w:tc>
      </w:tr>
      <w:tr>
        <w:tc>
          <w:tcPr>
            <w:tcW w:type="dxa" w:w="2464"/>
            <w:vAlign w:val="center"/>
          </w:tcPr>
          <w:p>
            <w:pPr>
              <w:jc w:val="left"/>
            </w:pPr>
            <w:r/>
            <w:r>
              <w:rPr>
                <w:rFonts w:ascii="Times New Roman" w:hAnsi="Times New Roman" w:eastAsia="Times New Roman"/>
                <w:b w:val="0"/>
                <w:i w:val="0"/>
                <w:sz w:val="19"/>
              </w:rPr>
              <w:t>Солнечная генерация</w:t>
            </w:r>
          </w:p>
        </w:tc>
        <w:tc>
          <w:tcPr>
            <w:tcW w:type="dxa" w:w="2464"/>
            <w:vAlign w:val="center"/>
          </w:tcPr>
          <w:p>
            <w:pPr>
              <w:jc w:val="left"/>
            </w:pPr>
            <w:r/>
            <w:r>
              <w:rPr>
                <w:rFonts w:ascii="Times New Roman" w:hAnsi="Times New Roman" w:eastAsia="Times New Roman"/>
                <w:b w:val="0"/>
                <w:i w:val="0"/>
                <w:sz w:val="19"/>
              </w:rPr>
              <w:t>Коэффициент инжекции эжектора</w:t>
            </w:r>
          </w:p>
        </w:tc>
        <w:tc>
          <w:tcPr>
            <w:tcW w:type="dxa" w:w="2464"/>
            <w:vAlign w:val="center"/>
          </w:tcPr>
          <w:p>
            <w:pPr>
              <w:jc w:val="left"/>
            </w:pPr>
            <w:r/>
            <w:r>
              <w:rPr>
                <w:rFonts w:ascii="Times New Roman" w:hAnsi="Times New Roman" w:eastAsia="Times New Roman"/>
                <w:b w:val="0"/>
                <w:i w:val="0"/>
                <w:sz w:val="19"/>
              </w:rPr>
              <w:t>2,5</w:t>
            </w:r>
          </w:p>
        </w:tc>
        <w:tc>
          <w:tcPr>
            <w:tcW w:type="dxa" w:w="2464"/>
            <w:vAlign w:val="center"/>
          </w:tcPr>
          <w:p>
            <w:pPr>
              <w:jc w:val="left"/>
            </w:pPr>
            <w:r/>
            <w:r>
              <w:rPr>
                <w:rFonts w:ascii="Times New Roman" w:hAnsi="Times New Roman" w:eastAsia="Times New Roman"/>
                <w:b w:val="0"/>
                <w:i w:val="0"/>
                <w:sz w:val="19"/>
              </w:rPr>
              <w:t>Базовый расчётный вариант</w:t>
            </w:r>
          </w:p>
        </w:tc>
      </w:tr>
      <w:tr>
        <w:tc>
          <w:tcPr>
            <w:tcW w:type="dxa" w:w="2464"/>
            <w:vAlign w:val="center"/>
          </w:tcPr>
          <w:p>
            <w:pPr>
              <w:jc w:val="left"/>
            </w:pPr>
            <w:r/>
            <w:r>
              <w:rPr>
                <w:rFonts w:ascii="Times New Roman" w:hAnsi="Times New Roman" w:eastAsia="Times New Roman"/>
                <w:b w:val="0"/>
                <w:i w:val="0"/>
                <w:sz w:val="19"/>
              </w:rPr>
              <w:t>Солнечная генерация</w:t>
            </w:r>
          </w:p>
        </w:tc>
        <w:tc>
          <w:tcPr>
            <w:tcW w:type="dxa" w:w="2464"/>
            <w:vAlign w:val="center"/>
          </w:tcPr>
          <w:p>
            <w:pPr>
              <w:jc w:val="left"/>
            </w:pPr>
            <w:r/>
            <w:r>
              <w:rPr>
                <w:rFonts w:ascii="Times New Roman" w:hAnsi="Times New Roman" w:eastAsia="Times New Roman"/>
                <w:b w:val="0"/>
                <w:i w:val="0"/>
                <w:sz w:val="19"/>
              </w:rPr>
              <w:t>Суммарный расход в поле</w:t>
            </w:r>
          </w:p>
        </w:tc>
        <w:tc>
          <w:tcPr>
            <w:tcW w:type="dxa" w:w="2464"/>
            <w:vAlign w:val="center"/>
          </w:tcPr>
          <w:p>
            <w:pPr>
              <w:jc w:val="left"/>
            </w:pPr>
            <w:r/>
            <w:r>
              <w:rPr>
                <w:rFonts w:ascii="Times New Roman" w:hAnsi="Times New Roman" w:eastAsia="Times New Roman"/>
                <w:b w:val="0"/>
                <w:i w:val="0"/>
                <w:sz w:val="19"/>
              </w:rPr>
              <w:t>1575 килограмм в час</w:t>
            </w:r>
          </w:p>
        </w:tc>
        <w:tc>
          <w:tcPr>
            <w:tcW w:type="dxa" w:w="2464"/>
            <w:vAlign w:val="center"/>
          </w:tcPr>
          <w:p>
            <w:pPr>
              <w:jc w:val="left"/>
            </w:pPr>
            <w:r/>
            <w:r>
              <w:rPr>
                <w:rFonts w:ascii="Times New Roman" w:hAnsi="Times New Roman" w:eastAsia="Times New Roman"/>
                <w:b w:val="0"/>
                <w:i w:val="0"/>
                <w:sz w:val="19"/>
              </w:rPr>
              <w:t>Свежая вода + рециркуляция</w:t>
            </w:r>
          </w:p>
        </w:tc>
      </w:tr>
      <w:tr>
        <w:tc>
          <w:tcPr>
            <w:tcW w:type="dxa" w:w="2464"/>
            <w:vAlign w:val="center"/>
          </w:tcPr>
          <w:p>
            <w:pPr>
              <w:jc w:val="left"/>
            </w:pPr>
            <w:r/>
            <w:r>
              <w:rPr>
                <w:rFonts w:ascii="Times New Roman" w:hAnsi="Times New Roman" w:eastAsia="Times New Roman"/>
                <w:b w:val="0"/>
                <w:i w:val="0"/>
                <w:sz w:val="19"/>
              </w:rPr>
              <w:t>Солнечная генерация</w:t>
            </w:r>
          </w:p>
        </w:tc>
        <w:tc>
          <w:tcPr>
            <w:tcW w:type="dxa" w:w="2464"/>
            <w:vAlign w:val="center"/>
          </w:tcPr>
          <w:p>
            <w:pPr>
              <w:jc w:val="left"/>
            </w:pPr>
            <w:r/>
            <w:r>
              <w:rPr>
                <w:rFonts w:ascii="Times New Roman" w:hAnsi="Times New Roman" w:eastAsia="Times New Roman"/>
                <w:b w:val="0"/>
                <w:i w:val="0"/>
                <w:sz w:val="19"/>
              </w:rPr>
              <w:t>Апертура поля</w:t>
            </w:r>
          </w:p>
        </w:tc>
        <w:tc>
          <w:tcPr>
            <w:tcW w:type="dxa" w:w="2464"/>
            <w:vAlign w:val="center"/>
          </w:tcPr>
          <w:p>
            <w:pPr>
              <w:jc w:val="left"/>
            </w:pPr>
            <w:r/>
            <w:r>
              <w:rPr>
                <w:rFonts w:ascii="Times New Roman" w:hAnsi="Times New Roman" w:eastAsia="Times New Roman"/>
                <w:b w:val="0"/>
                <w:i w:val="0"/>
                <w:sz w:val="19"/>
              </w:rPr>
              <w:t>около 1450 квадратных метров</w:t>
            </w:r>
          </w:p>
        </w:tc>
        <w:tc>
          <w:tcPr>
            <w:tcW w:type="dxa" w:w="2464"/>
            <w:vAlign w:val="center"/>
          </w:tcPr>
          <w:p>
            <w:pPr>
              <w:jc w:val="left"/>
            </w:pPr>
            <w:r/>
            <w:r>
              <w:rPr>
                <w:rFonts w:ascii="Times New Roman" w:hAnsi="Times New Roman" w:eastAsia="Times New Roman"/>
                <w:b w:val="0"/>
                <w:i w:val="0"/>
                <w:sz w:val="19"/>
              </w:rPr>
              <w:t>Два параболических ряда</w:t>
            </w:r>
          </w:p>
        </w:tc>
      </w:tr>
      <w:tr>
        <w:tc>
          <w:tcPr>
            <w:tcW w:type="dxa" w:w="2464"/>
            <w:vAlign w:val="center"/>
          </w:tcPr>
          <w:p>
            <w:pPr>
              <w:jc w:val="left"/>
            </w:pPr>
            <w:r/>
            <w:r>
              <w:rPr>
                <w:rFonts w:ascii="Times New Roman" w:hAnsi="Times New Roman" w:eastAsia="Times New Roman"/>
                <w:b w:val="0"/>
                <w:i w:val="0"/>
                <w:sz w:val="19"/>
              </w:rPr>
              <w:t>Аккумулятор</w:t>
            </w:r>
          </w:p>
        </w:tc>
        <w:tc>
          <w:tcPr>
            <w:tcW w:type="dxa" w:w="2464"/>
            <w:vAlign w:val="center"/>
          </w:tcPr>
          <w:p>
            <w:pPr>
              <w:jc w:val="left"/>
            </w:pPr>
            <w:r/>
            <w:r>
              <w:rPr>
                <w:rFonts w:ascii="Times New Roman" w:hAnsi="Times New Roman" w:eastAsia="Times New Roman"/>
                <w:b w:val="0"/>
                <w:i w:val="0"/>
                <w:sz w:val="19"/>
              </w:rPr>
              <w:t>Геометрический объём</w:t>
            </w:r>
          </w:p>
        </w:tc>
        <w:tc>
          <w:tcPr>
            <w:tcW w:type="dxa" w:w="2464"/>
            <w:vAlign w:val="center"/>
          </w:tcPr>
          <w:p>
            <w:pPr>
              <w:jc w:val="left"/>
            </w:pPr>
            <w:r/>
            <w:r>
              <w:rPr>
                <w:rFonts w:ascii="Times New Roman" w:hAnsi="Times New Roman" w:eastAsia="Times New Roman"/>
                <w:b w:val="0"/>
                <w:i w:val="0"/>
                <w:sz w:val="19"/>
              </w:rPr>
              <w:t>6 кубических метров</w:t>
            </w:r>
          </w:p>
        </w:tc>
        <w:tc>
          <w:tcPr>
            <w:tcW w:type="dxa" w:w="2464"/>
            <w:vAlign w:val="center"/>
          </w:tcPr>
          <w:p>
            <w:pPr>
              <w:jc w:val="left"/>
            </w:pPr>
            <w:r/>
            <w:r>
              <w:rPr>
                <w:rFonts w:ascii="Times New Roman" w:hAnsi="Times New Roman" w:eastAsia="Times New Roman"/>
                <w:b w:val="0"/>
                <w:i w:val="0"/>
                <w:sz w:val="19"/>
              </w:rPr>
              <w:t>Предпочтителен для тёплого старта</w:t>
            </w:r>
          </w:p>
        </w:tc>
      </w:tr>
      <w:tr>
        <w:tc>
          <w:tcPr>
            <w:tcW w:type="dxa" w:w="2464"/>
            <w:vAlign w:val="center"/>
          </w:tcPr>
          <w:p>
            <w:pPr>
              <w:jc w:val="left"/>
            </w:pPr>
            <w:r/>
            <w:r>
              <w:rPr>
                <w:rFonts w:ascii="Times New Roman" w:hAnsi="Times New Roman" w:eastAsia="Times New Roman"/>
                <w:b w:val="0"/>
                <w:i w:val="0"/>
                <w:sz w:val="19"/>
              </w:rPr>
              <w:t>Аккумулятор</w:t>
            </w:r>
          </w:p>
        </w:tc>
        <w:tc>
          <w:tcPr>
            <w:tcW w:type="dxa" w:w="2464"/>
            <w:vAlign w:val="center"/>
          </w:tcPr>
          <w:p>
            <w:pPr>
              <w:jc w:val="left"/>
            </w:pPr>
            <w:r/>
            <w:r>
              <w:rPr>
                <w:rFonts w:ascii="Times New Roman" w:hAnsi="Times New Roman" w:eastAsia="Times New Roman"/>
                <w:b w:val="0"/>
                <w:i w:val="0"/>
                <w:sz w:val="19"/>
              </w:rPr>
              <w:t>Теплоизоляция</w:t>
            </w:r>
          </w:p>
        </w:tc>
        <w:tc>
          <w:tcPr>
            <w:tcW w:type="dxa" w:w="2464"/>
            <w:vAlign w:val="center"/>
          </w:tcPr>
          <w:p>
            <w:pPr>
              <w:jc w:val="left"/>
            </w:pPr>
            <w:r/>
            <w:r>
              <w:rPr>
                <w:rFonts w:ascii="Times New Roman" w:hAnsi="Times New Roman" w:eastAsia="Times New Roman"/>
                <w:b w:val="0"/>
                <w:i w:val="0"/>
                <w:sz w:val="19"/>
              </w:rPr>
              <w:t>150 миллиметров</w:t>
            </w:r>
          </w:p>
        </w:tc>
        <w:tc>
          <w:tcPr>
            <w:tcW w:type="dxa" w:w="2464"/>
            <w:vAlign w:val="center"/>
          </w:tcPr>
          <w:p>
            <w:pPr>
              <w:jc w:val="left"/>
            </w:pPr>
            <w:r/>
            <w:r>
              <w:rPr>
                <w:rFonts w:ascii="Times New Roman" w:hAnsi="Times New Roman" w:eastAsia="Times New Roman"/>
                <w:b w:val="0"/>
                <w:i w:val="0"/>
                <w:sz w:val="19"/>
              </w:rPr>
              <w:t>Минеральная вата + кожух</w:t>
            </w:r>
          </w:p>
        </w:tc>
      </w:tr>
      <w:tr>
        <w:tc>
          <w:tcPr>
            <w:tcW w:type="dxa" w:w="2464"/>
            <w:vAlign w:val="center"/>
          </w:tcPr>
          <w:p>
            <w:pPr>
              <w:jc w:val="left"/>
            </w:pPr>
            <w:r/>
            <w:r>
              <w:rPr>
                <w:rFonts w:ascii="Times New Roman" w:hAnsi="Times New Roman" w:eastAsia="Times New Roman"/>
                <w:b w:val="0"/>
                <w:i w:val="0"/>
                <w:sz w:val="19"/>
              </w:rPr>
              <w:t>DFE-модуль</w:t>
            </w:r>
          </w:p>
        </w:tc>
        <w:tc>
          <w:tcPr>
            <w:tcW w:type="dxa" w:w="2464"/>
            <w:vAlign w:val="center"/>
          </w:tcPr>
          <w:p>
            <w:pPr>
              <w:jc w:val="left"/>
            </w:pPr>
            <w:r/>
            <w:r>
              <w:rPr>
                <w:rFonts w:ascii="Times New Roman" w:hAnsi="Times New Roman" w:eastAsia="Times New Roman"/>
                <w:b w:val="0"/>
                <w:i w:val="0"/>
                <w:sz w:val="19"/>
              </w:rPr>
              <w:t>Количество ступеней</w:t>
            </w:r>
          </w:p>
        </w:tc>
        <w:tc>
          <w:tcPr>
            <w:tcW w:type="dxa" w:w="2464"/>
            <w:vAlign w:val="center"/>
          </w:tcPr>
          <w:p>
            <w:pPr>
              <w:jc w:val="left"/>
            </w:pPr>
            <w:r/>
            <w:r>
              <w:rPr>
                <w:rFonts w:ascii="Times New Roman" w:hAnsi="Times New Roman" w:eastAsia="Times New Roman"/>
                <w:b w:val="0"/>
                <w:i w:val="0"/>
                <w:sz w:val="19"/>
              </w:rPr>
              <w:t>10</w:t>
            </w:r>
          </w:p>
        </w:tc>
        <w:tc>
          <w:tcPr>
            <w:tcW w:type="dxa" w:w="2464"/>
            <w:vAlign w:val="center"/>
          </w:tcPr>
          <w:p>
            <w:pPr>
              <w:jc w:val="left"/>
            </w:pPr>
            <w:r/>
            <w:r>
              <w:rPr>
                <w:rFonts w:ascii="Times New Roman" w:hAnsi="Times New Roman" w:eastAsia="Times New Roman"/>
                <w:b w:val="0"/>
                <w:i w:val="0"/>
                <w:sz w:val="19"/>
              </w:rPr>
              <w:t>Параллельная подача раствора</w:t>
            </w:r>
          </w:p>
        </w:tc>
      </w:tr>
      <w:tr>
        <w:tc>
          <w:tcPr>
            <w:tcW w:type="dxa" w:w="2464"/>
            <w:vAlign w:val="center"/>
          </w:tcPr>
          <w:p>
            <w:pPr>
              <w:jc w:val="left"/>
            </w:pPr>
            <w:r/>
            <w:r>
              <w:rPr>
                <w:rFonts w:ascii="Times New Roman" w:hAnsi="Times New Roman" w:eastAsia="Times New Roman"/>
                <w:b w:val="0"/>
                <w:i w:val="0"/>
                <w:sz w:val="19"/>
              </w:rPr>
              <w:t>DFE-модуль</w:t>
            </w:r>
          </w:p>
        </w:tc>
        <w:tc>
          <w:tcPr>
            <w:tcW w:type="dxa" w:w="2464"/>
            <w:vAlign w:val="center"/>
          </w:tcPr>
          <w:p>
            <w:pPr>
              <w:jc w:val="left"/>
            </w:pPr>
            <w:r/>
            <w:r>
              <w:rPr>
                <w:rFonts w:ascii="Times New Roman" w:hAnsi="Times New Roman" w:eastAsia="Times New Roman"/>
                <w:b w:val="0"/>
                <w:i w:val="0"/>
                <w:sz w:val="19"/>
              </w:rPr>
              <w:t>Производительность по дистилляту</w:t>
            </w:r>
          </w:p>
        </w:tc>
        <w:tc>
          <w:tcPr>
            <w:tcW w:type="dxa" w:w="2464"/>
            <w:vAlign w:val="center"/>
          </w:tcPr>
          <w:p>
            <w:pPr>
              <w:jc w:val="left"/>
            </w:pPr>
            <w:r/>
            <w:r>
              <w:rPr>
                <w:rFonts w:ascii="Times New Roman" w:hAnsi="Times New Roman" w:eastAsia="Times New Roman"/>
                <w:b w:val="0"/>
                <w:i w:val="0"/>
                <w:sz w:val="19"/>
              </w:rPr>
              <w:t>около 3,95 тонны в час</w:t>
            </w:r>
          </w:p>
        </w:tc>
        <w:tc>
          <w:tcPr>
            <w:tcW w:type="dxa" w:w="2464"/>
            <w:vAlign w:val="center"/>
          </w:tcPr>
          <w:p>
            <w:pPr>
              <w:jc w:val="left"/>
            </w:pPr>
            <w:r/>
            <w:r>
              <w:rPr>
                <w:rFonts w:ascii="Times New Roman" w:hAnsi="Times New Roman" w:eastAsia="Times New Roman"/>
                <w:b w:val="0"/>
                <w:i w:val="0"/>
                <w:sz w:val="19"/>
              </w:rPr>
              <w:t>Пересчёт на 450 килограмм в час пара</w:t>
            </w:r>
          </w:p>
        </w:tc>
      </w:tr>
      <w:tr>
        <w:tc>
          <w:tcPr>
            <w:tcW w:type="dxa" w:w="2464"/>
            <w:vAlign w:val="center"/>
          </w:tcPr>
          <w:p>
            <w:pPr>
              <w:jc w:val="left"/>
            </w:pPr>
            <w:r/>
            <w:r>
              <w:rPr>
                <w:rFonts w:ascii="Times New Roman" w:hAnsi="Times New Roman" w:eastAsia="Times New Roman"/>
                <w:b w:val="0"/>
                <w:i w:val="0"/>
                <w:sz w:val="19"/>
              </w:rPr>
              <w:t>DFE-модуль</w:t>
            </w:r>
          </w:p>
        </w:tc>
        <w:tc>
          <w:tcPr>
            <w:tcW w:type="dxa" w:w="2464"/>
            <w:vAlign w:val="center"/>
          </w:tcPr>
          <w:p>
            <w:pPr>
              <w:jc w:val="left"/>
            </w:pPr>
            <w:r/>
            <w:r>
              <w:rPr>
                <w:rFonts w:ascii="Times New Roman" w:hAnsi="Times New Roman" w:eastAsia="Times New Roman"/>
                <w:b w:val="0"/>
                <w:i w:val="0"/>
                <w:sz w:val="19"/>
              </w:rPr>
              <w:t>Суммарная подача исходной воды</w:t>
            </w:r>
          </w:p>
        </w:tc>
        <w:tc>
          <w:tcPr>
            <w:tcW w:type="dxa" w:w="2464"/>
            <w:vAlign w:val="center"/>
          </w:tcPr>
          <w:p>
            <w:pPr>
              <w:jc w:val="left"/>
            </w:pPr>
            <w:r/>
            <w:r>
              <w:rPr>
                <w:rFonts w:ascii="Times New Roman" w:hAnsi="Times New Roman" w:eastAsia="Times New Roman"/>
                <w:b w:val="0"/>
                <w:i w:val="0"/>
                <w:sz w:val="19"/>
              </w:rPr>
              <w:t>около 5,80 тонны в час</w:t>
            </w:r>
          </w:p>
        </w:tc>
        <w:tc>
          <w:tcPr>
            <w:tcW w:type="dxa" w:w="2464"/>
            <w:vAlign w:val="center"/>
          </w:tcPr>
          <w:p>
            <w:pPr>
              <w:jc w:val="left"/>
            </w:pPr>
            <w:r/>
            <w:r>
              <w:rPr>
                <w:rFonts w:ascii="Times New Roman" w:hAnsi="Times New Roman" w:eastAsia="Times New Roman"/>
                <w:b w:val="0"/>
                <w:i w:val="0"/>
                <w:sz w:val="19"/>
              </w:rPr>
              <w:t>Номинальный режим</w:t>
            </w:r>
          </w:p>
        </w:tc>
      </w:tr>
      <w:tr>
        <w:tc>
          <w:tcPr>
            <w:tcW w:type="dxa" w:w="2464"/>
            <w:vAlign w:val="center"/>
          </w:tcPr>
          <w:p>
            <w:pPr>
              <w:jc w:val="left"/>
            </w:pPr>
            <w:r/>
            <w:r>
              <w:rPr>
                <w:rFonts w:ascii="Times New Roman" w:hAnsi="Times New Roman" w:eastAsia="Times New Roman"/>
                <w:b w:val="0"/>
                <w:i w:val="0"/>
                <w:sz w:val="19"/>
              </w:rPr>
              <w:t>DFE-модуль</w:t>
            </w:r>
          </w:p>
        </w:tc>
        <w:tc>
          <w:tcPr>
            <w:tcW w:type="dxa" w:w="2464"/>
            <w:vAlign w:val="center"/>
          </w:tcPr>
          <w:p>
            <w:pPr>
              <w:jc w:val="left"/>
            </w:pPr>
            <w:r/>
            <w:r>
              <w:rPr>
                <w:rFonts w:ascii="Times New Roman" w:hAnsi="Times New Roman" w:eastAsia="Times New Roman"/>
                <w:b w:val="0"/>
                <w:i w:val="0"/>
                <w:sz w:val="19"/>
              </w:rPr>
              <w:t>Суммарный концентрат</w:t>
            </w:r>
          </w:p>
        </w:tc>
        <w:tc>
          <w:tcPr>
            <w:tcW w:type="dxa" w:w="2464"/>
            <w:vAlign w:val="center"/>
          </w:tcPr>
          <w:p>
            <w:pPr>
              <w:jc w:val="left"/>
            </w:pPr>
            <w:r/>
            <w:r>
              <w:rPr>
                <w:rFonts w:ascii="Times New Roman" w:hAnsi="Times New Roman" w:eastAsia="Times New Roman"/>
                <w:b w:val="0"/>
                <w:i w:val="0"/>
                <w:sz w:val="19"/>
              </w:rPr>
              <w:t>около 1,84 тонны в час</w:t>
            </w:r>
          </w:p>
        </w:tc>
        <w:tc>
          <w:tcPr>
            <w:tcW w:type="dxa" w:w="2464"/>
            <w:vAlign w:val="center"/>
          </w:tcPr>
          <w:p>
            <w:pPr>
              <w:jc w:val="left"/>
            </w:pPr>
            <w:r/>
            <w:r>
              <w:rPr>
                <w:rFonts w:ascii="Times New Roman" w:hAnsi="Times New Roman" w:eastAsia="Times New Roman"/>
                <w:b w:val="0"/>
                <w:i w:val="0"/>
                <w:sz w:val="19"/>
              </w:rPr>
              <w:t>На пруд-испаритель</w:t>
            </w:r>
          </w:p>
        </w:tc>
      </w:tr>
      <w:tr>
        <w:tc>
          <w:tcPr>
            <w:tcW w:type="dxa" w:w="2464"/>
            <w:vAlign w:val="center"/>
          </w:tcPr>
          <w:p>
            <w:pPr>
              <w:jc w:val="left"/>
            </w:pPr>
            <w:r/>
            <w:r>
              <w:rPr>
                <w:rFonts w:ascii="Times New Roman" w:hAnsi="Times New Roman" w:eastAsia="Times New Roman"/>
                <w:b w:val="0"/>
                <w:i w:val="0"/>
                <w:sz w:val="19"/>
              </w:rPr>
              <w:t>Пруд-испаритель</w:t>
            </w:r>
          </w:p>
        </w:tc>
        <w:tc>
          <w:tcPr>
            <w:tcW w:type="dxa" w:w="2464"/>
            <w:vAlign w:val="center"/>
          </w:tcPr>
          <w:p>
            <w:pPr>
              <w:jc w:val="left"/>
            </w:pPr>
            <w:r/>
            <w:r>
              <w:rPr>
                <w:rFonts w:ascii="Times New Roman" w:hAnsi="Times New Roman" w:eastAsia="Times New Roman"/>
                <w:b w:val="0"/>
                <w:i w:val="0"/>
                <w:sz w:val="19"/>
              </w:rPr>
              <w:t>Функция</w:t>
            </w:r>
          </w:p>
        </w:tc>
        <w:tc>
          <w:tcPr>
            <w:tcW w:type="dxa" w:w="2464"/>
            <w:vAlign w:val="center"/>
          </w:tcPr>
          <w:p>
            <w:pPr>
              <w:jc w:val="left"/>
            </w:pPr>
            <w:r/>
            <w:r>
              <w:rPr>
                <w:rFonts w:ascii="Times New Roman" w:hAnsi="Times New Roman" w:eastAsia="Times New Roman"/>
                <w:b w:val="0"/>
                <w:i w:val="0"/>
                <w:sz w:val="19"/>
              </w:rPr>
              <w:t>конечная концентрация и сезонное испарение</w:t>
            </w:r>
          </w:p>
        </w:tc>
        <w:tc>
          <w:tcPr>
            <w:tcW w:type="dxa" w:w="2464"/>
            <w:vAlign w:val="center"/>
          </w:tcPr>
          <w:p>
            <w:pPr>
              <w:jc w:val="left"/>
            </w:pPr>
            <w:r/>
            <w:r>
              <w:rPr>
                <w:rFonts w:ascii="Times New Roman" w:hAnsi="Times New Roman" w:eastAsia="Times New Roman"/>
                <w:b w:val="0"/>
                <w:i w:val="0"/>
                <w:sz w:val="19"/>
              </w:rPr>
              <w:t>Завершение контура концентрата</w:t>
            </w:r>
          </w:p>
        </w:tc>
      </w:tr>
    </w:tbl>
    <w:p>
      <w:pPr>
        <w:spacing w:before="160" w:after="80"/>
      </w:pPr>
      <w:r>
        <w:rPr>
          <w:rFonts w:ascii="Times New Roman" w:hAnsi="Times New Roman" w:eastAsia="Times New Roman"/>
          <w:b/>
          <w:i w:val="0"/>
          <w:sz w:val="28"/>
        </w:rPr>
        <w:t>5. Конструкция 10-ступенчатого DFE-модуля</w:t>
      </w:r>
    </w:p>
    <w:p>
      <w:pPr>
        <w:spacing w:after="40" w:line="264" w:lineRule="auto"/>
        <w:ind w:firstLine="425"/>
      </w:pPr>
      <w:r>
        <w:rPr>
          <w:rFonts w:ascii="Times New Roman" w:hAnsi="Times New Roman" w:eastAsia="Times New Roman"/>
          <w:b w:val="0"/>
          <w:i w:val="0"/>
          <w:sz w:val="22"/>
        </w:rPr>
        <w:t>Выпарной модуль построен как батарея из 10 однотипных ступеней барабанных плёночных испарителей. Во всех ступенях используется горизонтальный вращающийся барабан. Подача раствора организована не последовательно через все корпуса, а параллельно по ступеням. Это решение существенно повышает устойчивость всей установки в переходных режимах: ухудшение условий в одной ступени не вызывает мгновенного завала гидравлики или концентрационного режима во всей батарее.</w:t>
      </w:r>
    </w:p>
    <w:p>
      <w:pPr>
        <w:spacing w:after="40" w:line="264" w:lineRule="auto"/>
        <w:ind w:firstLine="425"/>
      </w:pPr>
      <w:r>
        <w:rPr>
          <w:rFonts w:ascii="Times New Roman" w:hAnsi="Times New Roman" w:eastAsia="Times New Roman"/>
          <w:b w:val="0"/>
          <w:i w:val="0"/>
          <w:sz w:val="22"/>
        </w:rPr>
        <w:t>Каждая ступень включает: внутренний вращающийся барабан, наружный корпус с паровой рубашкой, торцевые механические уплотнения, роликовые опоры, свободно перекатывающийся шнек очистки, поплавковый клапан подачи раствора, патрубки отвода вторичного пара, патрубки слива концентрата и линию отвода конденсата из рубашки. Теплообменная поверхность образуется наружной поверхностью вращающегося барабана. При вращении на этой поверхности формируется тонкая плёнка раствора, что обеспечивает высокую интенсивность испарения при относительно небольшом температурном напоре.</w:t>
      </w:r>
    </w:p>
    <w:p>
      <w:pPr>
        <w:spacing w:after="40" w:line="264" w:lineRule="auto"/>
        <w:ind w:firstLine="425"/>
      </w:pPr>
      <w:r>
        <w:rPr>
          <w:rFonts w:ascii="Times New Roman" w:hAnsi="Times New Roman" w:eastAsia="Times New Roman"/>
          <w:b w:val="0"/>
          <w:i w:val="0"/>
          <w:sz w:val="22"/>
        </w:rPr>
        <w:t>Барабан в каждой ступени имеет длину 20 метров и внутренний диаметр 0,8 метра. Толщина стенки принята 3 миллиметра, материал барабана — коррозионно-стойкая нержавеющая сталь типа AISI 316L. Площадь поверхности теплообмена одного барабана составляет около 50,27 квадратного метра. Масса пустого барабана около 1180 килограммов. При рабочем уровне раствора порядка 100 миллиметров внутри барабана находится около 1,2 кубического метра раствора, что соответствует массе примерно 1280 килограммов и создаёт существенную тепловую инерцию каждой ступени.</w:t>
      </w:r>
    </w:p>
    <w:p>
      <w:pPr>
        <w:spacing w:after="40" w:line="264" w:lineRule="auto"/>
        <w:ind w:firstLine="425"/>
      </w:pPr>
      <w:r>
        <w:rPr>
          <w:rFonts w:ascii="Times New Roman" w:hAnsi="Times New Roman" w:eastAsia="Times New Roman"/>
          <w:b w:val="0"/>
          <w:i w:val="0"/>
          <w:sz w:val="22"/>
        </w:rPr>
        <w:t>Наружный корпус ступени имеет диаметр около 1,0 метра и длину около 20,5 метра. Толщина стенки корпуса составляет ориентировочно 6–8 миллиметров. Паровое пространство рубашки одной ступени — около 5,5 кубического метра. Корпус теплоизолируется слоем минеральной ваты, а суммарные теплопотери в окружающую среду для номинального режима принимаются на уровне порядка 2 процентов от передаваемой тепловой мощности.</w:t>
      </w:r>
    </w:p>
    <w:p>
      <w:pPr>
        <w:spacing w:before="120" w:after="60"/>
      </w:pPr>
      <w:r>
        <w:rPr>
          <w:rFonts w:ascii="Times New Roman" w:hAnsi="Times New Roman" w:eastAsia="Times New Roman"/>
          <w:b/>
          <w:i w:val="0"/>
          <w:sz w:val="25"/>
        </w:rPr>
        <w:t>5.1. Профиль температур и давлений по ступеням</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vAlign w:val="center"/>
            <w:shd w:fill="E8F5E9"/>
          </w:tcPr>
          <w:p>
            <w:pPr>
              <w:jc w:val="center"/>
            </w:pPr>
            <w:r/>
            <w:r>
              <w:rPr>
                <w:rFonts w:ascii="Times New Roman" w:hAnsi="Times New Roman" w:eastAsia="Times New Roman"/>
                <w:b/>
                <w:i w:val="0"/>
                <w:sz w:val="17"/>
              </w:rPr>
              <w:t>Ступень</w:t>
            </w:r>
          </w:p>
        </w:tc>
        <w:tc>
          <w:tcPr>
            <w:tcW w:type="dxa" w:w="1408"/>
            <w:vAlign w:val="center"/>
            <w:shd w:fill="E8F5E9"/>
          </w:tcPr>
          <w:p>
            <w:pPr>
              <w:jc w:val="center"/>
            </w:pPr>
            <w:r/>
            <w:r>
              <w:rPr>
                <w:rFonts w:ascii="Times New Roman" w:hAnsi="Times New Roman" w:eastAsia="Times New Roman"/>
                <w:b/>
                <w:i w:val="0"/>
                <w:sz w:val="17"/>
              </w:rPr>
              <w:t>Давление вторичного пара</w:t>
            </w:r>
          </w:p>
        </w:tc>
        <w:tc>
          <w:tcPr>
            <w:tcW w:type="dxa" w:w="1408"/>
            <w:vAlign w:val="center"/>
            <w:shd w:fill="E8F5E9"/>
          </w:tcPr>
          <w:p>
            <w:pPr>
              <w:jc w:val="center"/>
            </w:pPr>
            <w:r/>
            <w:r>
              <w:rPr>
                <w:rFonts w:ascii="Times New Roman" w:hAnsi="Times New Roman" w:eastAsia="Times New Roman"/>
                <w:b/>
                <w:i w:val="0"/>
                <w:sz w:val="17"/>
              </w:rPr>
              <w:t>Температура кипения</w:t>
            </w:r>
          </w:p>
        </w:tc>
        <w:tc>
          <w:tcPr>
            <w:tcW w:type="dxa" w:w="1408"/>
            <w:vAlign w:val="center"/>
            <w:shd w:fill="E8F5E9"/>
          </w:tcPr>
          <w:p>
            <w:pPr>
              <w:jc w:val="center"/>
            </w:pPr>
            <w:r/>
            <w:r>
              <w:rPr>
                <w:rFonts w:ascii="Times New Roman" w:hAnsi="Times New Roman" w:eastAsia="Times New Roman"/>
                <w:b/>
                <w:i w:val="0"/>
                <w:sz w:val="17"/>
              </w:rPr>
              <w:t>Температура греющего пара</w:t>
            </w:r>
          </w:p>
        </w:tc>
        <w:tc>
          <w:tcPr>
            <w:tcW w:type="dxa" w:w="1408"/>
            <w:vAlign w:val="center"/>
            <w:shd w:fill="E8F5E9"/>
          </w:tcPr>
          <w:p>
            <w:pPr>
              <w:jc w:val="center"/>
            </w:pPr>
            <w:r/>
            <w:r>
              <w:rPr>
                <w:rFonts w:ascii="Times New Roman" w:hAnsi="Times New Roman" w:eastAsia="Times New Roman"/>
                <w:b/>
                <w:i w:val="0"/>
                <w:sz w:val="17"/>
              </w:rPr>
              <w:t>Испарение</w:t>
            </w:r>
          </w:p>
        </w:tc>
        <w:tc>
          <w:tcPr>
            <w:tcW w:type="dxa" w:w="1408"/>
            <w:vAlign w:val="center"/>
            <w:shd w:fill="E8F5E9"/>
          </w:tcPr>
          <w:p>
            <w:pPr>
              <w:jc w:val="center"/>
            </w:pPr>
            <w:r/>
            <w:r>
              <w:rPr>
                <w:rFonts w:ascii="Times New Roman" w:hAnsi="Times New Roman" w:eastAsia="Times New Roman"/>
                <w:b/>
                <w:i w:val="0"/>
                <w:sz w:val="17"/>
              </w:rPr>
              <w:t>Подача раствора</w:t>
            </w:r>
          </w:p>
        </w:tc>
        <w:tc>
          <w:tcPr>
            <w:tcW w:type="dxa" w:w="1408"/>
            <w:vAlign w:val="center"/>
            <w:shd w:fill="E8F5E9"/>
          </w:tcPr>
          <w:p>
            <w:pPr>
              <w:jc w:val="center"/>
            </w:pPr>
            <w:r/>
            <w:r>
              <w:rPr>
                <w:rFonts w:ascii="Times New Roman" w:hAnsi="Times New Roman" w:eastAsia="Times New Roman"/>
                <w:b/>
                <w:i w:val="0"/>
                <w:sz w:val="17"/>
              </w:rPr>
              <w:t>Концентрат</w:t>
            </w:r>
          </w:p>
        </w:tc>
      </w:tr>
      <w:tr>
        <w:tc>
          <w:tcPr>
            <w:tcW w:type="dxa" w:w="1408"/>
            <w:vAlign w:val="center"/>
          </w:tcPr>
          <w:p>
            <w:pPr>
              <w:jc w:val="center"/>
            </w:pPr>
            <w:r/>
            <w:r>
              <w:rPr>
                <w:rFonts w:ascii="Times New Roman" w:hAnsi="Times New Roman" w:eastAsia="Times New Roman"/>
                <w:b w:val="0"/>
                <w:i w:val="0"/>
                <w:sz w:val="16"/>
              </w:rPr>
              <w:t>1</w:t>
            </w:r>
          </w:p>
        </w:tc>
        <w:tc>
          <w:tcPr>
            <w:tcW w:type="dxa" w:w="1408"/>
            <w:vAlign w:val="center"/>
          </w:tcPr>
          <w:p>
            <w:pPr>
              <w:jc w:val="center"/>
            </w:pPr>
            <w:r/>
            <w:r>
              <w:rPr>
                <w:rFonts w:ascii="Times New Roman" w:hAnsi="Times New Roman" w:eastAsia="Times New Roman"/>
                <w:b w:val="0"/>
                <w:i w:val="0"/>
                <w:sz w:val="16"/>
              </w:rPr>
              <w:t>1250 килопаскалей</w:t>
            </w:r>
          </w:p>
        </w:tc>
        <w:tc>
          <w:tcPr>
            <w:tcW w:type="dxa" w:w="1408"/>
            <w:vAlign w:val="center"/>
          </w:tcPr>
          <w:p>
            <w:pPr>
              <w:jc w:val="center"/>
            </w:pPr>
            <w:r/>
            <w:r>
              <w:rPr>
                <w:rFonts w:ascii="Times New Roman" w:hAnsi="Times New Roman" w:eastAsia="Times New Roman"/>
                <w:b w:val="0"/>
                <w:i w:val="0"/>
                <w:sz w:val="16"/>
              </w:rPr>
              <w:t>192.3 градуса Цельсия</w:t>
            </w:r>
          </w:p>
        </w:tc>
        <w:tc>
          <w:tcPr>
            <w:tcW w:type="dxa" w:w="1408"/>
            <w:vAlign w:val="center"/>
          </w:tcPr>
          <w:p>
            <w:pPr>
              <w:jc w:val="center"/>
            </w:pPr>
            <w:r/>
            <w:r>
              <w:rPr>
                <w:rFonts w:ascii="Times New Roman" w:hAnsi="Times New Roman" w:eastAsia="Times New Roman"/>
                <w:b w:val="0"/>
                <w:i w:val="0"/>
                <w:sz w:val="16"/>
              </w:rPr>
              <w:t>197.3 градуса Цельсия</w:t>
            </w:r>
          </w:p>
        </w:tc>
        <w:tc>
          <w:tcPr>
            <w:tcW w:type="dxa" w:w="1408"/>
            <w:vAlign w:val="center"/>
          </w:tcPr>
          <w:p>
            <w:pPr>
              <w:jc w:val="center"/>
            </w:pPr>
            <w:r/>
            <w:r>
              <w:rPr>
                <w:rFonts w:ascii="Times New Roman" w:hAnsi="Times New Roman" w:eastAsia="Times New Roman"/>
                <w:b w:val="0"/>
                <w:i w:val="0"/>
                <w:sz w:val="16"/>
              </w:rPr>
              <w:t>417.1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162.4 килограмма в час</w:t>
            </w:r>
          </w:p>
        </w:tc>
      </w:tr>
      <w:tr>
        <w:tc>
          <w:tcPr>
            <w:tcW w:type="dxa" w:w="1408"/>
            <w:vAlign w:val="center"/>
          </w:tcPr>
          <w:p>
            <w:pPr>
              <w:jc w:val="center"/>
            </w:pPr>
            <w:r/>
            <w:r>
              <w:rPr>
                <w:rFonts w:ascii="Times New Roman" w:hAnsi="Times New Roman" w:eastAsia="Times New Roman"/>
                <w:b w:val="0"/>
                <w:i w:val="0"/>
                <w:sz w:val="16"/>
              </w:rPr>
              <w:t>2</w:t>
            </w:r>
          </w:p>
        </w:tc>
        <w:tc>
          <w:tcPr>
            <w:tcW w:type="dxa" w:w="1408"/>
            <w:vAlign w:val="center"/>
          </w:tcPr>
          <w:p>
            <w:pPr>
              <w:jc w:val="center"/>
            </w:pPr>
            <w:r/>
            <w:r>
              <w:rPr>
                <w:rFonts w:ascii="Times New Roman" w:hAnsi="Times New Roman" w:eastAsia="Times New Roman"/>
                <w:b w:val="0"/>
                <w:i w:val="0"/>
                <w:sz w:val="16"/>
              </w:rPr>
              <w:t>1000 килопаскалей</w:t>
            </w:r>
          </w:p>
        </w:tc>
        <w:tc>
          <w:tcPr>
            <w:tcW w:type="dxa" w:w="1408"/>
            <w:vAlign w:val="center"/>
          </w:tcPr>
          <w:p>
            <w:pPr>
              <w:jc w:val="center"/>
            </w:pPr>
            <w:r/>
            <w:r>
              <w:rPr>
                <w:rFonts w:ascii="Times New Roman" w:hAnsi="Times New Roman" w:eastAsia="Times New Roman"/>
                <w:b w:val="0"/>
                <w:i w:val="0"/>
                <w:sz w:val="16"/>
              </w:rPr>
              <w:t>182.8 градуса Цельсия</w:t>
            </w:r>
          </w:p>
        </w:tc>
        <w:tc>
          <w:tcPr>
            <w:tcW w:type="dxa" w:w="1408"/>
            <w:vAlign w:val="center"/>
          </w:tcPr>
          <w:p>
            <w:pPr>
              <w:jc w:val="center"/>
            </w:pPr>
            <w:r/>
            <w:r>
              <w:rPr>
                <w:rFonts w:ascii="Times New Roman" w:hAnsi="Times New Roman" w:eastAsia="Times New Roman"/>
                <w:b w:val="0"/>
                <w:i w:val="0"/>
                <w:sz w:val="16"/>
              </w:rPr>
              <w:t>187.8 градуса Цельсия</w:t>
            </w:r>
          </w:p>
        </w:tc>
        <w:tc>
          <w:tcPr>
            <w:tcW w:type="dxa" w:w="1408"/>
            <w:vAlign w:val="center"/>
          </w:tcPr>
          <w:p>
            <w:pPr>
              <w:jc w:val="center"/>
            </w:pPr>
            <w:r/>
            <w:r>
              <w:rPr>
                <w:rFonts w:ascii="Times New Roman" w:hAnsi="Times New Roman" w:eastAsia="Times New Roman"/>
                <w:b w:val="0"/>
                <w:i w:val="0"/>
                <w:sz w:val="16"/>
              </w:rPr>
              <w:t>412.7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166.8 килограмма в час</w:t>
            </w:r>
          </w:p>
        </w:tc>
      </w:tr>
      <w:tr>
        <w:tc>
          <w:tcPr>
            <w:tcW w:type="dxa" w:w="1408"/>
            <w:vAlign w:val="center"/>
          </w:tcPr>
          <w:p>
            <w:pPr>
              <w:jc w:val="center"/>
            </w:pPr>
            <w:r/>
            <w:r>
              <w:rPr>
                <w:rFonts w:ascii="Times New Roman" w:hAnsi="Times New Roman" w:eastAsia="Times New Roman"/>
                <w:b w:val="0"/>
                <w:i w:val="0"/>
                <w:sz w:val="16"/>
              </w:rPr>
              <w:t>3</w:t>
            </w:r>
          </w:p>
        </w:tc>
        <w:tc>
          <w:tcPr>
            <w:tcW w:type="dxa" w:w="1408"/>
            <w:vAlign w:val="center"/>
          </w:tcPr>
          <w:p>
            <w:pPr>
              <w:jc w:val="center"/>
            </w:pPr>
            <w:r/>
            <w:r>
              <w:rPr>
                <w:rFonts w:ascii="Times New Roman" w:hAnsi="Times New Roman" w:eastAsia="Times New Roman"/>
                <w:b w:val="0"/>
                <w:i w:val="0"/>
                <w:sz w:val="16"/>
              </w:rPr>
              <w:t>790 килопаскалей</w:t>
            </w:r>
          </w:p>
        </w:tc>
        <w:tc>
          <w:tcPr>
            <w:tcW w:type="dxa" w:w="1408"/>
            <w:vAlign w:val="center"/>
          </w:tcPr>
          <w:p>
            <w:pPr>
              <w:jc w:val="center"/>
            </w:pPr>
            <w:r/>
            <w:r>
              <w:rPr>
                <w:rFonts w:ascii="Times New Roman" w:hAnsi="Times New Roman" w:eastAsia="Times New Roman"/>
                <w:b w:val="0"/>
                <w:i w:val="0"/>
                <w:sz w:val="16"/>
              </w:rPr>
              <w:t>173.3 градуса Цельсия</w:t>
            </w:r>
          </w:p>
        </w:tc>
        <w:tc>
          <w:tcPr>
            <w:tcW w:type="dxa" w:w="1408"/>
            <w:vAlign w:val="center"/>
          </w:tcPr>
          <w:p>
            <w:pPr>
              <w:jc w:val="center"/>
            </w:pPr>
            <w:r/>
            <w:r>
              <w:rPr>
                <w:rFonts w:ascii="Times New Roman" w:hAnsi="Times New Roman" w:eastAsia="Times New Roman"/>
                <w:b w:val="0"/>
                <w:i w:val="0"/>
                <w:sz w:val="16"/>
              </w:rPr>
              <w:t>178.3 градуса Цельсия</w:t>
            </w:r>
          </w:p>
        </w:tc>
        <w:tc>
          <w:tcPr>
            <w:tcW w:type="dxa" w:w="1408"/>
            <w:vAlign w:val="center"/>
          </w:tcPr>
          <w:p>
            <w:pPr>
              <w:jc w:val="center"/>
            </w:pPr>
            <w:r/>
            <w:r>
              <w:rPr>
                <w:rFonts w:ascii="Times New Roman" w:hAnsi="Times New Roman" w:eastAsia="Times New Roman"/>
                <w:b w:val="0"/>
                <w:i w:val="0"/>
                <w:sz w:val="16"/>
              </w:rPr>
              <w:t>407.2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172.3 килограмма в час</w:t>
            </w:r>
          </w:p>
        </w:tc>
      </w:tr>
      <w:tr>
        <w:tc>
          <w:tcPr>
            <w:tcW w:type="dxa" w:w="1408"/>
            <w:vAlign w:val="center"/>
          </w:tcPr>
          <w:p>
            <w:pPr>
              <w:jc w:val="center"/>
            </w:pPr>
            <w:r/>
            <w:r>
              <w:rPr>
                <w:rFonts w:ascii="Times New Roman" w:hAnsi="Times New Roman" w:eastAsia="Times New Roman"/>
                <w:b w:val="0"/>
                <w:i w:val="0"/>
                <w:sz w:val="16"/>
              </w:rPr>
              <w:t>4</w:t>
            </w:r>
          </w:p>
        </w:tc>
        <w:tc>
          <w:tcPr>
            <w:tcW w:type="dxa" w:w="1408"/>
            <w:vAlign w:val="center"/>
          </w:tcPr>
          <w:p>
            <w:pPr>
              <w:jc w:val="center"/>
            </w:pPr>
            <w:r/>
            <w:r>
              <w:rPr>
                <w:rFonts w:ascii="Times New Roman" w:hAnsi="Times New Roman" w:eastAsia="Times New Roman"/>
                <w:b w:val="0"/>
                <w:i w:val="0"/>
                <w:sz w:val="16"/>
              </w:rPr>
              <w:t>620 килопаскалей</w:t>
            </w:r>
          </w:p>
        </w:tc>
        <w:tc>
          <w:tcPr>
            <w:tcW w:type="dxa" w:w="1408"/>
            <w:vAlign w:val="center"/>
          </w:tcPr>
          <w:p>
            <w:pPr>
              <w:jc w:val="center"/>
            </w:pPr>
            <w:r/>
            <w:r>
              <w:rPr>
                <w:rFonts w:ascii="Times New Roman" w:hAnsi="Times New Roman" w:eastAsia="Times New Roman"/>
                <w:b w:val="0"/>
                <w:i w:val="0"/>
                <w:sz w:val="16"/>
              </w:rPr>
              <w:t>163.8 градуса Цельсия</w:t>
            </w:r>
          </w:p>
        </w:tc>
        <w:tc>
          <w:tcPr>
            <w:tcW w:type="dxa" w:w="1408"/>
            <w:vAlign w:val="center"/>
          </w:tcPr>
          <w:p>
            <w:pPr>
              <w:jc w:val="center"/>
            </w:pPr>
            <w:r/>
            <w:r>
              <w:rPr>
                <w:rFonts w:ascii="Times New Roman" w:hAnsi="Times New Roman" w:eastAsia="Times New Roman"/>
                <w:b w:val="0"/>
                <w:i w:val="0"/>
                <w:sz w:val="16"/>
              </w:rPr>
              <w:t>168.8 градуса Цельсия</w:t>
            </w:r>
          </w:p>
        </w:tc>
        <w:tc>
          <w:tcPr>
            <w:tcW w:type="dxa" w:w="1408"/>
            <w:vAlign w:val="center"/>
          </w:tcPr>
          <w:p>
            <w:pPr>
              <w:jc w:val="center"/>
            </w:pPr>
            <w:r/>
            <w:r>
              <w:rPr>
                <w:rFonts w:ascii="Times New Roman" w:hAnsi="Times New Roman" w:eastAsia="Times New Roman"/>
                <w:b w:val="0"/>
                <w:i w:val="0"/>
                <w:sz w:val="16"/>
              </w:rPr>
              <w:t>402.8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176.7 килограмма в час</w:t>
            </w:r>
          </w:p>
        </w:tc>
      </w:tr>
      <w:tr>
        <w:tc>
          <w:tcPr>
            <w:tcW w:type="dxa" w:w="1408"/>
            <w:vAlign w:val="center"/>
          </w:tcPr>
          <w:p>
            <w:pPr>
              <w:jc w:val="center"/>
            </w:pPr>
            <w:r/>
            <w:r>
              <w:rPr>
                <w:rFonts w:ascii="Times New Roman" w:hAnsi="Times New Roman" w:eastAsia="Times New Roman"/>
                <w:b w:val="0"/>
                <w:i w:val="0"/>
                <w:sz w:val="16"/>
              </w:rPr>
              <w:t>5</w:t>
            </w:r>
          </w:p>
        </w:tc>
        <w:tc>
          <w:tcPr>
            <w:tcW w:type="dxa" w:w="1408"/>
            <w:vAlign w:val="center"/>
          </w:tcPr>
          <w:p>
            <w:pPr>
              <w:jc w:val="center"/>
            </w:pPr>
            <w:r/>
            <w:r>
              <w:rPr>
                <w:rFonts w:ascii="Times New Roman" w:hAnsi="Times New Roman" w:eastAsia="Times New Roman"/>
                <w:b w:val="0"/>
                <w:i w:val="0"/>
                <w:sz w:val="16"/>
              </w:rPr>
              <w:t>480 килопаскалей</w:t>
            </w:r>
          </w:p>
        </w:tc>
        <w:tc>
          <w:tcPr>
            <w:tcW w:type="dxa" w:w="1408"/>
            <w:vAlign w:val="center"/>
          </w:tcPr>
          <w:p>
            <w:pPr>
              <w:jc w:val="center"/>
            </w:pPr>
            <w:r/>
            <w:r>
              <w:rPr>
                <w:rFonts w:ascii="Times New Roman" w:hAnsi="Times New Roman" w:eastAsia="Times New Roman"/>
                <w:b w:val="0"/>
                <w:i w:val="0"/>
                <w:sz w:val="16"/>
              </w:rPr>
              <w:t>154.3 градуса Цельсия</w:t>
            </w:r>
          </w:p>
        </w:tc>
        <w:tc>
          <w:tcPr>
            <w:tcW w:type="dxa" w:w="1408"/>
            <w:vAlign w:val="center"/>
          </w:tcPr>
          <w:p>
            <w:pPr>
              <w:jc w:val="center"/>
            </w:pPr>
            <w:r/>
            <w:r>
              <w:rPr>
                <w:rFonts w:ascii="Times New Roman" w:hAnsi="Times New Roman" w:eastAsia="Times New Roman"/>
                <w:b w:val="0"/>
                <w:i w:val="0"/>
                <w:sz w:val="16"/>
              </w:rPr>
              <w:t>159.3 градуса Цельсия</w:t>
            </w:r>
          </w:p>
        </w:tc>
        <w:tc>
          <w:tcPr>
            <w:tcW w:type="dxa" w:w="1408"/>
            <w:vAlign w:val="center"/>
          </w:tcPr>
          <w:p>
            <w:pPr>
              <w:jc w:val="center"/>
            </w:pPr>
            <w:r/>
            <w:r>
              <w:rPr>
                <w:rFonts w:ascii="Times New Roman" w:hAnsi="Times New Roman" w:eastAsia="Times New Roman"/>
                <w:b w:val="0"/>
                <w:i w:val="0"/>
                <w:sz w:val="16"/>
              </w:rPr>
              <w:t>397.3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182.2 килограмма в час</w:t>
            </w:r>
          </w:p>
        </w:tc>
      </w:tr>
      <w:tr>
        <w:tc>
          <w:tcPr>
            <w:tcW w:type="dxa" w:w="1408"/>
            <w:vAlign w:val="center"/>
          </w:tcPr>
          <w:p>
            <w:pPr>
              <w:jc w:val="center"/>
            </w:pPr>
            <w:r/>
            <w:r>
              <w:rPr>
                <w:rFonts w:ascii="Times New Roman" w:hAnsi="Times New Roman" w:eastAsia="Times New Roman"/>
                <w:b w:val="0"/>
                <w:i w:val="0"/>
                <w:sz w:val="16"/>
              </w:rPr>
              <w:t>6</w:t>
            </w:r>
          </w:p>
        </w:tc>
        <w:tc>
          <w:tcPr>
            <w:tcW w:type="dxa" w:w="1408"/>
            <w:vAlign w:val="center"/>
          </w:tcPr>
          <w:p>
            <w:pPr>
              <w:jc w:val="center"/>
            </w:pPr>
            <w:r/>
            <w:r>
              <w:rPr>
                <w:rFonts w:ascii="Times New Roman" w:hAnsi="Times New Roman" w:eastAsia="Times New Roman"/>
                <w:b w:val="0"/>
                <w:i w:val="0"/>
                <w:sz w:val="16"/>
              </w:rPr>
              <w:t>370 килопаскалей</w:t>
            </w:r>
          </w:p>
        </w:tc>
        <w:tc>
          <w:tcPr>
            <w:tcW w:type="dxa" w:w="1408"/>
            <w:vAlign w:val="center"/>
          </w:tcPr>
          <w:p>
            <w:pPr>
              <w:jc w:val="center"/>
            </w:pPr>
            <w:r/>
            <w:r>
              <w:rPr>
                <w:rFonts w:ascii="Times New Roman" w:hAnsi="Times New Roman" w:eastAsia="Times New Roman"/>
                <w:b w:val="0"/>
                <w:i w:val="0"/>
                <w:sz w:val="16"/>
              </w:rPr>
              <w:t>144.8 градуса Цельсия</w:t>
            </w:r>
          </w:p>
        </w:tc>
        <w:tc>
          <w:tcPr>
            <w:tcW w:type="dxa" w:w="1408"/>
            <w:vAlign w:val="center"/>
          </w:tcPr>
          <w:p>
            <w:pPr>
              <w:jc w:val="center"/>
            </w:pPr>
            <w:r/>
            <w:r>
              <w:rPr>
                <w:rFonts w:ascii="Times New Roman" w:hAnsi="Times New Roman" w:eastAsia="Times New Roman"/>
                <w:b w:val="0"/>
                <w:i w:val="0"/>
                <w:sz w:val="16"/>
              </w:rPr>
              <w:t>149.8 градуса Цельсия</w:t>
            </w:r>
          </w:p>
        </w:tc>
        <w:tc>
          <w:tcPr>
            <w:tcW w:type="dxa" w:w="1408"/>
            <w:vAlign w:val="center"/>
          </w:tcPr>
          <w:p>
            <w:pPr>
              <w:jc w:val="center"/>
            </w:pPr>
            <w:r/>
            <w:r>
              <w:rPr>
                <w:rFonts w:ascii="Times New Roman" w:hAnsi="Times New Roman" w:eastAsia="Times New Roman"/>
                <w:b w:val="0"/>
                <w:i w:val="0"/>
                <w:sz w:val="16"/>
              </w:rPr>
              <w:t>392.9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186.6 килограмма в час</w:t>
            </w:r>
          </w:p>
        </w:tc>
      </w:tr>
      <w:tr>
        <w:tc>
          <w:tcPr>
            <w:tcW w:type="dxa" w:w="1408"/>
            <w:vAlign w:val="center"/>
          </w:tcPr>
          <w:p>
            <w:pPr>
              <w:jc w:val="center"/>
            </w:pPr>
            <w:r/>
            <w:r>
              <w:rPr>
                <w:rFonts w:ascii="Times New Roman" w:hAnsi="Times New Roman" w:eastAsia="Times New Roman"/>
                <w:b w:val="0"/>
                <w:i w:val="0"/>
                <w:sz w:val="16"/>
              </w:rPr>
              <w:t>7</w:t>
            </w:r>
          </w:p>
        </w:tc>
        <w:tc>
          <w:tcPr>
            <w:tcW w:type="dxa" w:w="1408"/>
            <w:vAlign w:val="center"/>
          </w:tcPr>
          <w:p>
            <w:pPr>
              <w:jc w:val="center"/>
            </w:pPr>
            <w:r/>
            <w:r>
              <w:rPr>
                <w:rFonts w:ascii="Times New Roman" w:hAnsi="Times New Roman" w:eastAsia="Times New Roman"/>
                <w:b w:val="0"/>
                <w:i w:val="0"/>
                <w:sz w:val="16"/>
              </w:rPr>
              <w:t>280 килопаскалей</w:t>
            </w:r>
          </w:p>
        </w:tc>
        <w:tc>
          <w:tcPr>
            <w:tcW w:type="dxa" w:w="1408"/>
            <w:vAlign w:val="center"/>
          </w:tcPr>
          <w:p>
            <w:pPr>
              <w:jc w:val="center"/>
            </w:pPr>
            <w:r/>
            <w:r>
              <w:rPr>
                <w:rFonts w:ascii="Times New Roman" w:hAnsi="Times New Roman" w:eastAsia="Times New Roman"/>
                <w:b w:val="0"/>
                <w:i w:val="0"/>
                <w:sz w:val="16"/>
              </w:rPr>
              <w:t>135.3 градуса Цельсия</w:t>
            </w:r>
          </w:p>
        </w:tc>
        <w:tc>
          <w:tcPr>
            <w:tcW w:type="dxa" w:w="1408"/>
            <w:vAlign w:val="center"/>
          </w:tcPr>
          <w:p>
            <w:pPr>
              <w:jc w:val="center"/>
            </w:pPr>
            <w:r/>
            <w:r>
              <w:rPr>
                <w:rFonts w:ascii="Times New Roman" w:hAnsi="Times New Roman" w:eastAsia="Times New Roman"/>
                <w:b w:val="0"/>
                <w:i w:val="0"/>
                <w:sz w:val="16"/>
              </w:rPr>
              <w:t>140.3 градуса Цельсия</w:t>
            </w:r>
          </w:p>
        </w:tc>
        <w:tc>
          <w:tcPr>
            <w:tcW w:type="dxa" w:w="1408"/>
            <w:vAlign w:val="center"/>
          </w:tcPr>
          <w:p>
            <w:pPr>
              <w:jc w:val="center"/>
            </w:pPr>
            <w:r/>
            <w:r>
              <w:rPr>
                <w:rFonts w:ascii="Times New Roman" w:hAnsi="Times New Roman" w:eastAsia="Times New Roman"/>
                <w:b w:val="0"/>
                <w:i w:val="0"/>
                <w:sz w:val="16"/>
              </w:rPr>
              <w:t>388.5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191.0 килограмма в час</w:t>
            </w:r>
          </w:p>
        </w:tc>
      </w:tr>
      <w:tr>
        <w:tc>
          <w:tcPr>
            <w:tcW w:type="dxa" w:w="1408"/>
            <w:vAlign w:val="center"/>
          </w:tcPr>
          <w:p>
            <w:pPr>
              <w:jc w:val="center"/>
            </w:pPr>
            <w:r/>
            <w:r>
              <w:rPr>
                <w:rFonts w:ascii="Times New Roman" w:hAnsi="Times New Roman" w:eastAsia="Times New Roman"/>
                <w:b w:val="0"/>
                <w:i w:val="0"/>
                <w:sz w:val="16"/>
              </w:rPr>
              <w:t>8</w:t>
            </w:r>
          </w:p>
        </w:tc>
        <w:tc>
          <w:tcPr>
            <w:tcW w:type="dxa" w:w="1408"/>
            <w:vAlign w:val="center"/>
          </w:tcPr>
          <w:p>
            <w:pPr>
              <w:jc w:val="center"/>
            </w:pPr>
            <w:r/>
            <w:r>
              <w:rPr>
                <w:rFonts w:ascii="Times New Roman" w:hAnsi="Times New Roman" w:eastAsia="Times New Roman"/>
                <w:b w:val="0"/>
                <w:i w:val="0"/>
                <w:sz w:val="16"/>
              </w:rPr>
              <w:t>210 килопаскалей</w:t>
            </w:r>
          </w:p>
        </w:tc>
        <w:tc>
          <w:tcPr>
            <w:tcW w:type="dxa" w:w="1408"/>
            <w:vAlign w:val="center"/>
          </w:tcPr>
          <w:p>
            <w:pPr>
              <w:jc w:val="center"/>
            </w:pPr>
            <w:r/>
            <w:r>
              <w:rPr>
                <w:rFonts w:ascii="Times New Roman" w:hAnsi="Times New Roman" w:eastAsia="Times New Roman"/>
                <w:b w:val="0"/>
                <w:i w:val="0"/>
                <w:sz w:val="16"/>
              </w:rPr>
              <w:t>125.8 градуса Цельсия</w:t>
            </w:r>
          </w:p>
        </w:tc>
        <w:tc>
          <w:tcPr>
            <w:tcW w:type="dxa" w:w="1408"/>
            <w:vAlign w:val="center"/>
          </w:tcPr>
          <w:p>
            <w:pPr>
              <w:jc w:val="center"/>
            </w:pPr>
            <w:r/>
            <w:r>
              <w:rPr>
                <w:rFonts w:ascii="Times New Roman" w:hAnsi="Times New Roman" w:eastAsia="Times New Roman"/>
                <w:b w:val="0"/>
                <w:i w:val="0"/>
                <w:sz w:val="16"/>
              </w:rPr>
              <w:t>130.8 градуса Цельсия</w:t>
            </w:r>
          </w:p>
        </w:tc>
        <w:tc>
          <w:tcPr>
            <w:tcW w:type="dxa" w:w="1408"/>
            <w:vAlign w:val="center"/>
          </w:tcPr>
          <w:p>
            <w:pPr>
              <w:jc w:val="center"/>
            </w:pPr>
            <w:r/>
            <w:r>
              <w:rPr>
                <w:rFonts w:ascii="Times New Roman" w:hAnsi="Times New Roman" w:eastAsia="Times New Roman"/>
                <w:b w:val="0"/>
                <w:i w:val="0"/>
                <w:sz w:val="16"/>
              </w:rPr>
              <w:t>384.1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195.4 килограмма в час</w:t>
            </w:r>
          </w:p>
        </w:tc>
      </w:tr>
      <w:tr>
        <w:tc>
          <w:tcPr>
            <w:tcW w:type="dxa" w:w="1408"/>
            <w:vAlign w:val="center"/>
          </w:tcPr>
          <w:p>
            <w:pPr>
              <w:jc w:val="center"/>
            </w:pPr>
            <w:r/>
            <w:r>
              <w:rPr>
                <w:rFonts w:ascii="Times New Roman" w:hAnsi="Times New Roman" w:eastAsia="Times New Roman"/>
                <w:b w:val="0"/>
                <w:i w:val="0"/>
                <w:sz w:val="16"/>
              </w:rPr>
              <w:t>9</w:t>
            </w:r>
          </w:p>
        </w:tc>
        <w:tc>
          <w:tcPr>
            <w:tcW w:type="dxa" w:w="1408"/>
            <w:vAlign w:val="center"/>
          </w:tcPr>
          <w:p>
            <w:pPr>
              <w:jc w:val="center"/>
            </w:pPr>
            <w:r/>
            <w:r>
              <w:rPr>
                <w:rFonts w:ascii="Times New Roman" w:hAnsi="Times New Roman" w:eastAsia="Times New Roman"/>
                <w:b w:val="0"/>
                <w:i w:val="0"/>
                <w:sz w:val="16"/>
              </w:rPr>
              <w:t>156 килопаскалей</w:t>
            </w:r>
          </w:p>
        </w:tc>
        <w:tc>
          <w:tcPr>
            <w:tcW w:type="dxa" w:w="1408"/>
            <w:vAlign w:val="center"/>
          </w:tcPr>
          <w:p>
            <w:pPr>
              <w:jc w:val="center"/>
            </w:pPr>
            <w:r/>
            <w:r>
              <w:rPr>
                <w:rFonts w:ascii="Times New Roman" w:hAnsi="Times New Roman" w:eastAsia="Times New Roman"/>
                <w:b w:val="0"/>
                <w:i w:val="0"/>
                <w:sz w:val="16"/>
              </w:rPr>
              <w:t>116.3 градуса Цельсия</w:t>
            </w:r>
          </w:p>
        </w:tc>
        <w:tc>
          <w:tcPr>
            <w:tcW w:type="dxa" w:w="1408"/>
            <w:vAlign w:val="center"/>
          </w:tcPr>
          <w:p>
            <w:pPr>
              <w:jc w:val="center"/>
            </w:pPr>
            <w:r/>
            <w:r>
              <w:rPr>
                <w:rFonts w:ascii="Times New Roman" w:hAnsi="Times New Roman" w:eastAsia="Times New Roman"/>
                <w:b w:val="0"/>
                <w:i w:val="0"/>
                <w:sz w:val="16"/>
              </w:rPr>
              <w:t>121.3 градуса Цельсия</w:t>
            </w:r>
          </w:p>
        </w:tc>
        <w:tc>
          <w:tcPr>
            <w:tcW w:type="dxa" w:w="1408"/>
            <w:vAlign w:val="center"/>
          </w:tcPr>
          <w:p>
            <w:pPr>
              <w:jc w:val="center"/>
            </w:pPr>
            <w:r/>
            <w:r>
              <w:rPr>
                <w:rFonts w:ascii="Times New Roman" w:hAnsi="Times New Roman" w:eastAsia="Times New Roman"/>
                <w:b w:val="0"/>
                <w:i w:val="0"/>
                <w:sz w:val="16"/>
              </w:rPr>
              <w:t>379.8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199.8 килограмма в час</w:t>
            </w:r>
          </w:p>
        </w:tc>
      </w:tr>
      <w:tr>
        <w:tc>
          <w:tcPr>
            <w:tcW w:type="dxa" w:w="1408"/>
            <w:vAlign w:val="center"/>
          </w:tcPr>
          <w:p>
            <w:pPr>
              <w:jc w:val="center"/>
            </w:pPr>
            <w:r/>
            <w:r>
              <w:rPr>
                <w:rFonts w:ascii="Times New Roman" w:hAnsi="Times New Roman" w:eastAsia="Times New Roman"/>
                <w:b w:val="0"/>
                <w:i w:val="0"/>
                <w:sz w:val="16"/>
              </w:rPr>
              <w:t>10</w:t>
            </w:r>
          </w:p>
        </w:tc>
        <w:tc>
          <w:tcPr>
            <w:tcW w:type="dxa" w:w="1408"/>
            <w:vAlign w:val="center"/>
          </w:tcPr>
          <w:p>
            <w:pPr>
              <w:jc w:val="center"/>
            </w:pPr>
            <w:r/>
            <w:r>
              <w:rPr>
                <w:rFonts w:ascii="Times New Roman" w:hAnsi="Times New Roman" w:eastAsia="Times New Roman"/>
                <w:b w:val="0"/>
                <w:i w:val="0"/>
                <w:sz w:val="16"/>
              </w:rPr>
              <w:t>110 килопаскалей</w:t>
            </w:r>
          </w:p>
        </w:tc>
        <w:tc>
          <w:tcPr>
            <w:tcW w:type="dxa" w:w="1408"/>
            <w:vAlign w:val="center"/>
          </w:tcPr>
          <w:p>
            <w:pPr>
              <w:jc w:val="center"/>
            </w:pPr>
            <w:r/>
            <w:r>
              <w:rPr>
                <w:rFonts w:ascii="Times New Roman" w:hAnsi="Times New Roman" w:eastAsia="Times New Roman"/>
                <w:b w:val="0"/>
                <w:i w:val="0"/>
                <w:sz w:val="16"/>
              </w:rPr>
              <w:t>106.8 градуса Цельсия</w:t>
            </w:r>
          </w:p>
        </w:tc>
        <w:tc>
          <w:tcPr>
            <w:tcW w:type="dxa" w:w="1408"/>
            <w:vAlign w:val="center"/>
          </w:tcPr>
          <w:p>
            <w:pPr>
              <w:jc w:val="center"/>
            </w:pPr>
            <w:r/>
            <w:r>
              <w:rPr>
                <w:rFonts w:ascii="Times New Roman" w:hAnsi="Times New Roman" w:eastAsia="Times New Roman"/>
                <w:b w:val="0"/>
                <w:i w:val="0"/>
                <w:sz w:val="16"/>
              </w:rPr>
              <w:t>111.8 градуса Цельсия</w:t>
            </w:r>
          </w:p>
        </w:tc>
        <w:tc>
          <w:tcPr>
            <w:tcW w:type="dxa" w:w="1408"/>
            <w:vAlign w:val="center"/>
          </w:tcPr>
          <w:p>
            <w:pPr>
              <w:jc w:val="center"/>
            </w:pPr>
            <w:r/>
            <w:r>
              <w:rPr>
                <w:rFonts w:ascii="Times New Roman" w:hAnsi="Times New Roman" w:eastAsia="Times New Roman"/>
                <w:b w:val="0"/>
                <w:i w:val="0"/>
                <w:sz w:val="16"/>
              </w:rPr>
              <w:t>374.3 килограмма в час</w:t>
            </w:r>
          </w:p>
        </w:tc>
        <w:tc>
          <w:tcPr>
            <w:tcW w:type="dxa" w:w="1408"/>
            <w:vAlign w:val="center"/>
          </w:tcPr>
          <w:p>
            <w:pPr>
              <w:jc w:val="center"/>
            </w:pPr>
            <w:r/>
            <w:r>
              <w:rPr>
                <w:rFonts w:ascii="Times New Roman" w:hAnsi="Times New Roman" w:eastAsia="Times New Roman"/>
                <w:b w:val="0"/>
                <w:i w:val="0"/>
                <w:sz w:val="16"/>
              </w:rPr>
              <w:t>579,5 килограмма в час</w:t>
            </w:r>
          </w:p>
        </w:tc>
        <w:tc>
          <w:tcPr>
            <w:tcW w:type="dxa" w:w="1408"/>
            <w:vAlign w:val="center"/>
          </w:tcPr>
          <w:p>
            <w:pPr>
              <w:jc w:val="center"/>
            </w:pPr>
            <w:r/>
            <w:r>
              <w:rPr>
                <w:rFonts w:ascii="Times New Roman" w:hAnsi="Times New Roman" w:eastAsia="Times New Roman"/>
                <w:b w:val="0"/>
                <w:i w:val="0"/>
                <w:sz w:val="16"/>
              </w:rPr>
              <w:t>205.2 килограмма в час</w:t>
            </w:r>
          </w:p>
        </w:tc>
      </w:tr>
    </w:tbl>
    <w:p>
      <w:pPr>
        <w:spacing w:before="120" w:after="60"/>
      </w:pPr>
      <w:r>
        <w:rPr>
          <w:rFonts w:ascii="Times New Roman" w:hAnsi="Times New Roman" w:eastAsia="Times New Roman"/>
          <w:b/>
          <w:i w:val="0"/>
          <w:sz w:val="25"/>
        </w:rPr>
        <w:t>5.2. Система внутренней рекуперации DFE-модуля</w:t>
      </w:r>
    </w:p>
    <w:p>
      <w:pPr>
        <w:spacing w:after="40" w:line="264" w:lineRule="auto"/>
        <w:ind w:firstLine="425"/>
      </w:pPr>
      <w:r>
        <w:rPr>
          <w:rFonts w:ascii="Times New Roman" w:hAnsi="Times New Roman" w:eastAsia="Times New Roman"/>
          <w:b w:val="0"/>
          <w:i w:val="0"/>
          <w:sz w:val="22"/>
        </w:rPr>
        <w:t>Внутри модуля предусмотрено три уровня рекуперации. Первый уровень — теплообмен концентрат/исходная вода, где горячий концентрат предварительно нагревает свежую морскую воду. Второй уровень — теплообмен между дистиллятом, конденсатом и исходной водой. Третий уровень — каскадные и индивидуальные подогреватели перед каждой ступенью, доводящие каждую отдельную ветвь подачи раствора до температуры, близкой к температуре кипения соответствующей ступени.</w:t>
      </w:r>
    </w:p>
    <w:p>
      <w:pPr>
        <w:spacing w:after="40" w:line="264" w:lineRule="auto"/>
        <w:ind w:firstLine="425"/>
      </w:pPr>
      <w:r>
        <w:rPr>
          <w:rFonts w:ascii="Times New Roman" w:hAnsi="Times New Roman" w:eastAsia="Times New Roman"/>
          <w:b w:val="0"/>
          <w:i w:val="0"/>
          <w:sz w:val="22"/>
        </w:rPr>
        <w:t>Такая система рекуперации нужна не только для экономии тепла. Она одновременно уменьшает концентрационные удары на входах в ступени, снижает риск локального накипеобразования и позволяет включать ступени последовательно при пуске. В распределённой солнечной системе это особенно важно, потому что солнечный источник тепла изначально неидеален и может изменять мощность при облаках, запылении и угловых ошибках трекера.</w:t>
      </w:r>
    </w:p>
    <w:p>
      <w:pPr>
        <w:spacing w:before="160" w:after="80"/>
      </w:pPr>
      <w:r>
        <w:rPr>
          <w:rFonts w:ascii="Times New Roman" w:hAnsi="Times New Roman" w:eastAsia="Times New Roman"/>
          <w:b/>
          <w:i w:val="0"/>
          <w:sz w:val="28"/>
        </w:rPr>
        <w:t>6. Солнечная генерация насыщенного пара</w:t>
      </w:r>
    </w:p>
    <w:p>
      <w:pPr>
        <w:spacing w:after="40" w:line="264" w:lineRule="auto"/>
        <w:ind w:firstLine="425"/>
      </w:pPr>
      <w:r>
        <w:rPr>
          <w:rFonts w:ascii="Times New Roman" w:hAnsi="Times New Roman" w:eastAsia="Times New Roman"/>
          <w:b w:val="0"/>
          <w:i w:val="0"/>
          <w:sz w:val="22"/>
        </w:rPr>
        <w:t>Солнечная подсистема спроектирована как максимально простая схема прямой генерации насыщенного пара без промежуточного масляного или солевого контура. Параболические желоба концентрируют излучение на приёмной трубе. Внутри трубы движется водопаровой поток. На выходе из поля пароводяная смесь поступает в аккумулятор-сепаратор, где разделяется на насыщенный пар для первой ступени и насыщенную воду для обратной рециркуляции через эжектор.</w:t>
      </w:r>
    </w:p>
    <w:p>
      <w:pPr>
        <w:spacing w:after="40" w:line="264" w:lineRule="auto"/>
        <w:ind w:firstLine="425"/>
      </w:pPr>
      <w:r>
        <w:rPr>
          <w:rFonts w:ascii="Times New Roman" w:hAnsi="Times New Roman" w:eastAsia="Times New Roman"/>
          <w:b w:val="0"/>
          <w:i w:val="0"/>
          <w:sz w:val="22"/>
        </w:rPr>
        <w:t>В отличие от схемы once-through, где по мере испарения труба всё более склонна к стратификации фаз и риску локального перегрева, здесь используется эжекторная рециркуляция. Свежая подготовленная вода выступает как рабочий поток эжектора, а часть насыщенной воды из аккумулятора — как подсасываемый поток. Перед эжектором эти потоки обмениваются теплом через отдельный теплообменник, что одновременно подогревает рабочий поток и подохлаждает воду из аккумулятора, предотвращая её вспышечное вскипание в зоне подсоса.</w:t>
      </w:r>
    </w:p>
    <w:p>
      <w:pPr>
        <w:spacing w:after="40" w:line="264" w:lineRule="auto"/>
        <w:ind w:firstLine="425"/>
      </w:pPr>
      <w:r>
        <w:rPr>
          <w:rFonts w:ascii="Times New Roman" w:hAnsi="Times New Roman" w:eastAsia="Times New Roman"/>
          <w:b w:val="0"/>
          <w:i w:val="0"/>
          <w:sz w:val="22"/>
        </w:rPr>
        <w:t>Базовый расход свежей воды в рабочем потоке составляет 450 килограмм в час. При коэффициенте инжекции 2,5 из аккумулятора дополнительно подсасывается 1125 килограммов в час насыщенной воды. В результате в коллекторы поступает уже 1575 килограммов в час смешанного потока. Это не увеличивает требуемую полезную тепловую мощность поля на производство 450 килограмм в час свежего пара, но радикально улучшает режим смачивания стенки приёмной трубы и уменьшает риск сухих пятен.</w:t>
      </w:r>
    </w:p>
    <w:p>
      <w:pPr>
        <w:spacing w:after="40" w:line="264" w:lineRule="auto"/>
        <w:ind w:firstLine="425"/>
      </w:pPr>
      <w:r>
        <w:rPr>
          <w:rFonts w:ascii="Times New Roman" w:hAnsi="Times New Roman" w:eastAsia="Times New Roman"/>
          <w:b w:val="0"/>
          <w:i w:val="0"/>
          <w:sz w:val="22"/>
        </w:rPr>
        <w:t>В качестве базового конструктивного решения принимается приёмная труба внутренним диаметром 35 миллиметров и наружным диаметром около 40 миллиметров, помещённая в стеклянную оболочку диаметром порядка 70/76 миллиметров. Между стальной трубой и стеклом сохраняется невакуумированный зазор, а в теневой части этого зазора размещается секторный теплоизолятор. Такое решение ухудшает тепловую эффективность по сравнению с вакуумным ресивером, но заметно упрощает технологию, снижает стоимость и облегчает локальное изготовление в условиях распределённых объектов.</w:t>
      </w:r>
    </w:p>
    <w:p>
      <w:pPr>
        <w:spacing w:after="40" w:line="264" w:lineRule="auto"/>
        <w:ind w:firstLine="425"/>
      </w:pPr>
      <w:r>
        <w:rPr>
          <w:rFonts w:ascii="Times New Roman" w:hAnsi="Times New Roman" w:eastAsia="Times New Roman"/>
          <w:b w:val="0"/>
          <w:i w:val="0"/>
          <w:sz w:val="22"/>
        </w:rPr>
        <w:t>Поле реализуется двумя параллельными рядами параболических желобов суммарной апертурой порядка 1450 квадратных метров. Каждый ряд следует за солнцем по астрономическому алгоритму, реализованному на промышленном контроллере. Приоритетной защитной функцией является быстрая расфокусировка поля при росте давления в аккумуляторе, при остановке потребителя или при отказе циркуляции.</w:t>
      </w:r>
    </w:p>
    <w:p>
      <w:pPr>
        <w:spacing w:before="120" w:after="60"/>
      </w:pPr>
      <w:r>
        <w:rPr>
          <w:rFonts w:ascii="Times New Roman" w:hAnsi="Times New Roman" w:eastAsia="Times New Roman"/>
          <w:b/>
          <w:i w:val="0"/>
          <w:sz w:val="25"/>
        </w:rPr>
        <w:t>6.1. Нагревательный тракт, эжектор и режим потока</w:t>
      </w:r>
    </w:p>
    <w:p>
      <w:pPr>
        <w:spacing w:after="40" w:line="264" w:lineRule="auto"/>
        <w:ind w:firstLine="425"/>
      </w:pPr>
      <w:r>
        <w:rPr>
          <w:rFonts w:ascii="Times New Roman" w:hAnsi="Times New Roman" w:eastAsia="Times New Roman"/>
          <w:b w:val="0"/>
          <w:i w:val="0"/>
          <w:sz w:val="22"/>
        </w:rPr>
        <w:t>На входе в теплообменник перед эжектором свежая вода может иметь температуру порядка 30 градусов Цельсия, а насыщенная вода из аккумулятора — около 201 градуса Цельсия. В базовом варианте теплообменник с тепловой нагрузкой 31,5 киловатта нагревает рабочий поток до примерно 90 градусов Цельсия, а насыщенную воду из аккумулятора подохлаживает до примерно 180 градусов Цельсия. Благодаря этому эжектор работает устойчиво и не попадает в режим активного flash-кипения в приёмной зоне.</w:t>
      </w:r>
    </w:p>
    <w:p>
      <w:pPr>
        <w:spacing w:after="40" w:line="264" w:lineRule="auto"/>
        <w:ind w:firstLine="425"/>
      </w:pPr>
      <w:r>
        <w:rPr>
          <w:rFonts w:ascii="Times New Roman" w:hAnsi="Times New Roman" w:eastAsia="Times New Roman"/>
          <w:b w:val="0"/>
          <w:i w:val="0"/>
          <w:sz w:val="22"/>
        </w:rPr>
        <w:t>После эжектора смешанный поток с расходом около 1575 килограммов в час направляется в солнечное поле. Массовая скорость потока в трубе составляет порядка 455 килограммов на квадратный метр в секунду. По длине поля поток последовательно проходит экономайзерный участок, участок начала кипения, развитый кипящий участок и конечную зону высоких объёмных долей пара. На выходе из поля массовая сухость смеси составляет около 0,286. Это означает, что в массовом смысле поток остаётся достаточно мокрым для устойчивой сепарации в аккумуляторе, хотя объёмная доля пара уже очень велика.</w:t>
      </w:r>
    </w:p>
    <w:p>
      <w:pPr>
        <w:spacing w:after="40" w:line="264" w:lineRule="auto"/>
        <w:ind w:firstLine="425"/>
      </w:pPr>
      <w:r>
        <w:rPr>
          <w:rFonts w:ascii="Times New Roman" w:hAnsi="Times New Roman" w:eastAsia="Times New Roman"/>
          <w:b w:val="0"/>
          <w:i w:val="0"/>
          <w:sz w:val="22"/>
        </w:rPr>
        <w:t>Принципиально важно, что высокий коэффициент инжекции не должен трактоваться как попытка заполнить трубу водой. Реальная цель — обеспечить достаточную скорость жидкой фазы и устойчивое смачивание стенки. Для данной установки именно диапазон коэффициента инжекции 2,5–3,0 является инженерным компромиссом: ниже растёт риск локального dryout, выше слишком быстро растут гидравлические потери и требования к эжектору.</w:t>
      </w:r>
    </w:p>
    <w:p>
      <w:pPr>
        <w:spacing w:before="160" w:after="80"/>
      </w:pPr>
      <w:r>
        <w:rPr>
          <w:rFonts w:ascii="Times New Roman" w:hAnsi="Times New Roman" w:eastAsia="Times New Roman"/>
          <w:b/>
          <w:i w:val="0"/>
          <w:sz w:val="28"/>
        </w:rPr>
        <w:t>7. Аккумулятор-сепаратор как центральный узел комплекса</w:t>
      </w:r>
    </w:p>
    <w:p>
      <w:pPr>
        <w:spacing w:after="40" w:line="264" w:lineRule="auto"/>
        <w:ind w:firstLine="425"/>
      </w:pPr>
      <w:r>
        <w:rPr>
          <w:rFonts w:ascii="Times New Roman" w:hAnsi="Times New Roman" w:eastAsia="Times New Roman"/>
          <w:b w:val="0"/>
          <w:i w:val="0"/>
          <w:sz w:val="22"/>
        </w:rPr>
        <w:t>Аккумулятор-сепаратор — это не вспомогательная ёмкость, а центральный узел, который связывает солнечную генерацию пара и DFE-модуль в единую динамически устойчивую систему. Он одновременно выполняет пять функций: отделение влаги от выходной смеси солнечного поля; кратковременное сглаживание давления и расхода пара; тепловое аккумулирование в массе насыщенной воды; питание эжектора рециркуляционной водой; обеспечение тёплого утреннего пуска после ночного простоя.</w:t>
      </w:r>
    </w:p>
    <w:p>
      <w:pPr>
        <w:spacing w:after="40" w:line="264" w:lineRule="auto"/>
        <w:ind w:firstLine="425"/>
      </w:pPr>
      <w:r>
        <w:rPr>
          <w:rFonts w:ascii="Times New Roman" w:hAnsi="Times New Roman" w:eastAsia="Times New Roman"/>
          <w:b w:val="0"/>
          <w:i w:val="0"/>
          <w:sz w:val="22"/>
        </w:rPr>
        <w:t>Для рассматриваемой установки рекомендуем горизонтальный цилиндрический сосуд внутренним диаметром около 1,0 метра и общим внутренним объёмом 6 кубических метров. При рабочем уровне около 65 процентов это даёт примерно 3,9 кубического метра насыщенной воды и 2,1 кубического метра парового объёма. Внутри сосуда целесообразно предусмотреть тангенциальный или успокаивающий ввод смеси, каплеуловитель в верхней части, успокоитель уровня и вортексогаситель у нижнего патрубка рециркуляции.</w:t>
      </w:r>
    </w:p>
    <w:p>
      <w:pPr>
        <w:spacing w:after="40" w:line="264" w:lineRule="auto"/>
        <w:ind w:firstLine="425"/>
      </w:pPr>
      <w:r>
        <w:rPr>
          <w:rFonts w:ascii="Times New Roman" w:hAnsi="Times New Roman" w:eastAsia="Times New Roman"/>
          <w:b w:val="0"/>
          <w:i w:val="0"/>
          <w:sz w:val="22"/>
        </w:rPr>
        <w:t>Материал корпуса — котельная или сосудистая углеродистая сталь типа P235GH или аналогичного класса. Для повышения коррозионной стойкости внутренние элементы, контактирующие с насыщенной водой, желательно выполнять из нержавеющей стали. Номинальная толщина стенки для базового варианта порядка 12 миллиметров. Наружная теплоизоляция — минеральная вата толщиной 150 миллиметров под металлическим кожухом. Такой уровень изоляции обеспечивает тёплый старт: за 12 часов ночного простоя температура в аккумуляторе падает лишь на несколько кельвинов, а давление остаётся близким к рабочему.</w:t>
      </w:r>
    </w:p>
    <w:p>
      <w:pPr>
        <w:spacing w:after="40" w:line="264" w:lineRule="auto"/>
        <w:ind w:firstLine="425"/>
      </w:pPr>
      <w:r>
        <w:rPr>
          <w:rFonts w:ascii="Times New Roman" w:hAnsi="Times New Roman" w:eastAsia="Times New Roman"/>
          <w:b w:val="0"/>
          <w:i w:val="0"/>
          <w:sz w:val="22"/>
        </w:rPr>
        <w:t>С точки зрения динамики именно запас горячей насыщенной воды, а не объём сжатого пара, является главным источником устойчивости. При кратковременном падении притока солнечного тепла снижение давления вызывает мгновенное флеш-испарение части воды и поддерживает подачу пара на первую ступень. Благодаря этому кратковременные облака и проходящие возмущения в солнечном поле сначала поглощаются аккумулятором, а уже затем — тепловой инерцией самих ступеней DFE.</w:t>
      </w:r>
    </w:p>
    <w:p>
      <w:pPr>
        <w:spacing w:before="160" w:after="80"/>
      </w:pPr>
      <w:r>
        <w:rPr>
          <w:rFonts w:ascii="Times New Roman" w:hAnsi="Times New Roman" w:eastAsia="Times New Roman"/>
          <w:b/>
          <w:i w:val="0"/>
          <w:sz w:val="28"/>
        </w:rPr>
        <w:t>8. Пруд-испаритель как завершающее звено материального контура</w:t>
      </w:r>
    </w:p>
    <w:p>
      <w:pPr>
        <w:spacing w:after="40" w:line="264" w:lineRule="auto"/>
        <w:ind w:firstLine="425"/>
      </w:pPr>
      <w:r>
        <w:rPr>
          <w:rFonts w:ascii="Times New Roman" w:hAnsi="Times New Roman" w:eastAsia="Times New Roman"/>
          <w:b w:val="0"/>
          <w:i w:val="0"/>
          <w:sz w:val="22"/>
        </w:rPr>
        <w:t>Пруд-испаритель является конструктивно простым, но концептуально важным элементом всей технологии. После 10-ступенчатого DFE-модуля концентрат уже существенно обогащён солями по сравнению с исходной морской водой. Вместо прямого сброса такого потока в море или канализацию концентрат направляется в пруд-испаритель, где дальнейшее удаление воды происходит за счёт естественного или усиленного ветром и солнцем испарения.</w:t>
      </w:r>
    </w:p>
    <w:p>
      <w:pPr>
        <w:spacing w:after="40" w:line="264" w:lineRule="auto"/>
        <w:ind w:firstLine="425"/>
      </w:pPr>
      <w:r>
        <w:rPr>
          <w:rFonts w:ascii="Times New Roman" w:hAnsi="Times New Roman" w:eastAsia="Times New Roman"/>
          <w:b w:val="0"/>
          <w:i w:val="0"/>
          <w:sz w:val="22"/>
        </w:rPr>
        <w:t>Такое решение выполняет сразу несколько задач. Во-первых, оно разгружает выпарной модуль от необходимости доводить концентрат до предельных солесодержаний исключительно за счёт высокопотенциального тепла. Во-вторых, оно резко упрощает инфраструктуру размещения установки, потому что отпадает необходимость в постоянной линии отвода рассола на значительное расстояние. В-третьих, пруд-испаритель позволяет рассматривать технологию как шаг к локально замкнутым системам опреснения, где солнечное тепло используется по максимуму, а солевой остаток концентрируется в контролируемом и обслуживаемом узле.</w:t>
      </w:r>
    </w:p>
    <w:p>
      <w:pPr>
        <w:spacing w:after="40" w:line="264" w:lineRule="auto"/>
        <w:ind w:firstLine="425"/>
      </w:pPr>
      <w:r>
        <w:rPr>
          <w:rFonts w:ascii="Times New Roman" w:hAnsi="Times New Roman" w:eastAsia="Times New Roman"/>
          <w:b w:val="0"/>
          <w:i w:val="0"/>
          <w:sz w:val="22"/>
        </w:rPr>
        <w:t>В распределённых системах это имеет особенно большое значение. Для малых и средних площадок именно обращение с концентратом часто становится главным практическим барьером. Наличие простого и дешёвого испарительного узла превращает концентрат из системной проблемы в управляемый поток. При необходимости пруд может быть разбит на несколько карт, оснащён ветряным усилением испарения или адаптирован под сезонный режим работы.</w:t>
      </w:r>
    </w:p>
    <w:p>
      <w:pPr>
        <w:spacing w:before="160" w:after="80"/>
      </w:pPr>
      <w:r>
        <w:rPr>
          <w:rFonts w:ascii="Times New Roman" w:hAnsi="Times New Roman" w:eastAsia="Times New Roman"/>
          <w:b/>
          <w:i w:val="0"/>
          <w:sz w:val="28"/>
        </w:rPr>
        <w:t>9. Интеграция потоков, управление и переходные режимы</w:t>
      </w:r>
    </w:p>
    <w:p>
      <w:pPr>
        <w:spacing w:after="40" w:line="264" w:lineRule="auto"/>
        <w:ind w:firstLine="425"/>
      </w:pPr>
      <w:r>
        <w:rPr>
          <w:rFonts w:ascii="Times New Roman" w:hAnsi="Times New Roman" w:eastAsia="Times New Roman"/>
          <w:b w:val="0"/>
          <w:i w:val="0"/>
          <w:sz w:val="22"/>
        </w:rPr>
        <w:t>С точки зрения управления комплекс должен рассматриваться как каскад инерционных звеньев. Солнечное поле и эжектор реагируют быстро, аккумулятор-сепаратор — быстро и средне, а сами 10 ступеней выпарного модуля — медленно. Такое разнесение временных масштабов благоприятно для устойчивости. Быстрые провалы инсоляции вначале фильтруются аккумулятором и снижением солнечной генерации, а тепловая масса барабанов, раствора и корпусов ступеней сглаживает их на масштабе десятков минут.</w:t>
      </w:r>
    </w:p>
    <w:p>
      <w:pPr>
        <w:spacing w:after="40" w:line="264" w:lineRule="auto"/>
        <w:ind w:firstLine="425"/>
      </w:pPr>
      <w:r>
        <w:rPr>
          <w:rFonts w:ascii="Times New Roman" w:hAnsi="Times New Roman" w:eastAsia="Times New Roman"/>
          <w:b w:val="0"/>
          <w:i w:val="0"/>
          <w:sz w:val="22"/>
        </w:rPr>
        <w:t>Утренний пуск организуется в следующей логике. Ночью поле находится в расфокусированном положении, а теплоизолированный аккумулятор сохраняет тёплое состояние. Утром сначала запускается малый циркуляционный контур через теплообменник и эжектор, затем поле постепенно выводится в фокус. После восстановления давления в аккумуляторе до рабочего уровня открывается подача пара в первую ступень. Далее по мере прогрева ступеней включается полная рекуперация и установка переходит к номинальному режиму.</w:t>
      </w:r>
    </w:p>
    <w:p>
      <w:pPr>
        <w:spacing w:after="40" w:line="264" w:lineRule="auto"/>
        <w:ind w:firstLine="425"/>
      </w:pPr>
      <w:r>
        <w:rPr>
          <w:rFonts w:ascii="Times New Roman" w:hAnsi="Times New Roman" w:eastAsia="Times New Roman"/>
          <w:b w:val="0"/>
          <w:i w:val="0"/>
          <w:sz w:val="22"/>
        </w:rPr>
        <w:t>При штатной остановке зеркала выводятся из фокуса, расход свежей воды уменьшается, а остаточная энергия системы дожигается в самой батарее. При резком росте давления в аккумуляторе избыточный пар не теряется в атмосферу сразу, а может быть перепущен на вторую ступень через регулирующий байпас. Только аварийный избыток давления должен снимать предохранительный клапан. Эта логика особенно ценна для солнечной установки, потому что она позволяет утилизировать даже временно избыточное солнечное тепло, а не просто рассеивать его.</w:t>
      </w:r>
    </w:p>
    <w:p>
      <w:pPr>
        <w:spacing w:after="40" w:line="264" w:lineRule="auto"/>
        <w:ind w:firstLine="425"/>
      </w:pPr>
      <w:r>
        <w:rPr>
          <w:rFonts w:ascii="Times New Roman" w:hAnsi="Times New Roman" w:eastAsia="Times New Roman"/>
          <w:b w:val="0"/>
          <w:i w:val="0"/>
          <w:sz w:val="22"/>
        </w:rPr>
        <w:t>Кратковременные облака для такой архитектуры не опасны с точки зрения работоспособности. Если солнечный поток снижается, выработка пара падает, но это не приводит к мгновенному срыву плёночного режима во всех ступенях. Наоборот, сначала уменьшается производительность, а не устойчивость. Именно это и требуется от распределённой системы: пусть она выдаёт меньше номинала, но сохраняет физическую реализуемость процесса, отсутствие неуправляемых гидроударов, приемлемые уровни концентрации и возможность быстрого возврата к норме после восстановления солнца.</w:t>
      </w:r>
    </w:p>
    <w:p>
      <w:pPr>
        <w:spacing w:before="160" w:after="80"/>
      </w:pPr>
      <w:r>
        <w:rPr>
          <w:rFonts w:ascii="Times New Roman" w:hAnsi="Times New Roman" w:eastAsia="Times New Roman"/>
          <w:b/>
          <w:i w:val="0"/>
          <w:sz w:val="28"/>
        </w:rPr>
        <w:t>10. Почему именно такая связка важна для распределённых систем опреснения</w:t>
      </w:r>
    </w:p>
    <w:p>
      <w:pPr>
        <w:spacing w:after="40" w:line="264" w:lineRule="auto"/>
        <w:ind w:firstLine="425"/>
      </w:pPr>
      <w:r>
        <w:rPr>
          <w:rFonts w:ascii="Times New Roman" w:hAnsi="Times New Roman" w:eastAsia="Times New Roman"/>
          <w:b w:val="0"/>
          <w:i w:val="0"/>
          <w:sz w:val="22"/>
        </w:rPr>
        <w:t>Продвижение распределённых систем опреснения упирается не только в цену кубического метра воды, но и в общий уровень конструктивной сложности, локализуемость оборудования, отношение к концентрату и устойчивость к реальным погодным условиям. Рассматриваемая связка отвечает этим требованиям лучше, чем традиционные решения, ориентированные на централизованную инфраструктуру.</w:t>
      </w:r>
    </w:p>
    <w:p>
      <w:pPr>
        <w:spacing w:after="40" w:line="264" w:lineRule="auto"/>
        <w:ind w:firstLine="425"/>
      </w:pPr>
      <w:r>
        <w:rPr>
          <w:rFonts w:ascii="Times New Roman" w:hAnsi="Times New Roman" w:eastAsia="Times New Roman"/>
          <w:b w:val="0"/>
          <w:i w:val="0"/>
          <w:sz w:val="22"/>
        </w:rPr>
        <w:t>Во-первых, солнечная генерация пара выполнена по схеме, которую можно собирать из серийных параболических модулей, стальных труб, стеклянных оболочек и обычной сосудистой аппаратуры без сложного промежуточного теплоносителя. Во-вторых, выпарной блок построен как повторяемый каскад из однотипных ступеней, где масштабирование возможно числом ступеней, числом барабанов и площадью солнечного поля. В-третьих, наличие испарительного пруда снимает одно из главных ограничений малых установок — дорогой и организационно сложный сброс рассола.</w:t>
      </w:r>
    </w:p>
    <w:p>
      <w:pPr>
        <w:spacing w:after="40" w:line="264" w:lineRule="auto"/>
        <w:ind w:firstLine="425"/>
      </w:pPr>
      <w:r>
        <w:rPr>
          <w:rFonts w:ascii="Times New Roman" w:hAnsi="Times New Roman" w:eastAsia="Times New Roman"/>
          <w:b w:val="0"/>
          <w:i w:val="0"/>
          <w:sz w:val="22"/>
        </w:rPr>
        <w:t>В результате технология превращается в платформу для децентрализованного опреснения: солнечное поле поставляет высокопотенциальное тепло, DFE-модуль многократно использует его по каскаду, а пруд-испаритель завершает путь концентрата с минимально сложной инфраструктурой. Именно такая архитектура особенно перспективна для удалённых посёлков, фермерских кластеров, береговых производственных площадок, островных объектов и промышленных систем с ограниченным доступом к топливу.</w:t>
      </w:r>
    </w:p>
    <w:p>
      <w:pPr>
        <w:spacing w:after="40" w:line="264" w:lineRule="auto"/>
        <w:ind w:firstLine="425"/>
      </w:pPr>
      <w:r>
        <w:rPr>
          <w:rFonts w:ascii="Times New Roman" w:hAnsi="Times New Roman" w:eastAsia="Times New Roman"/>
          <w:b w:val="0"/>
          <w:i w:val="0"/>
          <w:sz w:val="22"/>
        </w:rPr>
        <w:t>Для продвижения технологии важно также, что комплекс допускает поэтапное внедрение. На первом этапе можно использовать саму 10-ступенчатую выпарную батарею от внешнего источника пара. На втором — подключить солнечное поле и аккумулятор. На третьем — замкнуть контур концентрата через испарительный пруд. Такая ступенчатая внедряемость снижает инвестиционный барьер и делает технологию понятной для пилотных проектов.</w:t>
      </w:r>
    </w:p>
    <w:p>
      <w:pPr>
        <w:spacing w:before="160" w:after="80"/>
      </w:pPr>
      <w:r>
        <w:rPr>
          <w:rFonts w:ascii="Times New Roman" w:hAnsi="Times New Roman" w:eastAsia="Times New Roman"/>
          <w:b/>
          <w:i w:val="0"/>
          <w:sz w:val="28"/>
        </w:rPr>
        <w:t>11. Итоговая рекомендуемая конфигурация</w:t>
      </w:r>
    </w:p>
    <w:p>
      <w:pPr>
        <w:spacing w:after="40" w:line="264" w:lineRule="auto"/>
        <w:ind w:firstLine="425"/>
      </w:pPr>
      <w:r>
        <w:rPr>
          <w:rFonts w:ascii="Times New Roman" w:hAnsi="Times New Roman" w:eastAsia="Times New Roman"/>
          <w:b w:val="0"/>
          <w:i w:val="0"/>
          <w:sz w:val="22"/>
        </w:rPr>
        <w:t>Для рассматриваемой установки рекомендуем считать базовой следующую конфигурацию: солнечное поле прямой генерации пара с двумя параболическими рядами общей апертурой около 1450 квадратных метров; насыщенный пар 1,6 мегапаскаля и 450 килограмм в час; эжекторная рециркуляция с коэффициентом инжекции 2,5; теплообменник перед эжектором с нагрузкой 31,5 киловатта; теплоизолированный аккумулятор-сепаратор объёмом 6 кубических метров; DFE-модуль из 10 однотипных барабанных ступеней с параллельной подачей раствора и каскадом по пару; конечный пруд-испаритель для концентрата.</w:t>
      </w:r>
    </w:p>
    <w:p>
      <w:pPr>
        <w:spacing w:after="40" w:line="264" w:lineRule="auto"/>
        <w:ind w:firstLine="425"/>
      </w:pPr>
      <w:r>
        <w:rPr>
          <w:rFonts w:ascii="Times New Roman" w:hAnsi="Times New Roman" w:eastAsia="Times New Roman"/>
          <w:b w:val="0"/>
          <w:i w:val="0"/>
          <w:sz w:val="22"/>
        </w:rPr>
        <w:t>Именно такая конфигурация сегодня выглядит наиболее сбалансированной по критериям технологической простоты, тепловой эффективности, динамической устойчивости и пригодности для распределённых солнечных систем опреснения. Она не требует абсолютной безынерционности или постоянного номинального солнца, но сохраняет работоспособность в реальных переходных режимах и допускает масштабирование от пилотных до полупромышленных площадок.</w:t>
      </w:r>
    </w:p>
    <w:p>
      <w:pPr>
        <w:spacing w:before="160" w:after="80"/>
      </w:pPr>
      <w:r>
        <w:rPr>
          <w:rFonts w:ascii="Times New Roman" w:hAnsi="Times New Roman" w:eastAsia="Times New Roman"/>
          <w:b/>
          <w:i w:val="0"/>
          <w:sz w:val="28"/>
        </w:rPr>
        <w:t>12. Заключение</w:t>
      </w:r>
    </w:p>
    <w:p>
      <w:pPr>
        <w:spacing w:after="40" w:line="264" w:lineRule="auto"/>
        <w:ind w:firstLine="425"/>
      </w:pPr>
      <w:r>
        <w:rPr>
          <w:rFonts w:ascii="Times New Roman" w:hAnsi="Times New Roman" w:eastAsia="Times New Roman"/>
          <w:b w:val="0"/>
          <w:i w:val="0"/>
          <w:sz w:val="22"/>
        </w:rPr>
        <w:t>С инженерной точки зрения 10-ступенчатая выпарная установка должна рассматриваться не изолированно, а как часть интегрированного тепломассообменного комплекса. Только в связке с солнечной генерацией пара, аккумулятором-сепаратором и прудом-испарителем она раскрывает свои ключевые преимущества: высокое использование единицы тепла, устойчивость к колебаниям источника энергии, модульность, управляемое обращение с концентратом и пригодность для распределённого внедрения.</w:t>
      </w:r>
    </w:p>
    <w:p>
      <w:pPr>
        <w:spacing w:after="40" w:line="264" w:lineRule="auto"/>
        <w:ind w:firstLine="425"/>
      </w:pPr>
      <w:r>
        <w:rPr>
          <w:rFonts w:ascii="Times New Roman" w:hAnsi="Times New Roman" w:eastAsia="Times New Roman"/>
          <w:b w:val="0"/>
          <w:i w:val="0"/>
          <w:sz w:val="22"/>
        </w:rPr>
        <w:t>Поэтому для продвижения технологии следует подчёркивать не отдельные элементы, а именно системную целостность решения. Солнечное поле задаёт верхний тепловой уровень, аккумулятор и эжектор обеспечивают устойчивость и динамическую увязку, выпарной модуль превращает тепловой потенциал в дистиллят с многократным использованием тепла, а пруд-испаритель завершает материальный цикл концентрата. В совокупности это формирует архитектуру, которая может стать основой новой линейки распределённых систем опреснения для солнечных регионов.</w:t>
      </w:r>
    </w:p>
    <w:p>
      <w:r>
        <w:br w:type="page"/>
      </w:r>
    </w:p>
    <w:p>
      <w:pPr>
        <w:spacing w:before="160" w:after="80"/>
      </w:pPr>
      <w:r>
        <w:rPr>
          <w:rFonts w:ascii="Times New Roman" w:hAnsi="Times New Roman" w:eastAsia="Times New Roman"/>
          <w:b/>
          <w:i w:val="0"/>
          <w:sz w:val="28"/>
        </w:rPr>
        <w:t>Приложение А. Концептуальная последовательность потоков</w:t>
      </w:r>
    </w:p>
    <w:p>
      <w:pPr>
        <w:spacing w:after="40" w:line="264" w:lineRule="auto"/>
        <w:ind w:firstLine="425"/>
      </w:pPr>
      <w:r>
        <w:rPr>
          <w:rFonts w:ascii="Times New Roman" w:hAnsi="Times New Roman" w:eastAsia="Times New Roman"/>
          <w:b w:val="0"/>
          <w:i w:val="0"/>
          <w:sz w:val="22"/>
        </w:rPr>
        <w:t>1) Подготовленная свежая вода подаётся в теплообменник перед эжектором. 2) Из аккумулятора-сепаратора на эжектор подаётся насыщенная вода. 3) После теплообменника и эжектора смешанный поток направляется в солнечное поле. 4) В коллекторном поле происходит нагрев, начало кипения и частичное испарение. 5) Параводяная смесь поступает в аккумулятор-сепаратор. 6) Насыщенный пар из верхней части аккумулятора подаётся в рубашку первой ступени DFE. 7) Насыщенная вода из нижней части аккумулятора возвращается на эжектор. 8) Вторичный пар ступеней каскадно используется в последующих ступенях. 9) Дистиллят отводится как продукт. 10) Концентрат после выпарного модуля поступает в пруд-испаритель.</w:t>
      </w:r>
    </w:p>
    <w:p>
      <w:pPr>
        <w:spacing w:before="160" w:after="80"/>
      </w:pPr>
      <w:r>
        <w:rPr>
          <w:rFonts w:ascii="Times New Roman" w:hAnsi="Times New Roman" w:eastAsia="Times New Roman"/>
          <w:b/>
          <w:i w:val="0"/>
          <w:sz w:val="28"/>
        </w:rPr>
        <w:t>Приложение Б. Что важно показать в презентациях и заявках</w:t>
      </w:r>
    </w:p>
    <w:p>
      <w:pPr>
        <w:spacing w:after="40" w:line="264" w:lineRule="auto"/>
        <w:ind w:firstLine="425"/>
      </w:pPr>
      <w:r>
        <w:rPr>
          <w:rFonts w:ascii="Times New Roman" w:hAnsi="Times New Roman" w:eastAsia="Times New Roman"/>
          <w:b w:val="0"/>
          <w:i w:val="0"/>
          <w:sz w:val="22"/>
        </w:rPr>
        <w:t>При продвижении технологии в конкурсах, заявках и переговорах рекомендуется акцентировать четыре тезиса. Первый: установка не требует дорогого топлива и опирается на прямое использование солнечного тепла. Второй: многоступенчатый DFE-модуль многократно использует одно и то же тепло, то есть работает не как одноступенчатый испаритель, а как каскад эффективного использования энергии. Третий: аккумулятор и эжектор делают систему пригодной для реального солнца, а не только для идеальной стационарной мощности. Четвёртый: пруд-испаритель превращает концентрат в управляемый локальный поток и делает технологию применимой в распределённом формате.</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