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ru-RU"/>
        </w:rPr>
        <w:t>ОТЧЁТНЫЙ РАЗДЕЛ</w:t>
        <w:br/>
      </w:r>
      <w:r>
        <w:rPr>
          <w:rFonts w:ascii="Times New Roman" w:hAnsi="Times New Roman"/>
          <w:b/>
          <w:sz w:val="30"/>
          <w:lang w:val="ru-RU"/>
        </w:rPr>
        <w:t>Подробное описание конструкции барабанного плёночного испарителя DFE</w:t>
      </w:r>
    </w:p>
    <w:p>
      <w:pPr>
        <w:jc w:val="center"/>
      </w:pPr>
      <w:r>
        <w:rPr>
          <w:rFonts w:ascii="Times New Roman" w:hAnsi="Times New Roman"/>
          <w:i/>
          <w:sz w:val="24"/>
          <w:lang w:val="ru-RU"/>
        </w:rPr>
        <w:t>для включения в публикацию, отчёт или технико-концептуальное обоснование</w:t>
      </w:r>
    </w:p>
    <w:p>
      <w:pPr>
        <w:spacing w:after="60" w:line="276" w:lineRule="auto"/>
        <w:ind w:firstLine="0"/>
        <w:jc w:val="both"/>
      </w:pPr>
      <w:r>
        <w:rPr>
          <w:lang w:val="ru-RU"/>
        </w:rPr>
        <w:t>Настоящий раздел содержит цельное и технологически связное описание конструкции барабанного плёночного испарителя DFE и предназначен для использования в публикации или инженерном отчёте без необходимости дополнительных пояснений по принципу работы аппарата, его механическому устройству, изготовлению, монтажу, обслуживанию и обеспечению надёжности.</w:t>
      </w:r>
    </w:p>
    <w:p>
      <w:pPr>
        <w:pStyle w:val="Heading1"/>
        <w:jc w:val="left"/>
      </w:pPr>
      <w:r>
        <w:rPr>
          <w:lang w:val="ru-RU"/>
        </w:rPr>
        <w:t>1. Назначение аппарата и базовые проектные параметры</w:t>
      </w:r>
    </w:p>
    <w:tbl>
      <w:tblPr>
        <w:tblStyle w:val="TableGrid"/>
        <w:tblW w:type="auto" w:w="0"/>
        <w:tblLook w:firstColumn="1" w:firstRow="1" w:lastColumn="0" w:lastRow="0" w:noHBand="0" w:noVBand="1" w:val="04A0"/>
      </w:tblPr>
      <w:tblGrid>
        <w:gridCol w:w="4901"/>
        <w:gridCol w:w="4901"/>
      </w:tblGrid>
      <w:tr>
        <w:tc>
          <w:tcPr>
            <w:tcW w:type="dxa" w:w="4901"/>
          </w:tcPr>
          <w:p>
            <w:pPr>
              <w:jc w:val="center"/>
            </w:pPr>
            <w:r>
              <w:rPr>
                <w:rFonts w:ascii="Times New Roman" w:hAnsi="Times New Roman"/>
                <w:b/>
                <w:sz w:val="22"/>
                <w:lang w:val="ru-RU"/>
              </w:rPr>
              <w:t>Параметр</w:t>
            </w:r>
          </w:p>
        </w:tc>
        <w:tc>
          <w:tcPr>
            <w:tcW w:type="dxa" w:w="4901"/>
          </w:tcPr>
          <w:p>
            <w:pPr>
              <w:jc w:val="center"/>
            </w:pPr>
            <w:r>
              <w:rPr>
                <w:rFonts w:ascii="Times New Roman" w:hAnsi="Times New Roman"/>
                <w:b/>
                <w:sz w:val="22"/>
                <w:lang w:val="ru-RU"/>
              </w:rPr>
              <w:t>Базовое значение</w:t>
            </w:r>
          </w:p>
        </w:tc>
      </w:tr>
      <w:tr>
        <w:tc>
          <w:tcPr>
            <w:tcW w:type="dxa" w:w="4901"/>
          </w:tcPr>
          <w:p>
            <w:pPr>
              <w:jc w:val="left"/>
            </w:pPr>
            <w:r>
              <w:rPr>
                <w:rFonts w:ascii="Times New Roman" w:hAnsi="Times New Roman"/>
                <w:sz w:val="21"/>
                <w:lang w:val="ru-RU"/>
              </w:rPr>
              <w:t>Тип аппарата</w:t>
            </w:r>
          </w:p>
        </w:tc>
        <w:tc>
          <w:tcPr>
            <w:tcW w:type="dxa" w:w="4901"/>
          </w:tcPr>
          <w:p>
            <w:pPr>
              <w:jc w:val="left"/>
            </w:pPr>
            <w:r>
              <w:rPr>
                <w:rFonts w:ascii="Times New Roman" w:hAnsi="Times New Roman"/>
                <w:sz w:val="21"/>
                <w:lang w:val="ru-RU"/>
              </w:rPr>
              <w:t>Горизонтальный барабанный плёночный испаритель непрерывного действия</w:t>
            </w:r>
          </w:p>
        </w:tc>
      </w:tr>
      <w:tr>
        <w:tc>
          <w:tcPr>
            <w:tcW w:type="dxa" w:w="4901"/>
          </w:tcPr>
          <w:p>
            <w:pPr>
              <w:jc w:val="left"/>
            </w:pPr>
            <w:r>
              <w:rPr>
                <w:rFonts w:ascii="Times New Roman" w:hAnsi="Times New Roman"/>
                <w:sz w:val="21"/>
                <w:lang w:val="ru-RU"/>
              </w:rPr>
              <w:t>Назначение</w:t>
            </w:r>
          </w:p>
        </w:tc>
        <w:tc>
          <w:tcPr>
            <w:tcW w:type="dxa" w:w="4901"/>
          </w:tcPr>
          <w:p>
            <w:pPr>
              <w:jc w:val="left"/>
            </w:pPr>
            <w:r>
              <w:rPr>
                <w:rFonts w:ascii="Times New Roman" w:hAnsi="Times New Roman"/>
                <w:sz w:val="21"/>
                <w:lang w:val="ru-RU"/>
              </w:rPr>
              <w:t>Концентрирование накипеобразующих растворов, морской воды, промышленных стоков и иных сложных сред</w:t>
            </w:r>
          </w:p>
        </w:tc>
      </w:tr>
      <w:tr>
        <w:tc>
          <w:tcPr>
            <w:tcW w:type="dxa" w:w="4901"/>
          </w:tcPr>
          <w:p>
            <w:pPr>
              <w:jc w:val="left"/>
            </w:pPr>
            <w:r>
              <w:rPr>
                <w:rFonts w:ascii="Times New Roman" w:hAnsi="Times New Roman"/>
                <w:sz w:val="21"/>
                <w:lang w:val="ru-RU"/>
              </w:rPr>
              <w:t>Длина барабана</w:t>
            </w:r>
          </w:p>
        </w:tc>
        <w:tc>
          <w:tcPr>
            <w:tcW w:type="dxa" w:w="4901"/>
          </w:tcPr>
          <w:p>
            <w:pPr>
              <w:jc w:val="left"/>
            </w:pPr>
            <w:r>
              <w:rPr>
                <w:rFonts w:ascii="Times New Roman" w:hAnsi="Times New Roman"/>
                <w:sz w:val="21"/>
                <w:lang w:val="ru-RU"/>
              </w:rPr>
              <w:t>20 м</w:t>
            </w:r>
          </w:p>
        </w:tc>
      </w:tr>
      <w:tr>
        <w:tc>
          <w:tcPr>
            <w:tcW w:type="dxa" w:w="4901"/>
          </w:tcPr>
          <w:p>
            <w:pPr>
              <w:jc w:val="left"/>
            </w:pPr>
            <w:r>
              <w:rPr>
                <w:rFonts w:ascii="Times New Roman" w:hAnsi="Times New Roman"/>
                <w:sz w:val="21"/>
                <w:lang w:val="ru-RU"/>
              </w:rPr>
              <w:t>Внутренний диаметр барабана</w:t>
            </w:r>
          </w:p>
        </w:tc>
        <w:tc>
          <w:tcPr>
            <w:tcW w:type="dxa" w:w="4901"/>
          </w:tcPr>
          <w:p>
            <w:pPr>
              <w:jc w:val="left"/>
            </w:pPr>
            <w:r>
              <w:rPr>
                <w:rFonts w:ascii="Times New Roman" w:hAnsi="Times New Roman"/>
                <w:sz w:val="21"/>
                <w:lang w:val="ru-RU"/>
              </w:rPr>
              <w:t>0,8 м</w:t>
            </w:r>
          </w:p>
        </w:tc>
      </w:tr>
      <w:tr>
        <w:tc>
          <w:tcPr>
            <w:tcW w:type="dxa" w:w="4901"/>
          </w:tcPr>
          <w:p>
            <w:pPr>
              <w:jc w:val="left"/>
            </w:pPr>
            <w:r>
              <w:rPr>
                <w:rFonts w:ascii="Times New Roman" w:hAnsi="Times New Roman"/>
                <w:sz w:val="21"/>
                <w:lang w:val="ru-RU"/>
              </w:rPr>
              <w:t>Толщина стенки барабана</w:t>
            </w:r>
          </w:p>
        </w:tc>
        <w:tc>
          <w:tcPr>
            <w:tcW w:type="dxa" w:w="4901"/>
          </w:tcPr>
          <w:p>
            <w:pPr>
              <w:jc w:val="left"/>
            </w:pPr>
            <w:r>
              <w:rPr>
                <w:rFonts w:ascii="Times New Roman" w:hAnsi="Times New Roman"/>
                <w:sz w:val="21"/>
                <w:lang w:val="ru-RU"/>
              </w:rPr>
              <w:t>3,5 мм</w:t>
            </w:r>
          </w:p>
        </w:tc>
      </w:tr>
      <w:tr>
        <w:tc>
          <w:tcPr>
            <w:tcW w:type="dxa" w:w="4901"/>
          </w:tcPr>
          <w:p>
            <w:pPr>
              <w:jc w:val="left"/>
            </w:pPr>
            <w:r>
              <w:rPr>
                <w:rFonts w:ascii="Times New Roman" w:hAnsi="Times New Roman"/>
                <w:sz w:val="21"/>
                <w:lang w:val="ru-RU"/>
              </w:rPr>
              <w:t>Материал барабана</w:t>
            </w:r>
          </w:p>
        </w:tc>
        <w:tc>
          <w:tcPr>
            <w:tcW w:type="dxa" w:w="4901"/>
          </w:tcPr>
          <w:p>
            <w:pPr>
              <w:jc w:val="left"/>
            </w:pPr>
            <w:r>
              <w:rPr>
                <w:rFonts w:ascii="Times New Roman" w:hAnsi="Times New Roman"/>
                <w:sz w:val="21"/>
                <w:lang w:val="ru-RU"/>
              </w:rPr>
              <w:t>AISI 316L</w:t>
            </w:r>
          </w:p>
        </w:tc>
      </w:tr>
      <w:tr>
        <w:tc>
          <w:tcPr>
            <w:tcW w:type="dxa" w:w="4901"/>
          </w:tcPr>
          <w:p>
            <w:pPr>
              <w:jc w:val="left"/>
            </w:pPr>
            <w:r>
              <w:rPr>
                <w:rFonts w:ascii="Times New Roman" w:hAnsi="Times New Roman"/>
                <w:sz w:val="21"/>
                <w:lang w:val="ru-RU"/>
              </w:rPr>
              <w:t>Рабочая среда снаружи</w:t>
            </w:r>
          </w:p>
        </w:tc>
        <w:tc>
          <w:tcPr>
            <w:tcW w:type="dxa" w:w="4901"/>
          </w:tcPr>
          <w:p>
            <w:pPr>
              <w:jc w:val="left"/>
            </w:pPr>
            <w:r>
              <w:rPr>
                <w:rFonts w:ascii="Times New Roman" w:hAnsi="Times New Roman"/>
                <w:sz w:val="21"/>
                <w:lang w:val="ru-RU"/>
              </w:rPr>
              <w:t>Чистый водяной пар</w:t>
            </w:r>
          </w:p>
        </w:tc>
      </w:tr>
      <w:tr>
        <w:tc>
          <w:tcPr>
            <w:tcW w:type="dxa" w:w="4901"/>
          </w:tcPr>
          <w:p>
            <w:pPr>
              <w:jc w:val="left"/>
            </w:pPr>
            <w:r>
              <w:rPr>
                <w:rFonts w:ascii="Times New Roman" w:hAnsi="Times New Roman"/>
                <w:sz w:val="21"/>
                <w:lang w:val="ru-RU"/>
              </w:rPr>
              <w:t>Рабочая температура греющей среды</w:t>
            </w:r>
          </w:p>
        </w:tc>
        <w:tc>
          <w:tcPr>
            <w:tcW w:type="dxa" w:w="4901"/>
          </w:tcPr>
          <w:p>
            <w:pPr>
              <w:jc w:val="left"/>
            </w:pPr>
            <w:r>
              <w:rPr>
                <w:rFonts w:ascii="Times New Roman" w:hAnsi="Times New Roman"/>
                <w:sz w:val="21"/>
                <w:lang w:val="ru-RU"/>
              </w:rPr>
              <w:t>До 160 °C в базовом модуле</w:t>
            </w:r>
          </w:p>
        </w:tc>
      </w:tr>
      <w:tr>
        <w:tc>
          <w:tcPr>
            <w:tcW w:type="dxa" w:w="4901"/>
          </w:tcPr>
          <w:p>
            <w:pPr>
              <w:jc w:val="left"/>
            </w:pPr>
            <w:r>
              <w:rPr>
                <w:rFonts w:ascii="Times New Roman" w:hAnsi="Times New Roman"/>
                <w:sz w:val="21"/>
                <w:lang w:val="ru-RU"/>
              </w:rPr>
              <w:t>Частота вращения барабана</w:t>
            </w:r>
          </w:p>
        </w:tc>
        <w:tc>
          <w:tcPr>
            <w:tcW w:type="dxa" w:w="4901"/>
          </w:tcPr>
          <w:p>
            <w:pPr>
              <w:jc w:val="left"/>
            </w:pPr>
            <w:r>
              <w:rPr>
                <w:rFonts w:ascii="Times New Roman" w:hAnsi="Times New Roman"/>
                <w:sz w:val="21"/>
                <w:lang w:val="ru-RU"/>
              </w:rPr>
              <w:t>1–8 об/мин, регулируемая</w:t>
            </w:r>
          </w:p>
        </w:tc>
      </w:tr>
      <w:tr>
        <w:tc>
          <w:tcPr>
            <w:tcW w:type="dxa" w:w="4901"/>
          </w:tcPr>
          <w:p>
            <w:pPr>
              <w:jc w:val="left"/>
            </w:pPr>
            <w:r>
              <w:rPr>
                <w:rFonts w:ascii="Times New Roman" w:hAnsi="Times New Roman"/>
                <w:sz w:val="21"/>
                <w:lang w:val="ru-RU"/>
              </w:rPr>
              <w:t>Число опорных колец</w:t>
            </w:r>
          </w:p>
        </w:tc>
        <w:tc>
          <w:tcPr>
            <w:tcW w:type="dxa" w:w="4901"/>
          </w:tcPr>
          <w:p>
            <w:pPr>
              <w:jc w:val="left"/>
            </w:pPr>
            <w:r>
              <w:rPr>
                <w:rFonts w:ascii="Times New Roman" w:hAnsi="Times New Roman"/>
                <w:sz w:val="21"/>
                <w:lang w:val="ru-RU"/>
              </w:rPr>
              <w:t>14</w:t>
            </w:r>
          </w:p>
        </w:tc>
      </w:tr>
      <w:tr>
        <w:tc>
          <w:tcPr>
            <w:tcW w:type="dxa" w:w="4901"/>
          </w:tcPr>
          <w:p>
            <w:pPr>
              <w:jc w:val="left"/>
            </w:pPr>
            <w:r>
              <w:rPr>
                <w:rFonts w:ascii="Times New Roman" w:hAnsi="Times New Roman"/>
                <w:sz w:val="21"/>
                <w:lang w:val="ru-RU"/>
              </w:rPr>
              <w:t>Основной принцип самоочистки</w:t>
            </w:r>
          </w:p>
        </w:tc>
        <w:tc>
          <w:tcPr>
            <w:tcW w:type="dxa" w:w="4901"/>
          </w:tcPr>
          <w:p>
            <w:pPr>
              <w:jc w:val="left"/>
            </w:pPr>
            <w:r>
              <w:rPr>
                <w:rFonts w:ascii="Times New Roman" w:hAnsi="Times New Roman"/>
                <w:sz w:val="21"/>
                <w:lang w:val="ru-RU"/>
              </w:rPr>
              <w:t>Свободно перекатывающийся спиральный очистной узел с утяжелённым стержнем</w:t>
            </w:r>
          </w:p>
        </w:tc>
      </w:tr>
    </w:tbl>
    <w:p>
      <w:pPr>
        <w:spacing w:after="60" w:line="276" w:lineRule="auto"/>
        <w:ind w:firstLine="709"/>
        <w:jc w:val="both"/>
      </w:pPr>
      <w:r>
        <w:rPr>
          <w:lang w:val="ru-RU"/>
        </w:rPr>
        <w:t>DFE предназначен для работы в тех случаях, когда классические выпарные аппараты быстро теряют теплопередачу из-за образования солевых отложений и не обеспечивают длительной непрерывной работы без остановок на промывку. Конструктивная логика DFE основана на том, что тонкая жидкая плёнка формируется на внутренней поверхности вращающегося барабана, а возникающие отложения удаляются не эпизодически, а непрерывно, прямо в процессе выпаривания.</w:t>
      </w:r>
    </w:p>
    <w:p>
      <w:pPr>
        <w:spacing w:after="60" w:line="276" w:lineRule="auto"/>
        <w:ind w:firstLine="709"/>
        <w:jc w:val="both"/>
      </w:pPr>
      <w:r>
        <w:rPr>
          <w:lang w:val="ru-RU"/>
        </w:rPr>
        <w:t>Такой подход делает аппарат особенно ценным для распределённых и модульных систем, где важны не только высокий тепловой КПД, но и простота обслуживания, возможность локального ремонта и устойчивость работы на нестабильных, загрязнённых или склонных к кристаллизации средах.</w:t>
      </w:r>
    </w:p>
    <w:p>
      <w:pPr>
        <w:pStyle w:val="Heading1"/>
      </w:pPr>
      <w:r>
        <w:rPr>
          <w:lang w:val="ru-RU"/>
        </w:rPr>
        <w:t>2. Принцип действия и технологическая логика работы DFE</w:t>
      </w:r>
    </w:p>
    <w:p>
      <w:pPr>
        <w:spacing w:after="60" w:line="276" w:lineRule="auto"/>
        <w:ind w:firstLine="709"/>
        <w:jc w:val="both"/>
      </w:pPr>
      <w:r>
        <w:rPr>
          <w:lang w:val="ru-RU"/>
        </w:rPr>
        <w:t>Внутри барабана поддерживается сравнительно небольшой уровень исходного раствора. При вращении часть жидкости поднимается стенкой барабана вверх и затем стекает вниз, формируя на внутренней поверхности сплошную тонкую плёнку. Снаружи барабан окружён неподвижной паровой рубашкой, в которую подаётся греющий водяной пар. Пар конденсируется на наружной поверхности барабана и передаёт теплоту через металлическую стенку внутрь аппарата.</w:t>
      </w:r>
    </w:p>
    <w:p>
      <w:pPr>
        <w:spacing w:after="60" w:line="276" w:lineRule="auto"/>
        <w:ind w:firstLine="709"/>
        <w:jc w:val="both"/>
      </w:pPr>
      <w:r>
        <w:rPr>
          <w:lang w:val="ru-RU"/>
        </w:rPr>
        <w:t>Внутри плёнки происходит интенсивное испарение растворителя. Вторичный пар удаляется через осевой патрубок. По мере выпаривания жидкость концентрируется, и из неё начинают выделяться соли или твёрдые включения. В отличие от обычных выпарных аппаратов, здесь эти отложения не успевают сформировать устойчивую накипь: они непрерывно снимаются внутренним очистным узлом. Одновременно этот же узел перемещает сгущённый концентрат вдоль барабана к разгрузочному торцу.</w:t>
      </w:r>
    </w:p>
    <w:p>
      <w:pPr>
        <w:spacing w:after="60" w:line="276" w:lineRule="auto"/>
        <w:ind w:firstLine="709"/>
        <w:jc w:val="both"/>
      </w:pPr>
      <w:r>
        <w:rPr>
          <w:lang w:val="ru-RU"/>
        </w:rPr>
        <w:t>Таким образом, DFE объединяет четыре процесса в одном механически простом аппарате: подвод тепла через наружную рубашку, формирование тонкой жидкой плёнки, механическую самоочистку внутренней поверхности и транспортировку концентрата к узлу выгрузки. Именно такая интеграция делает аппарат пригодным для тяжёлых сред и длительной непрерывной эксплуатации.</w:t>
      </w:r>
    </w:p>
    <w:p>
      <w:pPr>
        <w:pStyle w:val="Heading1"/>
      </w:pPr>
      <w:r>
        <w:rPr>
          <w:lang w:val="ru-RU"/>
        </w:rPr>
        <w:t>3. Конструкция основных узлов</w:t>
      </w:r>
    </w:p>
    <w:p>
      <w:pPr>
        <w:pStyle w:val="Heading2"/>
      </w:pPr>
      <w:r>
        <w:rPr>
          <w:lang w:val="ru-RU"/>
        </w:rPr>
        <w:t>3.1. Вращающийся барабан как теплообменная и несущая оболочка</w:t>
      </w:r>
    </w:p>
    <w:p>
      <w:pPr>
        <w:spacing w:after="60" w:line="276" w:lineRule="auto"/>
        <w:ind w:firstLine="709"/>
        <w:jc w:val="both"/>
      </w:pPr>
      <w:r>
        <w:rPr>
          <w:lang w:val="ru-RU"/>
        </w:rPr>
        <w:t>Барабан представляет собой тонкостенную цилиндрическую оболочку, изготовленную из коррозионно-стойкой стали. Он одновременно выполняет функции внутреннего технологического объёма, теплопередающей стенки и базы для опорной системы. Барабан изготавливается из обечаек длиной 2–3 метра, получаемых вальцовкой листа с последующей продольной сваркой. Затем обечайки свариваются между собой в общую трубу длиной 20 метров. После сварки барабан калибруется до овальности не более 0,5 мм.</w:t>
      </w:r>
    </w:p>
    <w:p>
      <w:pPr>
        <w:spacing w:after="60" w:line="276" w:lineRule="auto"/>
        <w:ind w:firstLine="709"/>
        <w:jc w:val="both"/>
      </w:pPr>
      <w:r>
        <w:rPr>
          <w:lang w:val="ru-RU"/>
        </w:rPr>
        <w:t>Требование к геометрии барабана определяется не только прочностью, но и качеством плёночного режима. Слишком большая овальность вызовет неравномерную толщину плёнки, локальные изменения уровня жидкости, повышенные вибрации и неравномерную нагрузку на роликовые опоры. Поэтому калибровка после сварки является обязательной операцией изготовления, а не второстепенной доработкой.</w:t>
      </w:r>
    </w:p>
    <w:p>
      <w:pPr>
        <w:spacing w:after="60" w:line="276" w:lineRule="auto"/>
        <w:ind w:firstLine="709"/>
        <w:jc w:val="both"/>
      </w:pPr>
      <w:r>
        <w:rPr>
          <w:lang w:val="ru-RU"/>
        </w:rPr>
        <w:t>Толщина стенки 3,5 миллиметра выбрана как компромисс между теплопередачей и механической устойчивостью. Более толстая стенка ухудшила бы теплопередачу и увеличила массу вращающейся части, а более тонкая снизила бы устойчивость к деформациям и усложнила бы изготовление длинного аппарата. При этом сама по себе тонкая стенка не делает аппарат слабым, потому что её работа поддерживается системой распределённых колец жёсткости и внешней опоры.</w:t>
      </w:r>
    </w:p>
    <w:p>
      <w:pPr>
        <w:pStyle w:val="Heading2"/>
      </w:pPr>
      <w:r>
        <w:rPr>
          <w:lang w:val="ru-RU"/>
        </w:rPr>
        <w:t>3.2. Опорные кольца и повышение жёсткости барабана</w:t>
      </w:r>
    </w:p>
    <w:p>
      <w:pPr>
        <w:spacing w:after="60" w:line="276" w:lineRule="auto"/>
        <w:ind w:firstLine="709"/>
        <w:jc w:val="both"/>
      </w:pPr>
      <w:r>
        <w:rPr>
          <w:lang w:val="ru-RU"/>
        </w:rPr>
        <w:t>По всей длине барабана устанавливаются 14 опорных колец с шагом около 1,4–1,5 метра. Эти кольца выполняют сразу несколько функций: повышают жёсткость тонкостенной оболочки, задают базу для роликовых опор, ограничивают положение внутренних узлов и создают канавки для размещения упругих полуколец. Каждое кольцо изготавливается из полосы нержавеющей стали и приваривается к барабану прерывистыми швами, что позволяет снизить тепловые деформации при сварке.</w:t>
      </w:r>
    </w:p>
    <w:p>
      <w:pPr>
        <w:spacing w:after="60" w:line="276" w:lineRule="auto"/>
        <w:ind w:firstLine="709"/>
        <w:jc w:val="both"/>
      </w:pPr>
      <w:r>
        <w:rPr>
          <w:lang w:val="ru-RU"/>
        </w:rPr>
        <w:t>После приварки наружная поверхность кольца протачивается, а в теле кольца выполняется специальная канавка трапецеидального профиля. Благодаря этому кольцо превращается не просто в пояс жёсткости, а в функциональный интерфейс между барабаном и опорной системой. Без этих колец длинный тонкостенный барабан требовал бы слишком жёстких допусков по корпусу и быстро терял бы геометрию под рабочими нагрузками.</w:t>
      </w:r>
    </w:p>
    <w:p>
      <w:pPr>
        <w:pStyle w:val="Heading2"/>
      </w:pPr>
      <w:r>
        <w:rPr>
          <w:lang w:val="ru-RU"/>
        </w:rPr>
        <w:t>3.3. Упругие полукольца и роликовые опоры</w:t>
      </w:r>
    </w:p>
    <w:p>
      <w:pPr>
        <w:spacing w:after="60" w:line="276" w:lineRule="auto"/>
        <w:ind w:firstLine="709"/>
        <w:jc w:val="both"/>
      </w:pPr>
      <w:r>
        <w:rPr>
          <w:lang w:val="ru-RU"/>
        </w:rPr>
        <w:t>Главный инновационный узел аппарата — система опирания барабана на ролики, размещённые на упругих полуколцах. В канавке каждого опорного кольца устанавливается разрезное полукольцо из жаростойкого пружинного сплава. На его наружной стороне закреплены два бочкообразных ролика, расположенных в нижней зоне под углом около 120°. Такое расположение формирует V-образную опору, которая удерживает барабан от провала и боковых смещений.</w:t>
      </w:r>
    </w:p>
    <w:p>
      <w:pPr>
        <w:spacing w:after="60" w:line="276" w:lineRule="auto"/>
        <w:ind w:firstLine="709"/>
        <w:jc w:val="both"/>
      </w:pPr>
      <w:r>
        <w:rPr>
          <w:lang w:val="ru-RU"/>
        </w:rPr>
        <w:t>При сборке полукольца предварительно стягиваются хомутами, чтобы уменьшить их диаметр и позволить беспрепятственно завести барабан внутрь корпуса. После установки барабана хомуты снимаются через сервисные люки, полукольца распружиниваются, а ролики выходят на контакт с гладкой внутренней поверхностью корпуса. Под весом барабана полукольца сжимаются, и между ними и дном канавки образуется малый зазор. В результате в рабочем режиме опорный узел воспринимает нагрузку преимущественно через ролики, а не через скольжение металла по металлу.</w:t>
      </w:r>
    </w:p>
    <w:p>
      <w:pPr>
        <w:spacing w:after="60" w:line="276" w:lineRule="auto"/>
        <w:ind w:firstLine="709"/>
        <w:jc w:val="both"/>
      </w:pPr>
      <w:r>
        <w:rPr>
          <w:lang w:val="ru-RU"/>
        </w:rPr>
        <w:t>Это решение принципиально важно для надёжности. Во-первых, оно позволяет воспринимать тепловые деформации без заклинивания. Во-вторых, оно уменьшает трение и делает возможным применение сравнительно маломощного привода. В-третьих, оно снимает необходимость изготавливать 20-метровый корпус с микронной точностью: узел самоустанавливается и компенсирует небольшие монтажные и геометрические отклонения.</w:t>
      </w:r>
    </w:p>
    <w:p>
      <w:pPr>
        <w:pStyle w:val="Heading2"/>
      </w:pPr>
      <w:r>
        <w:rPr>
          <w:lang w:val="ru-RU"/>
        </w:rPr>
        <w:t>3.4. Наружный корпус и паровая рубашка</w:t>
      </w:r>
    </w:p>
    <w:p>
      <w:pPr>
        <w:spacing w:after="60" w:line="276" w:lineRule="auto"/>
        <w:ind w:firstLine="709"/>
        <w:jc w:val="both"/>
      </w:pPr>
      <w:r>
        <w:rPr>
          <w:lang w:val="ru-RU"/>
        </w:rPr>
        <w:t>Вокруг барабана расположен неподвижный корпус, формирующий паровую рубашку. Корпус изготавливается секционным из углеродистой стали. Секционная компоновка упрощает вальцовку, транспортировку и сборку. Внутренняя поверхность корпуса защищается термостойким антикоррозионным покрытием, поскольку она работает в атмосфере конденсирующегося водяного пара.</w:t>
      </w:r>
    </w:p>
    <w:p>
      <w:pPr>
        <w:spacing w:after="60" w:line="276" w:lineRule="auto"/>
        <w:ind w:firstLine="709"/>
        <w:jc w:val="both"/>
      </w:pPr>
      <w:r>
        <w:rPr>
          <w:lang w:val="ru-RU"/>
        </w:rPr>
        <w:t>Корпус выполняет не только функцию оболочки для греющего пара, но и роль дорожки качения для роликовых опор. Поэтому к нему предъявляются одновременно требования сосудистой прочности, геометрической прямолинейности и износостойкости поверхности. В нижней части корпуса предусмотрены дренажные отверстия для отвода конденсата, чтобы опорные узлы не находились в слое жидкости. Напротив каждого опорного кольца выполняется сервисный люк, позволяющий проводить осмотр и локальный ремонт роликов без полной выкатки барабана.</w:t>
      </w:r>
    </w:p>
    <w:p>
      <w:pPr>
        <w:pStyle w:val="Heading2"/>
      </w:pPr>
      <w:r>
        <w:rPr>
          <w:lang w:val="ru-RU"/>
        </w:rPr>
        <w:t>3.5. Торцевые узлы, герметизация и центровка</w:t>
      </w:r>
    </w:p>
    <w:p>
      <w:pPr>
        <w:spacing w:after="60" w:line="276" w:lineRule="auto"/>
        <w:ind w:firstLine="709"/>
        <w:jc w:val="both"/>
      </w:pPr>
      <w:r>
        <w:rPr>
          <w:lang w:val="ru-RU"/>
        </w:rPr>
        <w:t>На торцах барабана устанавливаются картриджные торцевые уплотнения, рассчитанные на работу в среде водяного пара. Их задача — герметизировать паровую рубашку в местах выхода вращающихся валов. Однако надёжность такого решения зависит не только от качества уплотнения, но и от точности взаимного положения барабана и корпуса. Поэтому конструкция торцевых фланцев предусматривает регулировочные элементы, позволяющие смещать ось уплотнения в поперечной плоскости и добиваться минимального биения при окончательной сборке.</w:t>
      </w:r>
    </w:p>
    <w:p>
      <w:pPr>
        <w:spacing w:after="60" w:line="276" w:lineRule="auto"/>
        <w:ind w:firstLine="709"/>
        <w:jc w:val="both"/>
      </w:pPr>
      <w:r>
        <w:rPr>
          <w:lang w:val="ru-RU"/>
        </w:rPr>
        <w:t>Такой подход делает уплотнение регулируемым системным узлом, а не жёстко заданной деталью. На одном из торцов дополнительно устанавливается упорный подшипник, воспринимающий осевые усилия от внутренних устройств и от работы привода. Благодаря этому осевые перемещения барабана не перегружают уплотнения, а воспринимаются специально предназначенным для этого узлом.</w:t>
      </w:r>
    </w:p>
    <w:p>
      <w:pPr>
        <w:pStyle w:val="Heading2"/>
      </w:pPr>
      <w:r>
        <w:rPr>
          <w:lang w:val="ru-RU"/>
        </w:rPr>
        <w:t>3.6. Внутренний самоочищающийся узел: спираль и утяжелённый стержень</w:t>
      </w:r>
    </w:p>
    <w:p>
      <w:pPr>
        <w:spacing w:after="60" w:line="276" w:lineRule="auto"/>
        <w:ind w:firstLine="709"/>
        <w:jc w:val="both"/>
      </w:pPr>
      <w:r>
        <w:rPr>
          <w:lang w:val="ru-RU"/>
        </w:rPr>
        <w:t>Внутри барабана размещается свободно перекатывающийся очистной узел, который состоит из спирали из пружинной коррозионно-стойкой ленты и утяжелённого стержня, размещённого внутри спирали. Наружный диаметр спирали близок к внутреннему диаметру барабана, но оставляет технологический зазор до стенки. Кромки спирали притуплены, чтобы сочетать достаточную очищающую способность с минимальным износом стенки аппарата.</w:t>
      </w:r>
    </w:p>
    <w:p>
      <w:pPr>
        <w:spacing w:after="60" w:line="276" w:lineRule="auto"/>
        <w:ind w:firstLine="709"/>
        <w:jc w:val="both"/>
      </w:pPr>
      <w:r>
        <w:rPr>
          <w:lang w:val="ru-RU"/>
        </w:rPr>
        <w:t>При вращении барабана очистной узел под действием силы тяжести остаётся в нижней части окружности и непрерывно перекатывается по внутренней поверхности. Витки спирали соскабливают зарождающиеся отложения, не давая им перерасти в стойкую накипь. Одновременно за счёт винтовой геометрии спираль работает как шнек и перемещает осадок и густой концентрат к разгрузочному торцу. Утяжелённый стержень создаёт прижимное усилие, стабилизирует положение спирали и очищает её изнутри от налипших солей.</w:t>
      </w:r>
    </w:p>
    <w:p>
      <w:pPr>
        <w:spacing w:after="60" w:line="276" w:lineRule="auto"/>
        <w:ind w:firstLine="709"/>
        <w:jc w:val="both"/>
      </w:pPr>
      <w:r>
        <w:rPr>
          <w:lang w:val="ru-RU"/>
        </w:rPr>
        <w:t>Таким образом, очистной узел не только самоочищает теплопередающую поверхность, но и самоочищается сам. Это принципиальное преимущество перед многими скребковыми или ножевыми решениями, где очиститель со временем сам обрастает продуктом и перестаёт выполнять свою функцию.</w:t>
      </w:r>
    </w:p>
    <w:p>
      <w:pPr>
        <w:pStyle w:val="Heading2"/>
      </w:pPr>
      <w:r>
        <w:rPr>
          <w:lang w:val="ru-RU"/>
        </w:rPr>
        <w:t>3.7. Система подачи раствора, поддержание уровня и отбор концентрата</w:t>
      </w:r>
    </w:p>
    <w:p>
      <w:pPr>
        <w:spacing w:after="60" w:line="276" w:lineRule="auto"/>
        <w:ind w:firstLine="709"/>
        <w:jc w:val="both"/>
      </w:pPr>
      <w:r>
        <w:rPr>
          <w:lang w:val="ru-RU"/>
        </w:rPr>
        <w:t>Исходный раствор подаётся с одного торца барабана. Уровень жидкости поддерживается на отметке около 10–15% внутреннего диаметра. Это значение выбрано как рабочий компромисс: при таком уровне очистной узел находится в контакте с жидкостью, а большая часть внутренней поверхности остаётся доступной для формирования тонкой плёнки. Уровень может поддерживаться либо поплавковым устройством, либо выносной камерой уровня с регулирующим клапаном, в зависимости от чистоты и характера обрабатываемой среды.</w:t>
      </w:r>
    </w:p>
    <w:p>
      <w:pPr>
        <w:spacing w:after="60" w:line="276" w:lineRule="auto"/>
        <w:ind w:firstLine="709"/>
        <w:jc w:val="both"/>
      </w:pPr>
      <w:r>
        <w:rPr>
          <w:lang w:val="ru-RU"/>
        </w:rPr>
        <w:t>Отбор концентрата организован с противоположного торца, что соответствует продольному транспортирующему действию спирального узла. В зоне разгрузки внутри барабана формируется карман-накопитель, в который поступает наиболее густая фаза. Выгрузка может производиться периодически по времени, по сигналу от плотномера или по результатам технологического анализа. Предусматривается возможность промывки заборного узла обратным потоком, что повышает устойчивость работы на труднотекучих и кристаллизующихся средах.</w:t>
      </w:r>
    </w:p>
    <w:p>
      <w:pPr>
        <w:pStyle w:val="Heading2"/>
      </w:pPr>
      <w:r>
        <w:rPr>
          <w:lang w:val="ru-RU"/>
        </w:rPr>
        <w:t>3.8. Отвод вторичного пара и защита от каплеуноса</w:t>
      </w:r>
    </w:p>
    <w:p>
      <w:pPr>
        <w:spacing w:after="60" w:line="276" w:lineRule="auto"/>
        <w:ind w:firstLine="709"/>
        <w:jc w:val="both"/>
      </w:pPr>
      <w:r>
        <w:rPr>
          <w:lang w:val="ru-RU"/>
        </w:rPr>
        <w:t>Вторичный пар отводится через осевой патрубок, снабжённый каплеотбойным устройством. Такая компоновка снижает унос брызг и капель концентрата и обеспечивает получение пара, пригодного для передачи в следующую ступень многоступенчатой системы или в конденсационный тракт. Осевая компоновка отвода исключает появление больших застойных зон и хорошо согласуется с продольным движением концентрата внутри аппарата.</w:t>
      </w:r>
    </w:p>
    <w:p>
      <w:pPr>
        <w:pStyle w:val="Heading2"/>
      </w:pPr>
      <w:r>
        <w:rPr>
          <w:lang w:val="ru-RU"/>
        </w:rPr>
        <w:t>3.9. Привод вращения</w:t>
      </w:r>
    </w:p>
    <w:p>
      <w:pPr>
        <w:spacing w:after="60" w:line="276" w:lineRule="auto"/>
        <w:ind w:firstLine="709"/>
        <w:jc w:val="both"/>
      </w:pPr>
      <w:r>
        <w:rPr>
          <w:lang w:val="ru-RU"/>
        </w:rPr>
        <w:t>Барабан приводится во вращение индивидуальным мотор-редуктором. Частота вращения регулируется в пределах 1–8 оборотов в минуту. Такое регулирование позволяет адаптировать аппарат к изменению вязкости среды, скорости кристаллизации, требуемой толщины плёнки и интенсивности самоочистки. Благодаря роликовому опиранию и низкому сопротивлению качению аппарат не требует привода большой мощности, что делает конструкцию энергетически рациональной и удобной для модульного внедрения.</w:t>
      </w:r>
    </w:p>
    <w:p>
      <w:pPr>
        <w:pStyle w:val="Heading1"/>
      </w:pPr>
      <w:r>
        <w:rPr>
          <w:lang w:val="ru-RU"/>
        </w:rPr>
        <w:t>4. Материалы и обоснование их выбора</w:t>
      </w:r>
    </w:p>
    <w:p>
      <w:pPr>
        <w:spacing w:after="60" w:line="276" w:lineRule="auto"/>
        <w:ind w:firstLine="709"/>
        <w:jc w:val="both"/>
      </w:pPr>
      <w:r>
        <w:rPr>
          <w:lang w:val="ru-RU"/>
        </w:rPr>
        <w:t>Подбор материалов в конструкции DFE не является случайным. Он отражает реальную картину нагрузок и сред в каждом узле. Барабан и опорные кольца выполняются из AISI 316L, поскольку этот материал обеспечивает хорошую коррозионную стойкость в условиях конденсации чистого пара и контакта с концентрирующимися растворами, а также технологичен в сварке. Упругие полукольца предлагается выполнять из пружинных жаростойких сплавов типа Inconel 718 или Nimonic 90, поскольку им необходима высокая усталостная прочность и сохранение упругости при рабочей температуре.</w:t>
      </w:r>
    </w:p>
    <w:p>
      <w:pPr>
        <w:spacing w:after="60" w:line="276" w:lineRule="auto"/>
        <w:ind w:firstLine="709"/>
        <w:jc w:val="both"/>
      </w:pPr>
      <w:r>
        <w:rPr>
          <w:lang w:val="ru-RU"/>
        </w:rPr>
        <w:t>Ролики целесообразно изготавливать из нитрида кремния, так как керамический материал сочетает высокую твёрдость, малый коэффициент трения и устойчивость к работе без смазки в горячей среде. Корпус рубашки можно выполнять из углеродистой стали с защитным покрытием, потому что в штатном режиме он контактирует в основном с чистым конденсатом и паром. Спираль очистного узла выполняется из пружинной нержавеющей ленты, а утяжелённый стержень — в виде нержавеющей оболочки с плотным наполнителем. Такой подбор материалов делает аппарат одновременно стойким, технологичным и экономически разумным.</w:t>
      </w:r>
    </w:p>
    <w:p>
      <w:pPr>
        <w:pStyle w:val="Heading1"/>
      </w:pPr>
      <w:r>
        <w:rPr>
          <w:lang w:val="ru-RU"/>
        </w:rPr>
        <w:t>5. Технологичность изготовления и серийного производства</w:t>
      </w:r>
    </w:p>
    <w:p>
      <w:pPr>
        <w:spacing w:after="60" w:line="276" w:lineRule="auto"/>
        <w:ind w:firstLine="709"/>
        <w:jc w:val="both"/>
      </w:pPr>
      <w:r>
        <w:rPr>
          <w:lang w:val="ru-RU"/>
        </w:rPr>
        <w:t>Конструкция DFE принципиально приспособлена для изготовления на обычных машиностроительных предприятиях. Барабан производится из стандартного листового проката, корпус — из типовых секций, кольца жёсткости — из полосового материала, а большинство механических узлов могут изготавливаться на стандартном токарном, фрезерном и сварочном оборудовании. Это особенно важно для перспективы серийного производства и локализации технологии.</w:t>
      </w:r>
    </w:p>
    <w:p>
      <w:pPr>
        <w:spacing w:after="60" w:line="276" w:lineRule="auto"/>
        <w:ind w:firstLine="709"/>
        <w:jc w:val="both"/>
      </w:pPr>
      <w:r>
        <w:rPr>
          <w:lang w:val="ru-RU"/>
        </w:rPr>
        <w:t>Технологичность конструкции проявляется в том, что каждый сложный с точки зрения функции узел остаётся простым с точки зрения изготовления. Опорная система необычна по принципу работы, но состоит из геометрически простых деталей. Корпус не требует полной внутренней механической расточки на всю длину. Сборка разбита на последовательные операции, каждая из которых выполнима с нормальной заводской оснасткой. Благодаря этому аппарат не замыкается на одном уникальном производителе и может быть воспроизведён в серийном исполнении.</w:t>
      </w:r>
    </w:p>
    <w:p>
      <w:pPr>
        <w:pStyle w:val="Heading1"/>
      </w:pPr>
      <w:r>
        <w:rPr>
          <w:lang w:val="ru-RU"/>
        </w:rPr>
        <w:t>6. Монтаж, сборка и наладка</w:t>
      </w:r>
    </w:p>
    <w:p>
      <w:pPr>
        <w:spacing w:after="60" w:line="276" w:lineRule="auto"/>
        <w:ind w:firstLine="709"/>
        <w:jc w:val="both"/>
      </w:pPr>
      <w:r>
        <w:rPr>
          <w:lang w:val="ru-RU"/>
        </w:rPr>
        <w:t>Сборка аппарата начинается с установки рамы и выверки корпуса по горизонтальности и прямолинейности. Затем на барабан устанавливаются опорные кольца, упругие полукольца и ролики. После этого барабан на траверсе заводится внутрь корпуса в сжатом состоянии опорных элементов. Через сервисные люки временные хомуты снимаются, ролики выходят на контакт с корпусом, и барабан опускается в рабочее положение. Далее устанавливаются торцевые уплотнения, выполняется центровка, подключается привод и монтируется внутренний очистной узел.</w:t>
      </w:r>
    </w:p>
    <w:p>
      <w:pPr>
        <w:spacing w:after="60" w:line="276" w:lineRule="auto"/>
        <w:ind w:firstLine="709"/>
        <w:jc w:val="both"/>
      </w:pPr>
      <w:r>
        <w:rPr>
          <w:lang w:val="ru-RU"/>
        </w:rPr>
        <w:t>Такой порядок принципиально важен, поскольку минимизирует риск повреждения роликов, полуколец и уплотнений на этапе сборки. После монтажа аппарат проходит холодную обкатку, гидравлические испытания рубашки, проверку конденсатоотвода, испытания на воде и только затем переводится на рабочие растворы. Иначе говоря, конструкция предусматривает не только аппарат как изделие, но и реалистичную технологию его промышленного ввода в эксплуатацию.</w:t>
      </w:r>
    </w:p>
    <w:p>
      <w:pPr>
        <w:pStyle w:val="Heading1"/>
      </w:pPr>
      <w:r>
        <w:rPr>
          <w:lang w:val="ru-RU"/>
        </w:rPr>
        <w:t>7. Обеспечение надёжности и причины долговечности конструкции</w:t>
      </w:r>
    </w:p>
    <w:p>
      <w:pPr>
        <w:spacing w:after="60" w:line="276" w:lineRule="auto"/>
        <w:ind w:firstLine="709"/>
        <w:jc w:val="both"/>
      </w:pPr>
      <w:r>
        <w:rPr>
          <w:lang w:val="ru-RU"/>
        </w:rPr>
        <w:t>Надёжность DFE обеспечивается не за счёт одного сверхнадёжного элемента, а за счёт правильной архитектуры всей системы. Тонкостенный барабан получает устойчивость благодаря частым кольцам жёсткости и распределённой роликовой опоре. Тепловые расширения не блокируются жёстко, а компенсируются подвижностью опорной системы. Основной источник отказов в выпарных аппаратах — накипеобразование — устраняется в процессе работы. Изнашиваемые элементы заранее вынесены в категорию заменяемых узлов: прежде всего это спираль очистного узла, торцевые уплотнения и ролики.</w:t>
      </w:r>
    </w:p>
    <w:p>
      <w:pPr>
        <w:spacing w:after="60" w:line="276" w:lineRule="auto"/>
        <w:ind w:firstLine="709"/>
        <w:jc w:val="both"/>
      </w:pPr>
      <w:r>
        <w:rPr>
          <w:lang w:val="ru-RU"/>
        </w:rPr>
        <w:t>Особое значение имеет и ремонтопригодность. Конструкция допускает осмотр опор через люки, замену роликов без полной разборки и плановую замену очистной спирали без сложной реконфигурации всего аппарата. Это означает, что даже при тяжёлых средах аппарат не превращается в объект дорогостоящих и редких капитальных ремонтов. Напротив, он рассчитан на понятное регламентное обслуживание. Именно поэтому его надёжность следует оценивать не только как ресурс до первой поломки, но и как способность сохранять работоспособность в течение длительного времени за счёт разумного сервисного цикла.</w:t>
      </w:r>
    </w:p>
    <w:p>
      <w:pPr>
        <w:spacing w:after="40" w:line="264" w:lineRule="auto"/>
        <w:ind w:left="425" w:hanging="283"/>
        <w:jc w:val="both"/>
      </w:pPr>
      <w:r>
        <w:rPr>
          <w:lang w:val="ru-RU"/>
        </w:rPr>
        <w:t xml:space="preserve">• </w:t>
      </w:r>
      <w:r>
        <w:rPr>
          <w:lang w:val="ru-RU"/>
        </w:rPr>
        <w:t>распределённая роликовая опора вместо опирания только по торцам;</w:t>
      </w:r>
    </w:p>
    <w:p>
      <w:pPr>
        <w:spacing w:after="40" w:line="264" w:lineRule="auto"/>
        <w:ind w:left="425" w:hanging="283"/>
        <w:jc w:val="both"/>
      </w:pPr>
      <w:r>
        <w:rPr>
          <w:lang w:val="ru-RU"/>
        </w:rPr>
        <w:t xml:space="preserve">• </w:t>
      </w:r>
      <w:r>
        <w:rPr>
          <w:lang w:val="ru-RU"/>
        </w:rPr>
        <w:t>компенсация тепловых расширений без заклинивания;</w:t>
      </w:r>
    </w:p>
    <w:p>
      <w:pPr>
        <w:spacing w:after="40" w:line="264" w:lineRule="auto"/>
        <w:ind w:left="425" w:hanging="283"/>
        <w:jc w:val="both"/>
      </w:pPr>
      <w:r>
        <w:rPr>
          <w:lang w:val="ru-RU"/>
        </w:rPr>
        <w:t xml:space="preserve">• </w:t>
      </w:r>
      <w:r>
        <w:rPr>
          <w:lang w:val="ru-RU"/>
        </w:rPr>
        <w:t>непрерывная механическая очистка теплообменной поверхности;</w:t>
      </w:r>
    </w:p>
    <w:p>
      <w:pPr>
        <w:spacing w:after="40" w:line="264" w:lineRule="auto"/>
        <w:ind w:left="425" w:hanging="283"/>
        <w:jc w:val="both"/>
      </w:pPr>
      <w:r>
        <w:rPr>
          <w:lang w:val="ru-RU"/>
        </w:rPr>
        <w:t xml:space="preserve">• </w:t>
      </w:r>
      <w:r>
        <w:rPr>
          <w:lang w:val="ru-RU"/>
        </w:rPr>
        <w:t>разделение узлов на долговечные несущие элементы и сменные расходные детали;</w:t>
      </w:r>
    </w:p>
    <w:p>
      <w:pPr>
        <w:spacing w:after="40" w:line="264" w:lineRule="auto"/>
        <w:ind w:left="425" w:hanging="283"/>
        <w:jc w:val="both"/>
      </w:pPr>
      <w:r>
        <w:rPr>
          <w:lang w:val="ru-RU"/>
        </w:rPr>
        <w:t xml:space="preserve">• </w:t>
      </w:r>
      <w:r>
        <w:rPr>
          <w:lang w:val="ru-RU"/>
        </w:rPr>
        <w:t>возможность локального ремонта через сервисные люки;</w:t>
      </w:r>
    </w:p>
    <w:p>
      <w:pPr>
        <w:spacing w:after="40" w:line="264" w:lineRule="auto"/>
        <w:ind w:left="425" w:hanging="283"/>
        <w:jc w:val="both"/>
      </w:pPr>
      <w:r>
        <w:rPr>
          <w:lang w:val="ru-RU"/>
        </w:rPr>
        <w:t xml:space="preserve">• </w:t>
      </w:r>
      <w:r>
        <w:rPr>
          <w:lang w:val="ru-RU"/>
        </w:rPr>
        <w:t>отсутствие сложных внутренних приводных механизмов в горячей зоне аппарата.</w:t>
      </w:r>
    </w:p>
    <w:p>
      <w:pPr>
        <w:pStyle w:val="Heading1"/>
      </w:pPr>
      <w:r>
        <w:rPr>
          <w:lang w:val="ru-RU"/>
        </w:rPr>
        <w:t>8. Почему после прочтения конструкции не должно оставаться вопросов о её реализуемости</w:t>
      </w:r>
    </w:p>
    <w:p>
      <w:pPr>
        <w:spacing w:after="60" w:line="276" w:lineRule="auto"/>
        <w:ind w:firstLine="709"/>
        <w:jc w:val="both"/>
      </w:pPr>
      <w:r>
        <w:rPr>
          <w:lang w:val="ru-RU"/>
        </w:rPr>
        <w:t>Реализуемость DFE подтверждается тем, что в конструкции нет ни одного узла, который требовал бы одновременно экстремально высокой точности изготовления, сложной кинематики и работы в тяжёлой загрязнённой среде без обслуживания. Напротив, аппарат спроектирован по принципу разделения функций. Теплообмен выполняет барабан. Жёсткость и базирование обеспечивают кольца. Поддержку и компенсацию деформаций обеспечивают роликовые опоры на полуколцах. Самоочистку и транспортировку концентрата обеспечивает спиральный узел. Герметичность обеспечивают регулируемые торцевые уплотнения. Каждая функция имеет свой выделенный конструктивный носитель, и ни один узел не перегружен избыточным числом задач.</w:t>
      </w:r>
    </w:p>
    <w:p>
      <w:pPr>
        <w:spacing w:after="60" w:line="276" w:lineRule="auto"/>
        <w:ind w:firstLine="709"/>
        <w:jc w:val="both"/>
      </w:pPr>
      <w:r>
        <w:rPr>
          <w:lang w:val="ru-RU"/>
        </w:rPr>
        <w:t>Именно это делает DFE не экзотическим аппаратом, а зрелой инженерной системой. Читатель, рассматривающий аппарат с точки зрения технолога, видит тонкоплёночное выпаривание и устойчивость к накипи. Конструктор видит распределённую опорную систему, понятную механику и реалистичную сборку. Производственник видит детали и операции, доступные обычному машиностроительному заводу. Эксплуатационник видит сервисные люки, сменные ролики, заменяемую спираль и регламентируемые уплотнения. Именно это комплексное соответствие интересам всех участников жизненного цикла и является главным доказательством технологичности и надёжности DFE.</w:t>
      </w:r>
    </w:p>
    <w:p>
      <w:pPr>
        <w:pStyle w:val="Heading1"/>
      </w:pPr>
      <w:r>
        <w:rPr>
          <w:lang w:val="ru-RU"/>
        </w:rPr>
        <w:t>9. Заключение</w:t>
      </w:r>
    </w:p>
    <w:p>
      <w:pPr>
        <w:spacing w:after="60" w:line="276" w:lineRule="auto"/>
        <w:ind w:firstLine="709"/>
        <w:jc w:val="both"/>
      </w:pPr>
      <w:r>
        <w:rPr>
          <w:lang w:val="ru-RU"/>
        </w:rPr>
        <w:t>Барабанный плёночный испаритель DFE представляет собой конструктивно целостный аппарат для непрерывного выпаривания и концентрирования накипеобразующих растворов. Его техническая состоятельность основана на трёх взаимосвязанных принципах: формировании тонкой жидкой плёнки на внутренней поверхности вращающегося барабана, непрерывной механической самоочистке этой поверхности и применении распределённой роликовой опоры, допускающей тепловые деформации и длинномерное исполнение аппарата.</w:t>
      </w:r>
    </w:p>
    <w:p>
      <w:pPr>
        <w:spacing w:after="60" w:line="276" w:lineRule="auto"/>
        <w:ind w:firstLine="709"/>
        <w:jc w:val="both"/>
      </w:pPr>
      <w:r>
        <w:rPr>
          <w:lang w:val="ru-RU"/>
        </w:rPr>
        <w:t>Предложенная конструкция демонстрирует редкое, но принципиально важное сочетание: она одновременно объяснима физически, технологична в изготовлении, ремонтопригодна в эксплуатации и масштабируема для многоступенчатых систем опреснения и концентрирования. Именно поэтому DFE может рассматриваться не как узкоспециальный лабораторный аппарат, а как база для промышленной и распределённой технологии, рассчитанной на тяжёлые среды и длительную непрерывную работу.</w:t>
      </w:r>
    </w:p>
    <w:sectPr w:rsidR="00FC693F" w:rsidRPr="0006063C" w:rsidSect="00034616">
      <w:footerReference w:type="default" r:id="rId9"/>
      <w:pgSz w:w="12240" w:h="15840"/>
      <w:pgMar w:top="1134"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