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60" w:before="0"/>
        <w:jc w:val="center"/>
      </w:pPr>
      <w:r>
        <w:rPr>
          <w:rFonts w:ascii="Calibri" w:cs="Calibri" w:eastAsia="Calibri" w:hAnsi="Calibri"/>
          <w:b/>
          <w:bCs/>
          <w:color w:val="FFFFFF"/>
          <w:sz w:val="36"/>
          <w:szCs w:val="36"/>
          <w:shd w:fill="1a237e" w:val="clear"/>
        </w:rPr>
        <w:t xml:space="preserve">FORMAL PROBLEM STATEMENT</w:t>
      </w:r>
    </w:p>
    <w:p>
      <w:pPr>
        <w:shd w:fill="1a237e" w:val="clear"/>
        <w:spacing w:after="60" w:before="0"/>
        <w:jc w:val="center"/>
      </w:pPr>
      <w:r>
        <w:rPr>
          <w:rFonts w:ascii="Calibri" w:cs="Calibri" w:eastAsia="Calibri" w:hAnsi="Calibri"/>
          <w:b/>
          <w:bCs/>
          <w:color w:val="c5cae9"/>
          <w:sz w:val="26"/>
          <w:szCs w:val="26"/>
        </w:rPr>
        <w:t xml:space="preserve">Semi-Autonomous High-Rise Wall Painting &amp; Inspection Robot</w:t>
      </w:r>
    </w:p>
    <w:p>
      <w:pPr>
        <w:shd w:fill="1a237e" w:val="clear"/>
        <w:spacing w:after="200" w:before="0"/>
        <w:jc w:val="center"/>
      </w:pPr>
      <w:r>
        <w:rPr>
          <w:rFonts w:ascii="Calibri" w:cs="Calibri" w:eastAsia="Calibri" w:hAnsi="Calibri"/>
          <w:color w:val="9fa8da"/>
          <w:sz w:val="19"/>
          <w:szCs w:val="19"/>
        </w:rPr>
        <w:t xml:space="preserve">Project: udgam_wallrobot  |  Team: Udgam_UrbanSolution  |  India Innovates 2025</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Title</w:t>
            </w:r>
          </w:p>
        </w:tc>
        <w:tc>
          <w:tcPr>
            <w:tcW w:type="dxa" w:w="7360"/>
            <w:tcBorders>
              <w:top w:val="single" w:color="CCCCCC" w:sz="1"/>
              <w:left w:val="single" w:color="CCCCCC" w:sz="1"/>
              <w:bottom w:val="single" w:color="CCCCCC" w:sz="1"/>
              <w:right w:val="single" w:color="CCCCCC" w:sz="1"/>
            </w:tcBorders>
            <w:shd w:fill="e8eaf6" w:val="clear"/>
            <w:tcMar>
              <w:top w:type="dxa" w:w="80"/>
              <w:left w:type="dxa" w:w="160"/>
              <w:bottom w:type="dxa" w:w="80"/>
              <w:right w:type="dxa" w:w="120"/>
            </w:tcMar>
          </w:tcPr>
          <w:p>
            <w:r>
              <w:rPr>
                <w:rFonts w:ascii="Calibri" w:cs="Calibri" w:eastAsia="Calibri" w:hAnsi="Calibri"/>
                <w:color w:val="212121"/>
                <w:sz w:val="21"/>
                <w:szCs w:val="21"/>
              </w:rPr>
              <w:t xml:space="preserve">Semi-Autonomous Robotic System for High-Rise Building Facade Painting and Inspection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Domain</w:t>
            </w:r>
          </w:p>
        </w:tc>
        <w:tc>
          <w:tcPr>
            <w:tcW w:type="dxa" w:w="7360"/>
            <w:tcBorders>
              <w:top w:val="single" w:color="CCCCCC" w:sz="1"/>
              <w:left w:val="single" w:color="CCCCCC" w:sz="1"/>
              <w:bottom w:val="single" w:color="CCCCCC" w:sz="1"/>
              <w:right w:val="single" w:color="CCCCCC" w:sz="1"/>
            </w:tcBorders>
            <w:shd w:fill="e8eaf6" w:val="clear"/>
            <w:tcMar>
              <w:top w:type="dxa" w:w="80"/>
              <w:left w:type="dxa" w:w="160"/>
              <w:bottom w:type="dxa" w:w="80"/>
              <w:right w:type="dxa" w:w="120"/>
            </w:tcMar>
          </w:tcPr>
          <w:p>
            <w:r>
              <w:rPr>
                <w:rFonts w:ascii="Calibri" w:cs="Calibri" w:eastAsia="Calibri" w:hAnsi="Calibri"/>
                <w:color w:val="212121"/>
                <w:sz w:val="21"/>
                <w:szCs w:val="21"/>
              </w:rPr>
              <w:t xml:space="preserve">Robotics, Autonomous Systems, Construction Technology, Urban Infrastructure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Submitted By</w:t>
            </w:r>
          </w:p>
        </w:tc>
        <w:tc>
          <w:tcPr>
            <w:tcW w:type="dxa" w:w="7360"/>
            <w:tcBorders>
              <w:top w:val="single" w:color="CCCCCC" w:sz="1"/>
              <w:left w:val="single" w:color="CCCCCC" w:sz="1"/>
              <w:bottom w:val="single" w:color="CCCCCC" w:sz="1"/>
              <w:right w:val="single" w:color="CCCCCC" w:sz="1"/>
            </w:tcBorders>
            <w:shd w:fill="e8eaf6" w:val="clear"/>
            <w:tcMar>
              <w:top w:type="dxa" w:w="80"/>
              <w:left w:type="dxa" w:w="160"/>
              <w:bottom w:type="dxa" w:w="80"/>
              <w:right w:type="dxa" w:w="120"/>
            </w:tcMar>
          </w:tcPr>
          <w:p>
            <w:r>
              <w:rPr>
                <w:rFonts w:ascii="Calibri" w:cs="Calibri" w:eastAsia="Calibri" w:hAnsi="Calibri"/>
                <w:color w:val="212121"/>
                <w:sz w:val="21"/>
                <w:szCs w:val="21"/>
              </w:rPr>
              <w:t xml:space="preserve">Team Udgam_UrbanSolution — VitaminDcodes (GitHub)</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Event</w:t>
            </w:r>
          </w:p>
        </w:tc>
        <w:tc>
          <w:tcPr>
            <w:tcW w:type="dxa" w:w="7360"/>
            <w:tcBorders>
              <w:top w:val="single" w:color="CCCCCC" w:sz="1"/>
              <w:left w:val="single" w:color="CCCCCC" w:sz="1"/>
              <w:bottom w:val="single" w:color="CCCCCC" w:sz="1"/>
              <w:right w:val="single" w:color="CCCCCC" w:sz="1"/>
            </w:tcBorders>
            <w:shd w:fill="e8eaf6" w:val="clear"/>
            <w:tcMar>
              <w:top w:type="dxa" w:w="80"/>
              <w:left w:type="dxa" w:w="160"/>
              <w:bottom w:type="dxa" w:w="80"/>
              <w:right w:type="dxa" w:w="120"/>
            </w:tcMar>
          </w:tcPr>
          <w:p>
            <w:r>
              <w:rPr>
                <w:rFonts w:ascii="Calibri" w:cs="Calibri" w:eastAsia="Calibri" w:hAnsi="Calibri"/>
                <w:color w:val="212121"/>
                <w:sz w:val="21"/>
                <w:szCs w:val="21"/>
              </w:rPr>
              <w:t xml:space="preserve">India Innovates 2025</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Date</w:t>
            </w:r>
          </w:p>
        </w:tc>
        <w:tc>
          <w:tcPr>
            <w:tcW w:type="dxa" w:w="7360"/>
            <w:tcBorders>
              <w:top w:val="single" w:color="CCCCCC" w:sz="1"/>
              <w:left w:val="single" w:color="CCCCCC" w:sz="1"/>
              <w:bottom w:val="single" w:color="CCCCCC" w:sz="1"/>
              <w:right w:val="single" w:color="CCCCCC" w:sz="1"/>
            </w:tcBorders>
            <w:shd w:fill="e8eaf6" w:val="clear"/>
            <w:tcMar>
              <w:top w:type="dxa" w:w="80"/>
              <w:left w:type="dxa" w:w="160"/>
              <w:bottom w:type="dxa" w:w="80"/>
              <w:right w:type="dxa" w:w="120"/>
            </w:tcMar>
          </w:tcPr>
          <w:p>
            <w:r>
              <w:rPr>
                <w:rFonts w:ascii="Calibri" w:cs="Calibri" w:eastAsia="Calibri" w:hAnsi="Calibri"/>
                <w:color w:val="212121"/>
                <w:sz w:val="21"/>
                <w:szCs w:val="21"/>
              </w:rPr>
              <w:t xml:space="preserve">March 2025</w:t>
            </w:r>
          </w:p>
        </w:tc>
      </w:tr>
    </w:tbl>
    <w:p>
      <w:pPr>
        <w:spacing w:after="0" w:before="200"/>
      </w:pPr>
      <w:r>
        <w:t xml:space="preserve"/>
      </w:r>
    </w:p>
    <w:p>
      <w:pPr>
        <w:pBdr>
          <w:bottom w:val="single" w:color="1a237e" w:sz="6" w:space="4"/>
        </w:pBdr>
        <w:spacing w:after="120" w:before="360"/>
      </w:pPr>
      <w:r>
        <w:rPr>
          <w:rFonts w:ascii="Calibri" w:cs="Calibri" w:eastAsia="Calibri" w:hAnsi="Calibri"/>
          <w:b/>
          <w:bCs/>
          <w:color w:val="1a237e"/>
          <w:sz w:val="32"/>
          <w:szCs w:val="32"/>
        </w:rPr>
        <w:t xml:space="preserve">1. Background &amp; Context</w:t>
      </w:r>
    </w:p>
    <w:p>
      <w:pPr>
        <w:spacing w:after="120" w:before="60"/>
        <w:jc w:val="both"/>
      </w:pPr>
      <w:r>
        <w:rPr>
          <w:rFonts w:ascii="Calibri" w:cs="Calibri" w:eastAsia="Calibri" w:hAnsi="Calibri"/>
          <w:b w:val="false"/>
          <w:bCs w:val="false"/>
          <w:color w:val="212121"/>
          <w:sz w:val="22"/>
          <w:szCs w:val="22"/>
        </w:rPr>
        <w:t xml:space="preserve">High-rise building maintenance, particularly exterior facade painting and inspection, is one of the most hazardous occupational tasks in the construction and infrastructure sector. In India and globally, thousands of workers are annually required to operate at extreme heights — suspended by ropes, scaffolding, or temporary platforms — to perform routine painting and structural inspection of multi-storey buildings.</w:t>
      </w:r>
    </w:p>
    <w:p>
      <w:pPr>
        <w:spacing w:after="120" w:before="60"/>
        <w:jc w:val="both"/>
      </w:pPr>
      <w:r>
        <w:rPr>
          <w:rFonts w:ascii="Calibri" w:cs="Calibri" w:eastAsia="Calibri" w:hAnsi="Calibri"/>
          <w:b w:val="false"/>
          <w:bCs w:val="false"/>
          <w:color w:val="212121"/>
          <w:sz w:val="22"/>
          <w:szCs w:val="22"/>
        </w:rPr>
        <w:t xml:space="preserve">With India's urban population growing rapidly and the number of high-rise residential, commercial, and institutional buildings increasing at an unprecedented rate, the demand for safe, efficient, and cost-effective facade maintenance solutions has never been greater. Existing methods are not only life-threatening but are also slow, expensive, and produce inconsistent results.</w:t>
      </w:r>
    </w:p>
    <w:p>
      <w:pPr>
        <w:spacing w:after="0" w:before="60"/>
      </w:pPr>
      <w:r>
        <w:t xml:space="preserve"/>
      </w:r>
    </w:p>
    <w:p>
      <w:pPr>
        <w:pBdr>
          <w:bottom w:val="single" w:color="1a237e" w:sz="6" w:space="4"/>
        </w:pBdr>
        <w:spacing w:after="120" w:before="360"/>
      </w:pPr>
      <w:r>
        <w:rPr>
          <w:rFonts w:ascii="Calibri" w:cs="Calibri" w:eastAsia="Calibri" w:hAnsi="Calibri"/>
          <w:b/>
          <w:bCs/>
          <w:color w:val="1a237e"/>
          <w:sz w:val="32"/>
          <w:szCs w:val="32"/>
        </w:rPr>
        <w:t xml:space="preserve">2. Problem Definition</w:t>
      </w:r>
    </w:p>
    <w:p>
      <w:pPr>
        <w:spacing w:after="120" w:before="60"/>
        <w:jc w:val="both"/>
      </w:pPr>
      <w:r>
        <w:rPr>
          <w:rFonts w:ascii="Calibri" w:cs="Calibri" w:eastAsia="Calibri" w:hAnsi="Calibri"/>
          <w:b w:val="false"/>
          <w:bCs w:val="false"/>
          <w:color w:val="212121"/>
          <w:sz w:val="22"/>
          <w:szCs w:val="22"/>
        </w:rPr>
        <w:t xml:space="preserve">The core problem addressed by this project is the absence of a safe, automated, and intelligent system capable of performing high-rise building facade painting and surface inspection without direct human exposure to height-related hazards. Current practices rely entirely on manual labour operating at dangerous elevations, creating a multi-dimensional problem that encompasses occupational safety, operational efficiency, economic cost, and output quality.</w:t>
      </w:r>
    </w:p>
    <w:p>
      <w:pPr>
        <w:spacing w:after="0" w:before="80"/>
      </w:pPr>
      <w:r>
        <w:t xml:space="preserve"/>
      </w:r>
    </w:p>
    <w:p>
      <w:pPr>
        <w:spacing w:after="120" w:before="240"/>
      </w:pPr>
      <w:r>
        <w:rPr>
          <w:rFonts w:ascii="Calibri" w:cs="Calibri" w:eastAsia="Calibri" w:hAnsi="Calibri"/>
          <w:b/>
          <w:bCs/>
          <w:color w:val="283593"/>
          <w:sz w:val="26"/>
          <w:szCs w:val="26"/>
        </w:rPr>
        <w:t xml:space="preserve">2.1 Occupational Safety Crisis</w:t>
      </w:r>
    </w:p>
    <w:p>
      <w:pPr>
        <w:spacing w:after="120" w:before="60"/>
        <w:jc w:val="both"/>
      </w:pPr>
      <w:r>
        <w:rPr>
          <w:rFonts w:ascii="Calibri" w:cs="Calibri" w:eastAsia="Calibri" w:hAnsi="Calibri"/>
          <w:b w:val="false"/>
          <w:bCs w:val="false"/>
          <w:color w:val="212121"/>
          <w:sz w:val="22"/>
          <w:szCs w:val="22"/>
        </w:rPr>
        <w:t xml:space="preserve">Workers performing high-rise exterior maintenance are exposed to life-threatening fall risks on a daily basis. Despite safety regulations, falls from height remain the leading cause of fatalities in the construction sector. The absence of automated alternatives forces building owners and contractors to accept this human risk as an operational norm.</w:t>
      </w:r>
    </w:p>
    <w:p>
      <w:pPr>
        <w:pStyle w:val="ListParagraph"/>
        <w:numPr>
          <w:ilvl w:val="0"/>
          <w:numId w:val="2"/>
        </w:numPr>
        <w:spacing w:after="80" w:before="60"/>
      </w:pPr>
      <w:r>
        <w:rPr>
          <w:rFonts w:ascii="Calibri" w:cs="Calibri" w:eastAsia="Calibri" w:hAnsi="Calibri"/>
          <w:color w:val="212121"/>
          <w:sz w:val="22"/>
          <w:szCs w:val="22"/>
        </w:rPr>
        <w:t xml:space="preserve">Workers suspended by ropes or on temporary platforms at heights exceeding 10–50 storeys.</w:t>
      </w:r>
    </w:p>
    <w:p>
      <w:pPr>
        <w:pStyle w:val="ListParagraph"/>
        <w:numPr>
          <w:ilvl w:val="0"/>
          <w:numId w:val="2"/>
        </w:numPr>
        <w:spacing w:after="80" w:before="60"/>
      </w:pPr>
      <w:r>
        <w:rPr>
          <w:rFonts w:ascii="Calibri" w:cs="Calibri" w:eastAsia="Calibri" w:hAnsi="Calibri"/>
          <w:color w:val="212121"/>
          <w:sz w:val="22"/>
          <w:szCs w:val="22"/>
        </w:rPr>
        <w:t xml:space="preserve">High probability of falls due to equipment failure, adverse weather, or human error.</w:t>
      </w:r>
    </w:p>
    <w:p>
      <w:pPr>
        <w:pStyle w:val="ListParagraph"/>
        <w:numPr>
          <w:ilvl w:val="0"/>
          <w:numId w:val="2"/>
        </w:numPr>
        <w:spacing w:after="80" w:before="60"/>
      </w:pPr>
      <w:r>
        <w:rPr>
          <w:rFonts w:ascii="Calibri" w:cs="Calibri" w:eastAsia="Calibri" w:hAnsi="Calibri"/>
          <w:color w:val="212121"/>
          <w:sz w:val="22"/>
          <w:szCs w:val="22"/>
        </w:rPr>
        <w:t xml:space="preserve">Fatalities and severe injuries result in legal liability, project delays, and loss of skilled workers.</w:t>
      </w:r>
    </w:p>
    <w:p>
      <w:pPr>
        <w:pStyle w:val="ListParagraph"/>
        <w:numPr>
          <w:ilvl w:val="0"/>
          <w:numId w:val="2"/>
        </w:numPr>
        <w:spacing w:after="80" w:before="60"/>
      </w:pPr>
      <w:r>
        <w:rPr>
          <w:rFonts w:ascii="Calibri" w:cs="Calibri" w:eastAsia="Calibri" w:hAnsi="Calibri"/>
          <w:color w:val="212121"/>
          <w:sz w:val="22"/>
          <w:szCs w:val="22"/>
        </w:rPr>
        <w:t xml:space="preserve">News documented: "Painter dies after fall from 14th floor of construction site" — Hindustan Times, September 2025.</w:t>
      </w:r>
    </w:p>
    <w:p>
      <w:pPr>
        <w:spacing w:after="0" w:before="80"/>
      </w:pPr>
      <w:r>
        <w:t xml:space="preserve"/>
      </w:r>
    </w:p>
    <w:p>
      <w:pPr>
        <w:spacing w:after="120" w:before="240"/>
      </w:pPr>
      <w:r>
        <w:rPr>
          <w:rFonts w:ascii="Calibri" w:cs="Calibri" w:eastAsia="Calibri" w:hAnsi="Calibri"/>
          <w:b/>
          <w:bCs/>
          <w:color w:val="283593"/>
          <w:sz w:val="26"/>
          <w:szCs w:val="26"/>
        </w:rPr>
        <w:t xml:space="preserve">2.2 Operational Inefficiency</w:t>
      </w:r>
    </w:p>
    <w:p>
      <w:pPr>
        <w:spacing w:after="120" w:before="60"/>
        <w:jc w:val="both"/>
      </w:pPr>
      <w:r>
        <w:rPr>
          <w:rFonts w:ascii="Calibri" w:cs="Calibri" w:eastAsia="Calibri" w:hAnsi="Calibri"/>
          <w:b w:val="false"/>
          <w:bCs w:val="false"/>
          <w:color w:val="212121"/>
          <w:sz w:val="22"/>
          <w:szCs w:val="22"/>
        </w:rPr>
        <w:t xml:space="preserve">Manual painting of large building facades is an inherently slow process. A single high-rise tower can require months of continuous labour to complete one painting cycle, consuming significant project resources and creating prolonged inconvenience for building occupants and stakeholders.</w:t>
      </w:r>
    </w:p>
    <w:p>
      <w:pPr>
        <w:pStyle w:val="ListParagraph"/>
        <w:numPr>
          <w:ilvl w:val="0"/>
          <w:numId w:val="2"/>
        </w:numPr>
        <w:spacing w:after="80" w:before="60"/>
      </w:pPr>
      <w:r>
        <w:rPr>
          <w:rFonts w:ascii="Calibri" w:cs="Calibri" w:eastAsia="Calibri" w:hAnsi="Calibri"/>
          <w:color w:val="212121"/>
          <w:sz w:val="22"/>
          <w:szCs w:val="22"/>
        </w:rPr>
        <w:t xml:space="preserve">A 20-storey building typically requires 60–90 days for a complete manual paint job.</w:t>
      </w:r>
    </w:p>
    <w:p>
      <w:pPr>
        <w:pStyle w:val="ListParagraph"/>
        <w:numPr>
          <w:ilvl w:val="0"/>
          <w:numId w:val="2"/>
        </w:numPr>
        <w:spacing w:after="80" w:before="60"/>
      </w:pPr>
      <w:r>
        <w:rPr>
          <w:rFonts w:ascii="Calibri" w:cs="Calibri" w:eastAsia="Calibri" w:hAnsi="Calibri"/>
          <w:color w:val="212121"/>
          <w:sz w:val="22"/>
          <w:szCs w:val="22"/>
        </w:rPr>
        <w:t xml:space="preserve">Weather delays, worker availability, and logistical challenges further extend timelines.</w:t>
      </w:r>
    </w:p>
    <w:p>
      <w:pPr>
        <w:pStyle w:val="ListParagraph"/>
        <w:numPr>
          <w:ilvl w:val="0"/>
          <w:numId w:val="2"/>
        </w:numPr>
        <w:spacing w:after="80" w:before="60"/>
      </w:pPr>
      <w:r>
        <w:rPr>
          <w:rFonts w:ascii="Calibri" w:cs="Calibri" w:eastAsia="Calibri" w:hAnsi="Calibri"/>
          <w:color w:val="212121"/>
          <w:sz w:val="22"/>
          <w:szCs w:val="22"/>
        </w:rPr>
        <w:t xml:space="preserve">No mechanism for simultaneous inspection and painting, necessitating separate, costly maintenance cycles.</w:t>
      </w:r>
    </w:p>
    <w:p>
      <w:pPr>
        <w:spacing w:after="0" w:before="80"/>
      </w:pPr>
      <w:r>
        <w:t xml:space="preserve"/>
      </w:r>
    </w:p>
    <w:p>
      <w:pPr>
        <w:spacing w:after="120" w:before="240"/>
      </w:pPr>
      <w:r>
        <w:rPr>
          <w:rFonts w:ascii="Calibri" w:cs="Calibri" w:eastAsia="Calibri" w:hAnsi="Calibri"/>
          <w:b/>
          <w:bCs/>
          <w:color w:val="283593"/>
          <w:sz w:val="26"/>
          <w:szCs w:val="26"/>
        </w:rPr>
        <w:t xml:space="preserve">2.3 High Economic Cost</w:t>
      </w:r>
    </w:p>
    <w:p>
      <w:pPr>
        <w:spacing w:after="120" w:before="60"/>
        <w:jc w:val="both"/>
      </w:pPr>
      <w:r>
        <w:rPr>
          <w:rFonts w:ascii="Calibri" w:cs="Calibri" w:eastAsia="Calibri" w:hAnsi="Calibri"/>
          <w:b w:val="false"/>
          <w:bCs w:val="false"/>
          <w:color w:val="212121"/>
          <w:sz w:val="22"/>
          <w:szCs w:val="22"/>
        </w:rPr>
        <w:t xml:space="preserve">The financial burden of high-rise maintenance is substantial. The costs of scaffolding infrastructure, safety equipment, large skilled labour teams, project insurance, and extended project durations collectively render facade maintenance prohibitively expensive for many building owners, particularly in the mid-market segment.</w:t>
      </w:r>
    </w:p>
    <w:p>
      <w:pPr>
        <w:pStyle w:val="ListParagraph"/>
        <w:numPr>
          <w:ilvl w:val="0"/>
          <w:numId w:val="2"/>
        </w:numPr>
        <w:spacing w:after="80" w:before="60"/>
      </w:pPr>
      <w:r>
        <w:rPr>
          <w:rFonts w:ascii="Calibri" w:cs="Calibri" w:eastAsia="Calibri" w:hAnsi="Calibri"/>
          <w:color w:val="212121"/>
          <w:sz w:val="22"/>
          <w:szCs w:val="22"/>
        </w:rPr>
        <w:t xml:space="preserve">Scaffolding alone can account for 20–30% of the total maintenance budget.</w:t>
      </w:r>
    </w:p>
    <w:p>
      <w:pPr>
        <w:pStyle w:val="ListParagraph"/>
        <w:numPr>
          <w:ilvl w:val="0"/>
          <w:numId w:val="2"/>
        </w:numPr>
        <w:spacing w:after="80" w:before="60"/>
      </w:pPr>
      <w:r>
        <w:rPr>
          <w:rFonts w:ascii="Calibri" w:cs="Calibri" w:eastAsia="Calibri" w:hAnsi="Calibri"/>
          <w:color w:val="212121"/>
          <w:sz w:val="22"/>
          <w:szCs w:val="22"/>
        </w:rPr>
        <w:t xml:space="preserve">Labour costs are amplified by the specialised nature of high-altitude painting work.</w:t>
      </w:r>
    </w:p>
    <w:p>
      <w:pPr>
        <w:pStyle w:val="ListParagraph"/>
        <w:numPr>
          <w:ilvl w:val="0"/>
          <w:numId w:val="2"/>
        </w:numPr>
        <w:spacing w:after="80" w:before="60"/>
      </w:pPr>
      <w:r>
        <w:rPr>
          <w:rFonts w:ascii="Calibri" w:cs="Calibri" w:eastAsia="Calibri" w:hAnsi="Calibri"/>
          <w:color w:val="212121"/>
          <w:sz w:val="22"/>
          <w:szCs w:val="22"/>
        </w:rPr>
        <w:t xml:space="preserve">Repeated painting cycles over a building's lifespan represent a significant long-term expenditure.</w:t>
      </w:r>
    </w:p>
    <w:p>
      <w:pPr>
        <w:spacing w:after="0" w:before="80"/>
      </w:pPr>
      <w:r>
        <w:t xml:space="preserve"/>
      </w:r>
    </w:p>
    <w:p>
      <w:pPr>
        <w:spacing w:after="120" w:before="240"/>
      </w:pPr>
      <w:r>
        <w:rPr>
          <w:rFonts w:ascii="Calibri" w:cs="Calibri" w:eastAsia="Calibri" w:hAnsi="Calibri"/>
          <w:b/>
          <w:bCs/>
          <w:color w:val="283593"/>
          <w:sz w:val="26"/>
          <w:szCs w:val="26"/>
        </w:rPr>
        <w:t xml:space="preserve">2.4 Inconsistent Quality of Output</w:t>
      </w:r>
    </w:p>
    <w:p>
      <w:pPr>
        <w:spacing w:after="120" w:before="60"/>
        <w:jc w:val="both"/>
      </w:pPr>
      <w:r>
        <w:rPr>
          <w:rFonts w:ascii="Calibri" w:cs="Calibri" w:eastAsia="Calibri" w:hAnsi="Calibri"/>
          <w:b w:val="false"/>
          <w:bCs w:val="false"/>
          <w:color w:val="212121"/>
          <w:sz w:val="22"/>
          <w:szCs w:val="22"/>
        </w:rPr>
        <w:t xml:space="preserve">Human workers, regardless of skill, are subject to fatigue, environmental distraction, and physical limitations that inevitably produce uneven paint application, missed coverage areas, and inconsistent finish quality — particularly on complex curved or irregular building surfaces.</w:t>
      </w:r>
    </w:p>
    <w:p>
      <w:pPr>
        <w:pStyle w:val="ListParagraph"/>
        <w:numPr>
          <w:ilvl w:val="0"/>
          <w:numId w:val="2"/>
        </w:numPr>
        <w:spacing w:after="80" w:before="60"/>
      </w:pPr>
      <w:r>
        <w:rPr>
          <w:rFonts w:ascii="Calibri" w:cs="Calibri" w:eastAsia="Calibri" w:hAnsi="Calibri"/>
          <w:color w:val="212121"/>
          <w:sz w:val="22"/>
          <w:szCs w:val="22"/>
        </w:rPr>
        <w:t xml:space="preserve">Fatigue-induced inconsistencies become more pronounced during extended multi-day projects.</w:t>
      </w:r>
    </w:p>
    <w:p>
      <w:pPr>
        <w:pStyle w:val="ListParagraph"/>
        <w:numPr>
          <w:ilvl w:val="0"/>
          <w:numId w:val="2"/>
        </w:numPr>
        <w:spacing w:after="80" w:before="60"/>
      </w:pPr>
      <w:r>
        <w:rPr>
          <w:rFonts w:ascii="Calibri" w:cs="Calibri" w:eastAsia="Calibri" w:hAnsi="Calibri"/>
          <w:color w:val="212121"/>
          <w:sz w:val="22"/>
          <w:szCs w:val="22"/>
        </w:rPr>
        <w:t xml:space="preserve">Surface defects, moisture zones, and structural cracks often go undetected during manual painting.</w:t>
      </w:r>
    </w:p>
    <w:p>
      <w:pPr>
        <w:pStyle w:val="ListParagraph"/>
        <w:numPr>
          <w:ilvl w:val="0"/>
          <w:numId w:val="2"/>
        </w:numPr>
        <w:spacing w:after="80" w:before="60"/>
      </w:pPr>
      <w:r>
        <w:rPr>
          <w:rFonts w:ascii="Calibri" w:cs="Calibri" w:eastAsia="Calibri" w:hAnsi="Calibri"/>
          <w:color w:val="212121"/>
          <w:sz w:val="22"/>
          <w:szCs w:val="22"/>
        </w:rPr>
        <w:t xml:space="preserve">Lack of real-time monitoring means quality issues are identified only after completion.</w:t>
      </w:r>
    </w:p>
    <w:p>
      <w:pPr>
        <w:spacing w:after="0" w:before="120"/>
      </w:pPr>
      <w:r>
        <w:t xml:space="preserve"/>
      </w:r>
    </w:p>
    <w:p>
      <w:pPr>
        <w:pBdr>
          <w:bottom w:val="single" w:color="1a237e" w:sz="6" w:space="4"/>
        </w:pBdr>
        <w:spacing w:after="120" w:before="360"/>
      </w:pPr>
      <w:r>
        <w:rPr>
          <w:rFonts w:ascii="Calibri" w:cs="Calibri" w:eastAsia="Calibri" w:hAnsi="Calibri"/>
          <w:b/>
          <w:bCs/>
          <w:color w:val="1a237e"/>
          <w:sz w:val="32"/>
          <w:szCs w:val="32"/>
        </w:rPr>
        <w:t xml:space="preserve">3. Supporting Statistics</w:t>
      </w:r>
    </w:p>
    <w:p>
      <w:pPr>
        <w:spacing w:after="120" w:before="60"/>
        <w:jc w:val="both"/>
      </w:pPr>
      <w:r>
        <w:rPr>
          <w:rFonts w:ascii="Calibri" w:cs="Calibri" w:eastAsia="Calibri" w:hAnsi="Calibri"/>
          <w:b w:val="false"/>
          <w:bCs w:val="false"/>
          <w:color w:val="212121"/>
          <w:sz w:val="22"/>
          <w:szCs w:val="22"/>
        </w:rPr>
        <w:t xml:space="preserve">The following data underscores the magnitude and urgency of the identified problem: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Statistic</w:t>
            </w:r>
          </w:p>
        </w:tc>
        <w:tc>
          <w:tcPr>
            <w:tcW w:type="dxa" w:w="7920"/>
            <w:tcBorders>
              <w:top w:val="single" w:color="CCCCCC" w:sz="1"/>
              <w:left w:val="single" w:color="CCCCCC" w:sz="1"/>
              <w:bottom w:val="single" w:color="CCCCCC" w:sz="1"/>
              <w:right w:val="single" w:color="CCCCCC" w:sz="1"/>
            </w:tcBorders>
            <w:shd w:fill="1a237e" w:val="clear"/>
            <w:tcMar>
              <w:top w:type="dxa" w:w="80"/>
              <w:left w:type="dxa" w:w="160"/>
              <w:bottom w:type="dxa" w:w="80"/>
              <w:right w:type="dxa" w:w="120"/>
            </w:tcMar>
          </w:tcPr>
          <w:p>
            <w:r>
              <w:rPr>
                <w:rFonts w:ascii="Calibri" w:cs="Calibri" w:eastAsia="Calibri" w:hAnsi="Calibri"/>
                <w:b/>
                <w:bCs/>
                <w:color w:val="FFFFFF"/>
                <w:sz w:val="20"/>
                <w:szCs w:val="20"/>
              </w:rPr>
              <w:t xml:space="preserve">Description</w:t>
            </w:r>
          </w:p>
        </w:tc>
      </w:tr>
      <w:tr>
        <w:tc>
          <w:tcPr>
            <w:tcW w:type="dxa" w:w="14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vAlign w:val="center"/>
          </w:tcPr>
          <w:p>
            <w:pPr>
              <w:jc w:val="center"/>
            </w:pPr>
            <w:r>
              <w:rPr>
                <w:rFonts w:ascii="Calibri" w:cs="Calibri" w:eastAsia="Calibri" w:hAnsi="Calibri"/>
                <w:b/>
                <w:bCs/>
                <w:color w:val="1565c0"/>
                <w:sz w:val="22"/>
                <w:szCs w:val="22"/>
              </w:rPr>
              <w:t xml:space="preserve">~45%</w:t>
            </w:r>
          </w:p>
        </w:tc>
        <w:tc>
          <w:tcPr>
            <w:tcW w:type="dxa" w:w="7920"/>
            <w:tcBorders>
              <w:top w:val="single" w:color="CCCCCC" w:sz="1"/>
              <w:left w:val="single" w:color="CCCCCC" w:sz="1"/>
              <w:bottom w:val="single" w:color="CCCCCC" w:sz="1"/>
              <w:right w:val="single" w:color="CCCCCC" w:sz="1"/>
            </w:tcBorders>
            <w:shd w:fill="e8eaf6" w:val="clear"/>
            <w:tcMar>
              <w:top w:type="dxa" w:w="80"/>
              <w:left w:type="dxa" w:w="160"/>
              <w:bottom w:type="dxa" w:w="80"/>
              <w:right w:type="dxa" w:w="120"/>
            </w:tcMar>
          </w:tcPr>
          <w:p>
            <w:r>
              <w:rPr>
                <w:rFonts w:ascii="Calibri" w:cs="Calibri" w:eastAsia="Calibri" w:hAnsi="Calibri"/>
                <w:color w:val="212121"/>
                <w:sz w:val="21"/>
                <w:szCs w:val="21"/>
              </w:rPr>
              <w:t xml:space="preserve">of construction fatalities are fall-related (ILO, 2023)</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565c0"/>
                <w:sz w:val="22"/>
                <w:szCs w:val="22"/>
              </w:rPr>
              <w:t xml:space="preserve">₹2–5 Cr</w:t>
            </w:r>
          </w:p>
        </w:tc>
        <w:tc>
          <w:tcPr>
            <w:tcW w:type="dxa" w:w="7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color w:val="212121"/>
                <w:sz w:val="21"/>
                <w:szCs w:val="21"/>
              </w:rPr>
              <w:t xml:space="preserve">average cost of painting a high-rise building facade manually</w:t>
            </w:r>
          </w:p>
        </w:tc>
      </w:tr>
      <w:tr>
        <w:tc>
          <w:tcPr>
            <w:tcW w:type="dxa" w:w="14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vAlign w:val="center"/>
          </w:tcPr>
          <w:p>
            <w:pPr>
              <w:jc w:val="center"/>
            </w:pPr>
            <w:r>
              <w:rPr>
                <w:rFonts w:ascii="Calibri" w:cs="Calibri" w:eastAsia="Calibri" w:hAnsi="Calibri"/>
                <w:b/>
                <w:bCs/>
                <w:color w:val="1565c0"/>
                <w:sz w:val="22"/>
                <w:szCs w:val="22"/>
              </w:rPr>
              <w:t xml:space="preserve">60–90 days</w:t>
            </w:r>
          </w:p>
        </w:tc>
        <w:tc>
          <w:tcPr>
            <w:tcW w:type="dxa" w:w="7920"/>
            <w:tcBorders>
              <w:top w:val="single" w:color="CCCCCC" w:sz="1"/>
              <w:left w:val="single" w:color="CCCCCC" w:sz="1"/>
              <w:bottom w:val="single" w:color="CCCCCC" w:sz="1"/>
              <w:right w:val="single" w:color="CCCCCC" w:sz="1"/>
            </w:tcBorders>
            <w:shd w:fill="e8eaf6" w:val="clear"/>
            <w:tcMar>
              <w:top w:type="dxa" w:w="80"/>
              <w:left w:type="dxa" w:w="160"/>
              <w:bottom w:type="dxa" w:w="80"/>
              <w:right w:type="dxa" w:w="120"/>
            </w:tcMar>
          </w:tcPr>
          <w:p>
            <w:r>
              <w:rPr>
                <w:rFonts w:ascii="Calibri" w:cs="Calibri" w:eastAsia="Calibri" w:hAnsi="Calibri"/>
                <w:color w:val="212121"/>
                <w:sz w:val="21"/>
                <w:szCs w:val="21"/>
              </w:rPr>
              <w:t xml:space="preserve">typical duration for manual painting of a 20-storey building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565c0"/>
                <w:sz w:val="22"/>
                <w:szCs w:val="22"/>
              </w:rPr>
              <w:t xml:space="preserve">30–40%</w:t>
            </w:r>
          </w:p>
        </w:tc>
        <w:tc>
          <w:tcPr>
            <w:tcW w:type="dxa" w:w="7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color w:val="212121"/>
                <w:sz w:val="21"/>
                <w:szCs w:val="21"/>
              </w:rPr>
              <w:t xml:space="preserve">quality inconsistency due to human fatigue and varying skill levels</w:t>
            </w:r>
          </w:p>
        </w:tc>
      </w:tr>
    </w:tbl>
    <w:p>
      <w:pPr>
        <w:spacing w:after="0" w:before="120"/>
      </w:pPr>
      <w:r>
        <w:t xml:space="preserve"/>
      </w:r>
    </w:p>
    <w:p>
      <w:pPr>
        <w:pBdr>
          <w:bottom w:val="single" w:color="1a237e" w:sz="6" w:space="4"/>
        </w:pBdr>
        <w:spacing w:after="120" w:before="360"/>
      </w:pPr>
      <w:r>
        <w:rPr>
          <w:rFonts w:ascii="Calibri" w:cs="Calibri" w:eastAsia="Calibri" w:hAnsi="Calibri"/>
          <w:b/>
          <w:bCs/>
          <w:color w:val="1a237e"/>
          <w:sz w:val="32"/>
          <w:szCs w:val="32"/>
        </w:rPr>
        <w:t xml:space="preserve">4. Scope of the Problem</w:t>
      </w:r>
    </w:p>
    <w:p>
      <w:pPr>
        <w:spacing w:after="120" w:before="60"/>
        <w:jc w:val="both"/>
      </w:pPr>
      <w:r>
        <w:rPr>
          <w:rFonts w:ascii="Calibri" w:cs="Calibri" w:eastAsia="Calibri" w:hAnsi="Calibri"/>
          <w:b w:val="false"/>
          <w:bCs w:val="false"/>
          <w:color w:val="212121"/>
          <w:sz w:val="22"/>
          <w:szCs w:val="22"/>
        </w:rPr>
        <w:t xml:space="preserve">The problem is not isolated to a single geography or building type. It spans residential towers, commercial complexes, hospitals, educational institutions, and government infrastructure across urban and semi-urban India. The scale of construction activity — with India adding approximately 700–900 million square feet of new building space annually — means the maintenance backlog and associated risk will continue to grow without a systemic solution.</w:t>
      </w:r>
    </w:p>
    <w:p>
      <w:pPr>
        <w:spacing w:after="120" w:before="60"/>
        <w:jc w:val="both"/>
      </w:pPr>
      <w:r>
        <w:rPr>
          <w:rFonts w:ascii="Calibri" w:cs="Calibri" w:eastAsia="Calibri" w:hAnsi="Calibri"/>
          <w:b w:val="false"/>
          <w:bCs w:val="false"/>
          <w:color w:val="212121"/>
          <w:sz w:val="22"/>
          <w:szCs w:val="22"/>
        </w:rPr>
        <w:t xml:space="preserve">Furthermore, the problem extends beyond painting alone. Facade inspection for structural cracks, moisture intrusion, and material degradation is equally critical and equally hazardous. A solution that integrates both painting and inspection capabilities addresses a far broader and more impactful challenge.</w:t>
      </w:r>
    </w:p>
    <w:p>
      <w:pPr>
        <w:spacing w:after="0" w:before="120"/>
      </w:pPr>
      <w:r>
        <w:t xml:space="preserve"/>
      </w:r>
    </w:p>
    <w:p>
      <w:pPr>
        <w:pBdr>
          <w:bottom w:val="single" w:color="1a237e" w:sz="6" w:space="4"/>
        </w:pBdr>
        <w:spacing w:after="120" w:before="360"/>
      </w:pPr>
      <w:r>
        <w:rPr>
          <w:rFonts w:ascii="Calibri" w:cs="Calibri" w:eastAsia="Calibri" w:hAnsi="Calibri"/>
          <w:b/>
          <w:bCs/>
          <w:color w:val="1a237e"/>
          <w:sz w:val="32"/>
          <w:szCs w:val="32"/>
        </w:rPr>
        <w:t xml:space="preserve">5. Proposed Solution — High-Level Overview</w:t>
      </w:r>
    </w:p>
    <w:p>
      <w:pPr>
        <w:spacing w:after="120" w:before="60"/>
        <w:jc w:val="both"/>
      </w:pPr>
      <w:r>
        <w:rPr>
          <w:rFonts w:ascii="Calibri" w:cs="Calibri" w:eastAsia="Calibri" w:hAnsi="Calibri"/>
          <w:b w:val="false"/>
          <w:bCs w:val="false"/>
          <w:color w:val="212121"/>
          <w:sz w:val="22"/>
          <w:szCs w:val="22"/>
        </w:rPr>
        <w:t xml:space="preserve">The proposed solution is udgam_wallrobot: a semi-autonomous wall-climbing robotic system designed to perform facade painting, structural crack detection, and surface inspection on high-rise buildings. The robot eliminates the need for human workers to operate at dangerous heights by executing these tasks autonomously under remote operator supervision.</w:t>
      </w:r>
    </w:p>
    <w:p>
      <w:pPr>
        <w:spacing w:after="120" w:before="240"/>
      </w:pPr>
      <w:r>
        <w:rPr>
          <w:rFonts w:ascii="Calibri" w:cs="Calibri" w:eastAsia="Calibri" w:hAnsi="Calibri"/>
          <w:b/>
          <w:bCs/>
          <w:color w:val="283593"/>
          <w:sz w:val="26"/>
          <w:szCs w:val="26"/>
        </w:rPr>
        <w:t xml:space="preserve">5.1 Key Capabilities</w:t>
      </w:r>
    </w:p>
    <w:p>
      <w:pPr>
        <w:pStyle w:val="ListParagraph"/>
        <w:numPr>
          <w:ilvl w:val="0"/>
          <w:numId w:val="2"/>
        </w:numPr>
        <w:spacing w:after="80" w:before="60"/>
      </w:pPr>
      <w:r>
        <w:rPr>
          <w:rFonts w:ascii="Calibri" w:cs="Calibri" w:eastAsia="Calibri" w:hAnsi="Calibri"/>
          <w:color w:val="212121"/>
          <w:sz w:val="22"/>
          <w:szCs w:val="22"/>
        </w:rPr>
        <w:t xml:space="preserve">Vertical wall climbing on 90° surfaces and inclined facades up to 60°, enabled by a vacuum-based suction adhesion system.</w:t>
      </w:r>
    </w:p>
    <w:p>
      <w:pPr>
        <w:pStyle w:val="ListParagraph"/>
        <w:numPr>
          <w:ilvl w:val="0"/>
          <w:numId w:val="2"/>
        </w:numPr>
        <w:spacing w:after="80" w:before="60"/>
      </w:pPr>
      <w:r>
        <w:rPr>
          <w:rFonts w:ascii="Calibri" w:cs="Calibri" w:eastAsia="Calibri" w:hAnsi="Calibri"/>
          <w:color w:val="212121"/>
          <w:sz w:val="22"/>
          <w:szCs w:val="22"/>
        </w:rPr>
        <w:t xml:space="preserve">Interchangeable tool modules for roller painting, spray painting, surface cleaning, and crack detection.</w:t>
      </w:r>
    </w:p>
    <w:p>
      <w:pPr>
        <w:pStyle w:val="ListParagraph"/>
        <w:numPr>
          <w:ilvl w:val="0"/>
          <w:numId w:val="2"/>
        </w:numPr>
        <w:spacing w:after="80" w:before="60"/>
      </w:pPr>
      <w:r>
        <w:rPr>
          <w:rFonts w:ascii="Calibri" w:cs="Calibri" w:eastAsia="Calibri" w:hAnsi="Calibri"/>
          <w:color w:val="212121"/>
          <w:sz w:val="22"/>
          <w:szCs w:val="22"/>
        </w:rPr>
        <w:t xml:space="preserve">Real-time facade inspection using stereo cameras and thermal imaging to detect cracks, moisture zones, and structural irregularities.</w:t>
      </w:r>
    </w:p>
    <w:p>
      <w:pPr>
        <w:pStyle w:val="ListParagraph"/>
        <w:numPr>
          <w:ilvl w:val="0"/>
          <w:numId w:val="2"/>
        </w:numPr>
        <w:spacing w:after="80" w:before="60"/>
      </w:pPr>
      <w:r>
        <w:rPr>
          <w:rFonts w:ascii="Calibri" w:cs="Calibri" w:eastAsia="Calibri" w:hAnsi="Calibri"/>
          <w:color w:val="212121"/>
          <w:sz w:val="22"/>
          <w:szCs w:val="22"/>
        </w:rPr>
        <w:t xml:space="preserve">Semi-autonomous operation via ROS 2 middleware, with a live operator dashboard for monitoring and intervention.</w:t>
      </w:r>
    </w:p>
    <w:p>
      <w:pPr>
        <w:pStyle w:val="ListParagraph"/>
        <w:numPr>
          <w:ilvl w:val="0"/>
          <w:numId w:val="2"/>
        </w:numPr>
        <w:spacing w:after="80" w:before="60"/>
      </w:pPr>
      <w:r>
        <w:rPr>
          <w:rFonts w:ascii="Calibri" w:cs="Calibri" w:eastAsia="Calibri" w:hAnsi="Calibri"/>
          <w:color w:val="212121"/>
          <w:sz w:val="22"/>
          <w:szCs w:val="22"/>
        </w:rPr>
        <w:t xml:space="preserve">VSLAM-based localisation and grid-coverage path planning for complete, systematic facade coverage.</w:t>
      </w:r>
    </w:p>
    <w:p>
      <w:pPr>
        <w:pStyle w:val="ListParagraph"/>
        <w:numPr>
          <w:ilvl w:val="0"/>
          <w:numId w:val="2"/>
        </w:numPr>
        <w:spacing w:after="80" w:before="60"/>
      </w:pPr>
      <w:r>
        <w:rPr>
          <w:rFonts w:ascii="Calibri" w:cs="Calibri" w:eastAsia="Calibri" w:hAnsi="Calibri"/>
          <w:color w:val="212121"/>
          <w:sz w:val="22"/>
          <w:szCs w:val="22"/>
        </w:rPr>
        <w:t xml:space="preserve">STM32F4-based embedded control with PID motion regulation, FreeRTOS task scheduling, and onboard fault detection.</w:t>
      </w:r>
    </w:p>
    <w:p>
      <w:pPr>
        <w:spacing w:after="120" w:before="240"/>
      </w:pPr>
      <w:r>
        <w:rPr>
          <w:rFonts w:ascii="Calibri" w:cs="Calibri" w:eastAsia="Calibri" w:hAnsi="Calibri"/>
          <w:b/>
          <w:bCs/>
          <w:color w:val="283593"/>
          <w:sz w:val="26"/>
          <w:szCs w:val="26"/>
        </w:rPr>
        <w:t xml:space="preserve">5.2 Anticipated Impact</w:t>
      </w:r>
    </w:p>
    <w:p>
      <w:pPr>
        <w:pStyle w:val="ListParagraph"/>
        <w:numPr>
          <w:ilvl w:val="0"/>
          <w:numId w:val="2"/>
        </w:numPr>
        <w:spacing w:after="80" w:before="60"/>
      </w:pPr>
      <w:r>
        <w:rPr>
          <w:rFonts w:ascii="Calibri" w:cs="Calibri" w:eastAsia="Calibri" w:hAnsi="Calibri"/>
          <w:color w:val="212121"/>
          <w:sz w:val="22"/>
          <w:szCs w:val="22"/>
        </w:rPr>
        <w:t xml:space="preserve">Elimination of worker fatality and injury risk from height-related facade maintenance activities.</w:t>
      </w:r>
    </w:p>
    <w:p>
      <w:pPr>
        <w:pStyle w:val="ListParagraph"/>
        <w:numPr>
          <w:ilvl w:val="0"/>
          <w:numId w:val="2"/>
        </w:numPr>
        <w:spacing w:after="80" w:before="60"/>
      </w:pPr>
      <w:r>
        <w:rPr>
          <w:rFonts w:ascii="Calibri" w:cs="Calibri" w:eastAsia="Calibri" w:hAnsi="Calibri"/>
          <w:color w:val="212121"/>
          <w:sz w:val="22"/>
          <w:szCs w:val="22"/>
        </w:rPr>
        <w:t xml:space="preserve">Reduction in total painting project duration by an estimated 50–70% compared to manual methods.</w:t>
      </w:r>
    </w:p>
    <w:p>
      <w:pPr>
        <w:pStyle w:val="ListParagraph"/>
        <w:numPr>
          <w:ilvl w:val="0"/>
          <w:numId w:val="2"/>
        </w:numPr>
        <w:spacing w:after="80" w:before="60"/>
      </w:pPr>
      <w:r>
        <w:rPr>
          <w:rFonts w:ascii="Calibri" w:cs="Calibri" w:eastAsia="Calibri" w:hAnsi="Calibri"/>
          <w:color w:val="212121"/>
          <w:sz w:val="22"/>
          <w:szCs w:val="22"/>
        </w:rPr>
        <w:t xml:space="preserve">Significant cost savings through elimination of scaffolding, reduction of labour teams, and lower insurance premiums.</w:t>
      </w:r>
    </w:p>
    <w:p>
      <w:pPr>
        <w:pStyle w:val="ListParagraph"/>
        <w:numPr>
          <w:ilvl w:val="0"/>
          <w:numId w:val="2"/>
        </w:numPr>
        <w:spacing w:after="80" w:before="60"/>
      </w:pPr>
      <w:r>
        <w:rPr>
          <w:rFonts w:ascii="Calibri" w:cs="Calibri" w:eastAsia="Calibri" w:hAnsi="Calibri"/>
          <w:color w:val="212121"/>
          <w:sz w:val="22"/>
          <w:szCs w:val="22"/>
        </w:rPr>
        <w:t xml:space="preserve">Consistent, high-quality paint application and real-time defect detection, improving long-term building maintenance outcomes.</w:t>
      </w:r>
    </w:p>
    <w:p>
      <w:pPr>
        <w:pStyle w:val="ListParagraph"/>
        <w:numPr>
          <w:ilvl w:val="0"/>
          <w:numId w:val="2"/>
        </w:numPr>
        <w:spacing w:after="80" w:before="60"/>
      </w:pPr>
      <w:r>
        <w:rPr>
          <w:rFonts w:ascii="Calibri" w:cs="Calibri" w:eastAsia="Calibri" w:hAnsi="Calibri"/>
          <w:color w:val="212121"/>
          <w:sz w:val="22"/>
          <w:szCs w:val="22"/>
        </w:rPr>
        <w:t xml:space="preserve">Scalable deployment across multiple building types and geographies, addressing a nationwide infrastructure challenge.</w:t>
      </w:r>
    </w:p>
    <w:p>
      <w:pPr>
        <w:spacing w:after="0" w:before="120"/>
      </w:pPr>
      <w:r>
        <w:t xml:space="preserve"/>
      </w:r>
    </w:p>
    <w:p>
      <w:pPr>
        <w:pBdr>
          <w:bottom w:val="single" w:color="1a237e" w:sz="6" w:space="4"/>
        </w:pBdr>
        <w:spacing w:after="120" w:before="360"/>
      </w:pPr>
      <w:r>
        <w:rPr>
          <w:rFonts w:ascii="Calibri" w:cs="Calibri" w:eastAsia="Calibri" w:hAnsi="Calibri"/>
          <w:b/>
          <w:bCs/>
          <w:color w:val="1a237e"/>
          <w:sz w:val="32"/>
          <w:szCs w:val="32"/>
        </w:rPr>
        <w:t xml:space="preserve">6. Conclusion</w:t>
      </w:r>
    </w:p>
    <w:p>
      <w:pPr>
        <w:spacing w:after="120" w:before="60"/>
        <w:jc w:val="both"/>
      </w:pPr>
      <w:r>
        <w:rPr>
          <w:rFonts w:ascii="Calibri" w:cs="Calibri" w:eastAsia="Calibri" w:hAnsi="Calibri"/>
          <w:b w:val="false"/>
          <w:bCs w:val="false"/>
          <w:color w:val="212121"/>
          <w:sz w:val="22"/>
          <w:szCs w:val="22"/>
        </w:rPr>
        <w:t xml:space="preserve">The manual maintenance of high-rise building facades represents a serious, widespread, and growing challenge in India's urban construction sector. The convergence of occupational hazard, economic inefficiency, operational slowness, and quality inconsistency creates an urgent and clear need for an automated, intelligent alternative.</w:t>
      </w:r>
    </w:p>
    <w:p>
      <w:pPr>
        <w:spacing w:after="120" w:before="60"/>
        <w:jc w:val="both"/>
      </w:pPr>
      <w:r>
        <w:rPr>
          <w:rFonts w:ascii="Calibri" w:cs="Calibri" w:eastAsia="Calibri" w:hAnsi="Calibri"/>
          <w:b w:val="false"/>
          <w:bCs w:val="false"/>
          <w:color w:val="212121"/>
          <w:sz w:val="22"/>
          <w:szCs w:val="22"/>
        </w:rPr>
        <w:t xml:space="preserve">The udgam_wallrobot project directly addresses this need through the development of a semi-autonomous robotic system that is safe, capable, cost-effective, and scalable. This solution has the potential to fundamentally transform how high-rise building maintenance is conducted in India and beyond, protecting workers' lives while improving the quality and efficiency of urban infrastructure upkeep.</w:t>
      </w:r>
    </w:p>
    <w:p>
      <w:pPr>
        <w:spacing w:after="0" w:before="200"/>
      </w:pPr>
      <w:r>
        <w:t xml:space="preserve"/>
      </w:r>
    </w:p>
    <w:p>
      <w:pPr>
        <w:pBdr>
          <w:top w:val="single" w:color="1a237e" w:sz="4" w:space="8"/>
        </w:pBdr>
        <w:spacing w:after="60" w:before="120"/>
      </w:pPr>
      <w:r>
        <w:rPr>
          <w:rFonts w:ascii="Calibri" w:cs="Calibri" w:eastAsia="Calibri" w:hAnsi="Calibri"/>
          <w:b/>
          <w:bCs/>
          <w:color w:val="1a237e"/>
          <w:sz w:val="20"/>
          <w:szCs w:val="20"/>
        </w:rPr>
        <w:t xml:space="preserve">Document prepared by Team Udgam_UrbanSolution</w:t>
      </w:r>
    </w:p>
    <w:p>
      <w:pPr>
        <w:spacing w:after="120" w:before="60"/>
        <w:jc w:val="both"/>
      </w:pPr>
      <w:r>
        <w:rPr>
          <w:rFonts w:ascii="Calibri" w:cs="Calibri" w:eastAsia="Calibri" w:hAnsi="Calibri"/>
          <w:b w:val="false"/>
          <w:bCs w:val="false"/>
          <w:color w:val="1565c0"/>
          <w:sz w:val="22"/>
          <w:szCs w:val="22"/>
        </w:rPr>
        <w:t xml:space="preserve">GitHub: github.com/VitaminDcodes/udgam_wallrobot</w:t>
      </w:r>
    </w:p>
    <w:p>
      <w:pPr>
        <w:spacing w:after="120" w:before="60"/>
        <w:jc w:val="both"/>
      </w:pPr>
      <w:r>
        <w:rPr>
          <w:rFonts w:ascii="Calibri" w:cs="Calibri" w:eastAsia="Calibri" w:hAnsi="Calibri"/>
          <w:b w:val="false"/>
          <w:bCs w:val="false"/>
          <w:color w:val="546e7a"/>
          <w:sz w:val="22"/>
          <w:szCs w:val="22"/>
        </w:rPr>
        <w:t xml:space="preserve">Event: India Innovates 2025  |  Date: March 2025</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37e" w:sz="4" w:space="4"/>
      </w:pBdr>
      <w:tabs>
        <w:tab w:val="right" w:pos="9026"/>
      </w:tabs>
    </w:pPr>
    <w:r>
      <w:rPr>
        <w:rFonts w:ascii="Calibri" w:cs="Calibri" w:eastAsia="Calibri" w:hAnsi="Calibri"/>
        <w:color w:val="546e7a"/>
        <w:sz w:val="17"/>
        <w:szCs w:val="17"/>
      </w:rPr>
      <w:t xml:space="preserve">Team Udgam_UrbanSolution  |  VitaminDcodes</w:t>
    </w:r>
    <w:r>
      <w:rPr>
        <w:rFonts w:ascii="Calibri" w:cs="Calibri" w:eastAsia="Calibri" w:hAnsi="Calibri"/>
        <w:color w:val="546e7a"/>
        <w:sz w:val="17"/>
        <w:szCs w:val="17"/>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72"/>
      <w:tblBorders>
        <w:top w:val="none"/>
        <w:left w:val="none"/>
        <w:bottom w:val="single" w:color="1a237e" w:sz="6"/>
        <w:right w:val="none"/>
        <w:insideH w:val="single" w:color="auto" w:sz="4"/>
        <w:insideV w:val="single" w:color="auto" w:sz="4"/>
      </w:tblBorders>
    </w:tblPr>
    <w:tblGrid>
      <w:gridCol w:w="7072"/>
      <w:gridCol w:w="2000"/>
    </w:tblGrid>
    <w:tr>
      <w:tc>
        <w:tcPr>
          <w:tcW w:type="dxa" w:w="7072"/>
          <w:tcBorders>
            <w:top w:val="none"/>
            <w:left w:val="none"/>
            <w:bottom w:val="none"/>
            <w:right w:val="none"/>
          </w:tcBorders>
          <w:tcMar>
            <w:top w:type="dxa" w:w="40"/>
            <w:left w:type="dxa" w:w="0"/>
            <w:bottom w:type="dxa" w:w="40"/>
            <w:right w:type="dxa" w:w="0"/>
          </w:tcMar>
        </w:tcPr>
        <w:p>
          <w:r>
            <w:rPr>
              <w:rFonts w:ascii="Calibri" w:cs="Calibri" w:eastAsia="Calibri" w:hAnsi="Calibri"/>
              <w:b/>
              <w:bCs/>
              <w:color w:val="1a237e"/>
              <w:sz w:val="18"/>
              <w:szCs w:val="18"/>
            </w:rPr>
            <w:t xml:space="preserve">udgam_wallrobot  |  Problem Statement</w:t>
          </w:r>
        </w:p>
      </w:tc>
      <w:tc>
        <w:tcPr>
          <w:tcW w:type="dxa" w:w="2000"/>
          <w:tcBorders>
            <w:top w:val="none"/>
            <w:left w:val="none"/>
            <w:bottom w:val="none"/>
            <w:right w:val="none"/>
          </w:tcBorders>
          <w:tcMar>
            <w:top w:type="dxa" w:w="40"/>
            <w:left w:type="dxa" w:w="0"/>
            <w:bottom w:type="dxa" w:w="40"/>
            <w:right w:type="dxa" w:w="0"/>
          </w:tcMar>
        </w:tcPr>
        <w:p>
          <w:pPr>
            <w:jc w:val="right"/>
          </w:pPr>
          <w:r>
            <w:rPr>
              <w:rFonts w:ascii="Calibri" w:cs="Calibri" w:eastAsia="Calibri" w:hAnsi="Calibri"/>
              <w:color w:val="546e7a"/>
              <w:sz w:val="17"/>
              <w:szCs w:val="17"/>
            </w:rPr>
            <w:t xml:space="preserve">India Innovates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2026-03-11T20:14:31.989Z</dcterms:created>
  <dcterms:modified xsi:type="dcterms:W3CDTF">2026-03-11T20:14:31.990Z</dcterms:modified>
</cp:coreProperties>
</file>

<file path=docProps/custom.xml><?xml version="1.0" encoding="utf-8"?>
<Properties xmlns="http://schemas.openxmlformats.org/officeDocument/2006/custom-properties" xmlns:vt="http://schemas.openxmlformats.org/officeDocument/2006/docPropsVTypes"/>
</file>