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6D4B" w14:textId="77777777" w:rsidR="00D57FE3" w:rsidRDefault="00B64FD1">
      <w:pPr>
        <w:pStyle w:val="Title"/>
      </w:pPr>
      <w:r>
        <w:t>Stage 3 rectal cancer adjuvant management: survival analysis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53747322"/>
        <w:docPartObj>
          <w:docPartGallery w:val="Table of Contents"/>
          <w:docPartUnique/>
        </w:docPartObj>
      </w:sdtPr>
      <w:sdtEndPr/>
      <w:sdtContent>
        <w:p w14:paraId="12C06D4C" w14:textId="77777777" w:rsidR="00D57FE3" w:rsidRDefault="00B64FD1">
          <w:pPr>
            <w:pStyle w:val="TOCHeading"/>
          </w:pPr>
          <w:r>
            <w:t>Table of Contents</w:t>
          </w:r>
        </w:p>
        <w:p w14:paraId="0D8BE7D3" w14:textId="275B429C" w:rsidR="002A5352" w:rsidRDefault="00B64FD1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5668196" w:history="1">
            <w:r w:rsidR="002A5352" w:rsidRPr="00454E24">
              <w:rPr>
                <w:rStyle w:val="Hyperlink"/>
                <w:noProof/>
              </w:rPr>
              <w:t>1</w:t>
            </w:r>
            <w:r w:rsidR="002A5352">
              <w:rPr>
                <w:noProof/>
              </w:rPr>
              <w:tab/>
            </w:r>
            <w:r w:rsidR="002A5352" w:rsidRPr="00454E24">
              <w:rPr>
                <w:rStyle w:val="Hyperlink"/>
                <w:noProof/>
              </w:rPr>
              <w:t>Patient baseline profiles</w:t>
            </w:r>
            <w:r w:rsidR="002A5352">
              <w:rPr>
                <w:noProof/>
                <w:webHidden/>
              </w:rPr>
              <w:tab/>
            </w:r>
            <w:r w:rsidR="002A5352">
              <w:rPr>
                <w:noProof/>
                <w:webHidden/>
              </w:rPr>
              <w:fldChar w:fldCharType="begin"/>
            </w:r>
            <w:r w:rsidR="002A5352">
              <w:rPr>
                <w:noProof/>
                <w:webHidden/>
              </w:rPr>
              <w:instrText xml:space="preserve"> PAGEREF _Toc95668196 \h </w:instrText>
            </w:r>
            <w:r w:rsidR="002A5352">
              <w:rPr>
                <w:noProof/>
                <w:webHidden/>
              </w:rPr>
            </w:r>
            <w:r w:rsidR="002A5352">
              <w:rPr>
                <w:noProof/>
                <w:webHidden/>
              </w:rPr>
              <w:fldChar w:fldCharType="separate"/>
            </w:r>
            <w:r w:rsidR="002A5352">
              <w:rPr>
                <w:noProof/>
                <w:webHidden/>
              </w:rPr>
              <w:t>1</w:t>
            </w:r>
            <w:r w:rsidR="002A5352">
              <w:rPr>
                <w:noProof/>
                <w:webHidden/>
              </w:rPr>
              <w:fldChar w:fldCharType="end"/>
            </w:r>
          </w:hyperlink>
        </w:p>
        <w:p w14:paraId="4B4930B1" w14:textId="4D85E21B" w:rsidR="002A5352" w:rsidRDefault="002A5352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95668197" w:history="1">
            <w:r w:rsidRPr="00454E24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Missing data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C221" w14:textId="61B57AF5" w:rsidR="002A5352" w:rsidRDefault="002A5352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95668198" w:history="1">
            <w:r w:rsidRPr="00454E24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Survival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3EEF" w14:textId="4D2FC684" w:rsidR="002A5352" w:rsidRDefault="002A535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95668199" w:history="1">
            <w:r w:rsidRPr="00454E24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KM curve and log-rank test for adjuvant chemo vs surveillance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3396" w14:textId="2C468A0C" w:rsidR="002A5352" w:rsidRDefault="002A535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95668200" w:history="1">
            <w:r w:rsidRPr="00454E24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Overall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BD664" w14:textId="13643CDE" w:rsidR="002A5352" w:rsidRDefault="002A535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95668201" w:history="1">
            <w:r w:rsidRPr="00454E24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Recurrence-free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6616" w14:textId="76C313BD" w:rsidR="002A5352" w:rsidRDefault="002A535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95668202" w:history="1">
            <w:r w:rsidRPr="00454E24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KM curve and log-rank test for distance from anal verge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536D4" w14:textId="7F8E4534" w:rsidR="002A5352" w:rsidRDefault="002A535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95668203" w:history="1">
            <w:r w:rsidRPr="00454E24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Overall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3EE1" w14:textId="148F7121" w:rsidR="002A5352" w:rsidRDefault="002A535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95668204" w:history="1">
            <w:r w:rsidRPr="00454E24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Recurrence-free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0BBE" w14:textId="2C11113B" w:rsidR="002A5352" w:rsidRDefault="002A535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95668205" w:history="1">
            <w:r w:rsidRPr="00454E24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Univariate cox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12EDE" w14:textId="496BF88E" w:rsidR="002A5352" w:rsidRDefault="002A535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95668206" w:history="1">
            <w:r w:rsidRPr="00454E24">
              <w:rPr>
                <w:rStyle w:val="Hyperlink"/>
                <w:noProof/>
              </w:rPr>
              <w:t>3.3.1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Overall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F95A" w14:textId="4A87AAD2" w:rsidR="002A5352" w:rsidRDefault="002A535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95668207" w:history="1">
            <w:r w:rsidRPr="00454E24">
              <w:rPr>
                <w:rStyle w:val="Hyperlink"/>
                <w:noProof/>
              </w:rPr>
              <w:t>3.3.2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Recurrence free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D188" w14:textId="5DE1A2AE" w:rsidR="002A5352" w:rsidRDefault="002A535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95668208" w:history="1">
            <w:r w:rsidRPr="00454E24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multivariable cox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0E19" w14:textId="78661804" w:rsidR="002A5352" w:rsidRDefault="002A535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95668209" w:history="1">
            <w:r w:rsidRPr="00454E24">
              <w:rPr>
                <w:rStyle w:val="Hyperlink"/>
                <w:noProof/>
              </w:rPr>
              <w:t>3.4.1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Overall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597B2" w14:textId="34563DEC" w:rsidR="002A5352" w:rsidRDefault="002A535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95668210" w:history="1">
            <w:r w:rsidRPr="00454E24">
              <w:rPr>
                <w:rStyle w:val="Hyperlink"/>
                <w:noProof/>
              </w:rPr>
              <w:t>3.4.2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Recurrence free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4D80" w14:textId="60FB423C" w:rsidR="002A5352" w:rsidRDefault="002A535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95668211" w:history="1">
            <w:r w:rsidRPr="00454E24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Multivariable analysis v2 (with staging ypRT)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EE611" w14:textId="24AF0E81" w:rsidR="002A5352" w:rsidRDefault="002A535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95668212" w:history="1">
            <w:r w:rsidRPr="00454E24">
              <w:rPr>
                <w:rStyle w:val="Hyperlink"/>
                <w:noProof/>
              </w:rPr>
              <w:t>3.5.1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Overall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E75B" w14:textId="40CD441E" w:rsidR="002A5352" w:rsidRDefault="002A535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95668213" w:history="1">
            <w:r w:rsidRPr="00454E24">
              <w:rPr>
                <w:rStyle w:val="Hyperlink"/>
                <w:noProof/>
              </w:rPr>
              <w:t>3.5.2</w:t>
            </w:r>
            <w:r>
              <w:rPr>
                <w:noProof/>
              </w:rPr>
              <w:tab/>
            </w:r>
            <w:r w:rsidRPr="00454E24">
              <w:rPr>
                <w:rStyle w:val="Hyperlink"/>
                <w:noProof/>
              </w:rPr>
              <w:t>Recurrence free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6D4D" w14:textId="0F3444FC" w:rsidR="00D57FE3" w:rsidRDefault="00B64FD1">
          <w:r>
            <w:fldChar w:fldCharType="end"/>
          </w:r>
        </w:p>
      </w:sdtContent>
    </w:sdt>
    <w:p w14:paraId="12C06D4E" w14:textId="77777777" w:rsidR="00D57FE3" w:rsidRDefault="00B64FD1">
      <w:pPr>
        <w:pStyle w:val="BlockText"/>
      </w:pPr>
      <w:r>
        <w:t>The patient cohort in this study are those who have undergone surgical resection for stage III rectal cancer. This project aims to evaluate the survival performance between two different post-op management, namely between patients who have been managed wit</w:t>
      </w:r>
      <w:r>
        <w:t>h adjuvant chemotherapy or surveillance.</w:t>
      </w:r>
    </w:p>
    <w:p w14:paraId="12C06D4F" w14:textId="77777777" w:rsidR="00D57FE3" w:rsidRDefault="00B64FD1">
      <w:pPr>
        <w:pStyle w:val="Heading1"/>
      </w:pPr>
      <w:bookmarkStart w:id="0" w:name="patient-baseline-profiles"/>
      <w:bookmarkStart w:id="1" w:name="_Toc95668196"/>
      <w:r>
        <w:rPr>
          <w:rStyle w:val="SectionNumber"/>
        </w:rPr>
        <w:t>1</w:t>
      </w:r>
      <w:r>
        <w:tab/>
        <w:t>Patient baseline profiles</w:t>
      </w:r>
      <w:bookmarkEnd w:id="1"/>
    </w:p>
    <w:p w14:paraId="12C06D50" w14:textId="77777777" w:rsidR="00D57FE3" w:rsidRDefault="00B64FD1">
      <w:pPr>
        <w:pStyle w:val="BlockText"/>
      </w:pPr>
      <w:r>
        <w:t>First, the baseline profiles between adjuvant chemo versus surveillance group were compared to assess potential differences. Compared to the adjuvant chemotherapy group, patients in the s</w:t>
      </w:r>
      <w:r>
        <w:t>urveillance group tends to be older and present with better prognostic profile, specifically fewer number of positive CRM, EMVI and lower staging after radiotherapy and surgery.</w:t>
      </w:r>
    </w:p>
    <w:p w14:paraId="12C06D51" w14:textId="77777777" w:rsidR="00D57FE3" w:rsidRDefault="00B64FD1">
      <w:pPr>
        <w:pStyle w:val="SourceCode"/>
      </w:pPr>
      <w:r>
        <w:rPr>
          <w:rStyle w:val="VerbatimChar"/>
        </w:rPr>
        <w:t>## Setting theme `JAMA`</w:t>
      </w:r>
    </w:p>
    <w:p w14:paraId="12C06D52" w14:textId="77777777" w:rsidR="00D57FE3" w:rsidRDefault="00B64FD1">
      <w:pPr>
        <w:pStyle w:val="SourceCode"/>
      </w:pPr>
      <w:r>
        <w:rPr>
          <w:rStyle w:val="VerbatimChar"/>
        </w:rPr>
        <w:lastRenderedPageBreak/>
        <w:t>## 5 observations missing `adjuvant_management` have b</w:t>
      </w:r>
      <w:r>
        <w:rPr>
          <w:rStyle w:val="VerbatimChar"/>
        </w:rPr>
        <w:t>een removed. To include these observations, use `forcats::fct_explicit_na()` on `adjuvant_management` column before passing to `tbl_summary()`.</w:t>
      </w:r>
    </w:p>
    <w:tbl>
      <w:tblPr>
        <w:tblStyle w:val="Table"/>
        <w:tblW w:w="10377" w:type="dxa"/>
        <w:jc w:val="center"/>
        <w:tblLayout w:type="fixed"/>
        <w:tblLook w:val="0420" w:firstRow="1" w:lastRow="0" w:firstColumn="0" w:lastColumn="0" w:noHBand="0" w:noVBand="1"/>
      </w:tblPr>
      <w:tblGrid>
        <w:gridCol w:w="4769"/>
        <w:gridCol w:w="612"/>
        <w:gridCol w:w="2206"/>
        <w:gridCol w:w="1849"/>
        <w:gridCol w:w="941"/>
      </w:tblGrid>
      <w:tr w:rsidR="00D57FE3" w14:paraId="12C06D58" w14:textId="77777777" w:rsidTr="00B64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1"/>
          <w:tblHeader/>
          <w:jc w:val="center"/>
        </w:trPr>
        <w:tc>
          <w:tcPr>
            <w:tcW w:w="47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53" w14:textId="77777777" w:rsidR="00D57FE3" w:rsidRDefault="00B64FD1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6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54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2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55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adjuvant_chemo, N = 95</w:t>
            </w:r>
          </w:p>
        </w:tc>
        <w:tc>
          <w:tcPr>
            <w:tcW w:w="18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56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surveillence, N = 73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57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D57FE3" w14:paraId="12C06D5E" w14:textId="77777777" w:rsidTr="00B64FD1">
        <w:trPr>
          <w:cantSplit/>
          <w:trHeight w:val="460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59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at diagnosis, Median (IQR)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5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5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(55 – 69)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5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(61 – 78)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5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D57FE3" w14:paraId="12C06D64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5F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CRM, n (%)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6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6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6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6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0.006</w:t>
            </w:r>
          </w:p>
        </w:tc>
      </w:tr>
      <w:tr w:rsidR="00D57FE3" w14:paraId="12C06D6A" w14:textId="77777777" w:rsidTr="00B64FD1">
        <w:trPr>
          <w:cantSplit/>
          <w:trHeight w:val="460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6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6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6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(89)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6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 (70)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6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70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6B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neg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6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6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(11)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6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(30)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6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76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71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 status, n (%)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7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7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7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75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0.057</w:t>
            </w:r>
          </w:p>
        </w:tc>
      </w:tr>
      <w:tr w:rsidR="00D57FE3" w14:paraId="12C06D7C" w14:textId="77777777" w:rsidTr="00B64FD1">
        <w:trPr>
          <w:cantSplit/>
          <w:trHeight w:val="460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77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R0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7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7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 (85)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7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 (94)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7B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82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7D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R1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7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7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(15)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8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(5.6)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8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88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83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TRG status, n (%)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8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8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8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8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</w:tr>
      <w:tr w:rsidR="00D57FE3" w14:paraId="12C06D8E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8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TRG3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8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8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(28)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8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(33)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8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94" w14:textId="77777777" w:rsidTr="00B64FD1">
        <w:trPr>
          <w:cantSplit/>
          <w:trHeight w:val="460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8F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TRG0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9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9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9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9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9A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9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TRG1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9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9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(7.0)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9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(9.1)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9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A0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9B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TRG2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9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9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(56)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9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(48)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9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A6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A1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TRG4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A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A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(4.7)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A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(6.1)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A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AC" w14:textId="77777777" w:rsidTr="00B64FD1">
        <w:trPr>
          <w:cantSplit/>
          <w:trHeight w:val="460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A7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TRG5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A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A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(4.7)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A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(3.0)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AB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B2" w14:textId="77777777" w:rsidTr="00B64FD1">
        <w:trPr>
          <w:cantSplit/>
          <w:trHeight w:val="460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AD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Distance from anal verge, Median (IQR)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A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A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3.00 (1.00 – 6.00)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B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4.50 (2.00 – 6.25)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B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0.083</w:t>
            </w:r>
          </w:p>
        </w:tc>
      </w:tr>
      <w:tr w:rsidR="00D57FE3" w14:paraId="12C06DB8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B3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Distance from anal verge category, n (%)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B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B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B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B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D57FE3" w14:paraId="12C06DBE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B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&lt;5cm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B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B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(63)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B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(50)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B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C4" w14:textId="77777777" w:rsidTr="00B64FD1">
        <w:trPr>
          <w:cantSplit/>
          <w:trHeight w:val="460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BF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5-10cm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C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C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(37)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C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(50)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C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CA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C5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EMVI, n (%)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C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C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C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C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D57FE3" w14:paraId="12C06DD0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CB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neg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C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C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(26)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C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(61)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C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D6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D1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D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D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 (74)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D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(39)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D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DC" w14:textId="77777777" w:rsidTr="00B64FD1">
        <w:trPr>
          <w:cantSplit/>
          <w:trHeight w:val="460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D7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Time between radiotherapy and surgery, Median (IQR)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D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D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 (77 – 99)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D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 (77 – 118)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D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</w:t>
            </w:r>
          </w:p>
        </w:tc>
      </w:tr>
      <w:tr w:rsidR="00D57FE3" w14:paraId="12C06DE2" w14:textId="77777777" w:rsidTr="00B64FD1">
        <w:trPr>
          <w:cantSplit/>
          <w:trHeight w:val="460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DD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Baseline histological grade, n (%)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D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D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E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E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</w:t>
            </w:r>
          </w:p>
        </w:tc>
      </w:tr>
      <w:tr w:rsidR="00D57FE3" w14:paraId="12C06DE8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E3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G3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E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E5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(13)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E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(14)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E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EE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E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G2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E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E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(87)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E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 (86)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E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DF4" w14:textId="77777777" w:rsidTr="00B64FD1">
        <w:trPr>
          <w:cantSplit/>
          <w:trHeight w:val="460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EF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Cancer staging post surgery, n (%)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F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F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F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F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D57FE3" w14:paraId="12C06DFA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F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stage_3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F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F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(34)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F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(13)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F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00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DFB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stage_0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F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F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(8.6)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F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(14)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DF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06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01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stage_1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0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0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(15)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0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(48)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0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0C" w14:textId="77777777" w:rsidTr="00B64FD1">
        <w:trPr>
          <w:cantSplit/>
          <w:trHeight w:val="460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07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stage_2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0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0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(42)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0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(25)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0B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12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0D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Cancer staging post radiotherapy, n (%)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0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0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1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1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0.003</w:t>
            </w:r>
          </w:p>
        </w:tc>
      </w:tr>
      <w:tr w:rsidR="00D57FE3" w14:paraId="12C06E18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13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stage_3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1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15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(46)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1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(32)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1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1E" w14:textId="77777777" w:rsidTr="00B64FD1">
        <w:trPr>
          <w:cantSplit/>
          <w:trHeight w:val="481"/>
          <w:jc w:val="center"/>
        </w:trPr>
        <w:tc>
          <w:tcPr>
            <w:tcW w:w="47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1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stage_1</w:t>
            </w:r>
          </w:p>
        </w:tc>
        <w:tc>
          <w:tcPr>
            <w:tcW w:w="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1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1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(9.7)</w:t>
            </w:r>
          </w:p>
        </w:tc>
        <w:tc>
          <w:tcPr>
            <w:tcW w:w="1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1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(34)</w:t>
            </w:r>
          </w:p>
        </w:tc>
        <w:tc>
          <w:tcPr>
            <w:tcW w:w="9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1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24" w14:textId="77777777" w:rsidTr="00B64FD1">
        <w:trPr>
          <w:cantSplit/>
          <w:trHeight w:val="460"/>
          <w:jc w:val="center"/>
        </w:trPr>
        <w:tc>
          <w:tcPr>
            <w:tcW w:w="476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1F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stage_2</w:t>
            </w:r>
          </w:p>
        </w:tc>
        <w:tc>
          <w:tcPr>
            <w:tcW w:w="6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2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2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(44)</w:t>
            </w:r>
          </w:p>
        </w:tc>
        <w:tc>
          <w:tcPr>
            <w:tcW w:w="184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2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(34)</w:t>
            </w:r>
          </w:p>
        </w:tc>
        <w:tc>
          <w:tcPr>
            <w:tcW w:w="93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2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26" w14:textId="77777777" w:rsidTr="00B64FD1">
        <w:trPr>
          <w:cantSplit/>
          <w:trHeight w:val="460"/>
          <w:jc w:val="center"/>
        </w:trPr>
        <w:tc>
          <w:tcPr>
            <w:tcW w:w="10377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25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Wilcoxon rank sum test; Pearson's Chi-squared test; Fisher's exact test</w:t>
            </w:r>
          </w:p>
        </w:tc>
      </w:tr>
    </w:tbl>
    <w:p w14:paraId="12C06E27" w14:textId="77777777" w:rsidR="00D57FE3" w:rsidRDefault="002A5352">
      <w:r>
        <w:rPr>
          <w:noProof/>
        </w:rPr>
      </w:r>
      <w:r w:rsidR="002A5352">
        <w:rPr>
          <w:noProof/>
        </w:rPr>
        <w:pict w14:anchorId="12C071E0">
          <v:rect id="_x0000_i1025" alt="" style="width:451.3pt;height:.05pt;mso-width-percent:0;mso-height-percent:0;mso-width-percent:0;mso-height-percent:0" o:hralign="center" o:hrstd="t" o:hr="t"/>
        </w:pict>
      </w:r>
    </w:p>
    <w:p w14:paraId="12C06E28" w14:textId="77777777" w:rsidR="00D57FE3" w:rsidRDefault="00B64FD1">
      <w:pPr>
        <w:pStyle w:val="Heading1"/>
      </w:pPr>
      <w:bookmarkStart w:id="2" w:name="missing-data-pattern"/>
      <w:bookmarkStart w:id="3" w:name="_Toc95668197"/>
      <w:bookmarkEnd w:id="0"/>
      <w:r>
        <w:rPr>
          <w:rStyle w:val="SectionNumber"/>
        </w:rPr>
        <w:t>2</w:t>
      </w:r>
      <w:r>
        <w:tab/>
        <w:t>Missing data pattern</w:t>
      </w:r>
      <w:bookmarkEnd w:id="3"/>
    </w:p>
    <w:p w14:paraId="12C06E29" w14:textId="77777777" w:rsidR="00D57FE3" w:rsidRDefault="00B64FD1">
      <w:pPr>
        <w:pStyle w:val="BlockText"/>
      </w:pPr>
      <w:r>
        <w:t>TRG status, EMVI and cancer stage post radiotherapy are observed to display more than 20% missingness. These co-variates are excluded from subsequent multivar</w:t>
      </w:r>
      <w:r>
        <w:t>iate analysis.</w:t>
      </w:r>
    </w:p>
    <w:p w14:paraId="12C06E2A" w14:textId="77777777" w:rsidR="00D57FE3" w:rsidRDefault="00B64FD1">
      <w:pPr>
        <w:pStyle w:val="FirstParagraph"/>
      </w:pPr>
      <w:r>
        <w:rPr>
          <w:noProof/>
        </w:rPr>
        <w:lastRenderedPageBreak/>
        <w:drawing>
          <wp:inline distT="0" distB="0" distL="0" distR="0" wp14:anchorId="12C071E1" wp14:editId="12C071E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kaiwenwang/Documents/OneDrive/rectal_chemo_vs_surveillance/output/rectal_analysis_files/figure-docx/missing%20da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06E2B" w14:textId="77777777" w:rsidR="00D57FE3" w:rsidRDefault="002A5352">
      <w:r>
        <w:rPr>
          <w:noProof/>
        </w:rPr>
      </w:r>
      <w:r w:rsidR="002A5352">
        <w:rPr>
          <w:noProof/>
        </w:rPr>
        <w:pict w14:anchorId="12C071E3">
          <v:rect id="_x0000_i1026" alt="" style="width:451.3pt;height:.05pt;mso-width-percent:0;mso-height-percent:0;mso-width-percent:0;mso-height-percent:0" o:hralign="center" o:hrstd="t" o:hr="t"/>
        </w:pict>
      </w:r>
    </w:p>
    <w:p w14:paraId="12C06E2C" w14:textId="77777777" w:rsidR="00D57FE3" w:rsidRDefault="00B64FD1">
      <w:pPr>
        <w:pStyle w:val="Heading1"/>
      </w:pPr>
      <w:bookmarkStart w:id="4" w:name="survival-analysis"/>
      <w:bookmarkStart w:id="5" w:name="_Toc95668198"/>
      <w:bookmarkEnd w:id="2"/>
      <w:r>
        <w:rPr>
          <w:rStyle w:val="SectionNumber"/>
        </w:rPr>
        <w:t>3</w:t>
      </w:r>
      <w:r>
        <w:tab/>
        <w:t>Survival analysis</w:t>
      </w:r>
      <w:bookmarkEnd w:id="5"/>
    </w:p>
    <w:p w14:paraId="12C06E2D" w14:textId="77777777" w:rsidR="00D57FE3" w:rsidRDefault="00B64FD1">
      <w:pPr>
        <w:pStyle w:val="Heading2"/>
      </w:pPr>
      <w:bookmarkStart w:id="6" w:name="X8eb7ae956b57185b66bfdcb27d36236d5f3353c"/>
      <w:bookmarkStart w:id="7" w:name="_Toc95668199"/>
      <w:r>
        <w:rPr>
          <w:rStyle w:val="SectionNumber"/>
        </w:rPr>
        <w:t>3.1</w:t>
      </w:r>
      <w:r>
        <w:tab/>
        <w:t>KM curve and log-rank test for adjuvant chemo vs surveillance</w:t>
      </w:r>
      <w:bookmarkEnd w:id="7"/>
    </w:p>
    <w:p w14:paraId="12C06E2E" w14:textId="77777777" w:rsidR="00D57FE3" w:rsidRDefault="00B64FD1">
      <w:pPr>
        <w:pStyle w:val="Heading3"/>
      </w:pPr>
      <w:bookmarkStart w:id="8" w:name="overall-survival"/>
      <w:bookmarkStart w:id="9" w:name="_Toc95668200"/>
      <w:r>
        <w:rPr>
          <w:rStyle w:val="SectionNumber"/>
        </w:rPr>
        <w:t>3.1.1</w:t>
      </w:r>
      <w:r>
        <w:tab/>
        <w:t>Overall survival</w:t>
      </w:r>
      <w:bookmarkEnd w:id="9"/>
    </w:p>
    <w:p w14:paraId="12C06E2F" w14:textId="77777777" w:rsidR="00D57FE3" w:rsidRDefault="00B64FD1">
      <w:pPr>
        <w:pStyle w:val="BlockText"/>
      </w:pPr>
      <w:r>
        <w:t>Using log-rank test based on the KM curves of two groups. No significant difference in overall survival was detected between the (p=0.84)</w:t>
      </w:r>
    </w:p>
    <w:p w14:paraId="12C06E30" w14:textId="77777777" w:rsidR="00D57FE3" w:rsidRDefault="00B64FD1">
      <w:pPr>
        <w:pStyle w:val="FirstParagraph"/>
      </w:pPr>
      <w:r>
        <w:rPr>
          <w:noProof/>
        </w:rPr>
        <w:lastRenderedPageBreak/>
        <w:drawing>
          <wp:inline distT="0" distB="0" distL="0" distR="0" wp14:anchorId="12C071E4" wp14:editId="12C071E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kaiwenwang/Documents/OneDrive/rectal_chemo_vs_surveillance/output/rectal_analysis_files/figure-docx/KM%20curve%20o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06E31" w14:textId="77777777" w:rsidR="00D57FE3" w:rsidRDefault="00B64FD1">
      <w:pPr>
        <w:pStyle w:val="Heading3"/>
      </w:pPr>
      <w:bookmarkStart w:id="10" w:name="recurrence-free-survival"/>
      <w:bookmarkStart w:id="11" w:name="_Toc95668201"/>
      <w:bookmarkEnd w:id="8"/>
      <w:r>
        <w:rPr>
          <w:rStyle w:val="SectionNumber"/>
        </w:rPr>
        <w:t>3.1.2</w:t>
      </w:r>
      <w:r>
        <w:tab/>
        <w:t>Recurrence-free survival</w:t>
      </w:r>
      <w:bookmarkEnd w:id="11"/>
    </w:p>
    <w:p w14:paraId="12C06E32" w14:textId="77777777" w:rsidR="00D57FE3" w:rsidRDefault="00B64FD1">
      <w:pPr>
        <w:pStyle w:val="BlockText"/>
      </w:pPr>
      <w:r>
        <w:t>Using log-rank test based on the KM curves of two groups, there is a significantly be</w:t>
      </w:r>
      <w:r>
        <w:t>tter recurrence free survival in the surveillance group compared to the neoadjuvant chemotherapy group (p=0.037)</w:t>
      </w:r>
    </w:p>
    <w:p w14:paraId="12C06E33" w14:textId="77777777" w:rsidR="00D57FE3" w:rsidRDefault="00B64FD1">
      <w:pPr>
        <w:pStyle w:val="FirstParagraph"/>
      </w:pPr>
      <w:r>
        <w:rPr>
          <w:noProof/>
        </w:rPr>
        <w:lastRenderedPageBreak/>
        <w:drawing>
          <wp:inline distT="0" distB="0" distL="0" distR="0" wp14:anchorId="12C071E6" wp14:editId="12C071E7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kaiwenwang/Documents/OneDrive/rectal_chemo_vs_surveillance/output/rectal_analysis_files/figure-docx/KM%20curve%20rf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06E34" w14:textId="77777777" w:rsidR="00D57FE3" w:rsidRDefault="00B64FD1">
      <w:pPr>
        <w:pStyle w:val="Heading2"/>
      </w:pPr>
      <w:bookmarkStart w:id="12" w:name="Xefaf2f066d6de81ddcb5f27731be3a9200c2f8e"/>
      <w:bookmarkStart w:id="13" w:name="_Toc95668202"/>
      <w:bookmarkEnd w:id="10"/>
      <w:bookmarkEnd w:id="6"/>
      <w:r>
        <w:rPr>
          <w:rStyle w:val="SectionNumber"/>
        </w:rPr>
        <w:t>3.2</w:t>
      </w:r>
      <w:r>
        <w:tab/>
        <w:t>KM curve and log-rank test for distance from anal verge</w:t>
      </w:r>
      <w:bookmarkEnd w:id="13"/>
    </w:p>
    <w:p w14:paraId="12C06E35" w14:textId="77777777" w:rsidR="00D57FE3" w:rsidRDefault="00B64FD1">
      <w:pPr>
        <w:pStyle w:val="Heading3"/>
      </w:pPr>
      <w:bookmarkStart w:id="14" w:name="overall-survival-1"/>
      <w:bookmarkStart w:id="15" w:name="_Toc95668203"/>
      <w:r>
        <w:rPr>
          <w:rStyle w:val="SectionNumber"/>
        </w:rPr>
        <w:t>3.2.1</w:t>
      </w:r>
      <w:r>
        <w:tab/>
        <w:t>Overall survival</w:t>
      </w:r>
      <w:bookmarkEnd w:id="15"/>
    </w:p>
    <w:p w14:paraId="12C06E36" w14:textId="77777777" w:rsidR="00D57FE3" w:rsidRDefault="00B64FD1">
      <w:pPr>
        <w:pStyle w:val="BlockText"/>
      </w:pPr>
      <w:r>
        <w:t xml:space="preserve">Using log-rank test based on the KM curves of two groups. </w:t>
      </w:r>
      <w:r>
        <w:t>No significant difference in overall survival was detected between patients with a different distance from anal verge (p=0.92)</w:t>
      </w:r>
    </w:p>
    <w:p w14:paraId="12C06E37" w14:textId="77777777" w:rsidR="00D57FE3" w:rsidRDefault="00B64FD1">
      <w:pPr>
        <w:pStyle w:val="FirstParagraph"/>
      </w:pPr>
      <w:r>
        <w:rPr>
          <w:noProof/>
        </w:rPr>
        <w:lastRenderedPageBreak/>
        <w:drawing>
          <wp:inline distT="0" distB="0" distL="0" distR="0" wp14:anchorId="12C071E8" wp14:editId="12C071E9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kaiwenwang/Documents/OneDrive/rectal_chemo_vs_surveillance/output/rectal_analysis_files/figure-docx/KM%20curve%20anal%20verge%20category%20o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06E38" w14:textId="77777777" w:rsidR="00D57FE3" w:rsidRDefault="00B64FD1">
      <w:pPr>
        <w:pStyle w:val="Heading3"/>
      </w:pPr>
      <w:bookmarkStart w:id="16" w:name="recurrence-free-survival-1"/>
      <w:bookmarkStart w:id="17" w:name="_Toc95668204"/>
      <w:bookmarkEnd w:id="14"/>
      <w:r>
        <w:rPr>
          <w:rStyle w:val="SectionNumber"/>
        </w:rPr>
        <w:t>3.2.2</w:t>
      </w:r>
      <w:r>
        <w:tab/>
        <w:t>Recurrence-free survival</w:t>
      </w:r>
      <w:bookmarkEnd w:id="17"/>
    </w:p>
    <w:p w14:paraId="12C06E39" w14:textId="77777777" w:rsidR="00D57FE3" w:rsidRDefault="00B64FD1">
      <w:pPr>
        <w:pStyle w:val="BlockText"/>
      </w:pPr>
      <w:r>
        <w:t>Using log-rank test based on the KM curves of two groups,no significant difference in RFS was fo</w:t>
      </w:r>
      <w:r>
        <w:t>und between patients with a different distance from anal verge (p=0.96)</w:t>
      </w:r>
    </w:p>
    <w:p w14:paraId="12C06E3A" w14:textId="77777777" w:rsidR="00D57FE3" w:rsidRDefault="00B64FD1">
      <w:pPr>
        <w:pStyle w:val="FirstParagraph"/>
      </w:pPr>
      <w:r>
        <w:rPr>
          <w:noProof/>
        </w:rPr>
        <w:lastRenderedPageBreak/>
        <w:drawing>
          <wp:inline distT="0" distB="0" distL="0" distR="0" wp14:anchorId="12C071EA" wp14:editId="12C071EB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kaiwenwang/Documents/OneDrive/rectal_chemo_vs_surveillance/output/rectal_analysis_files/figure-docx/KM%20curve%20anal%20verge%20category%20rf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06E3B" w14:textId="77777777" w:rsidR="00D57FE3" w:rsidRDefault="00B64FD1">
      <w:pPr>
        <w:pStyle w:val="Heading2"/>
      </w:pPr>
      <w:bookmarkStart w:id="18" w:name="univariate-cox-regression"/>
      <w:bookmarkStart w:id="19" w:name="_Toc95668205"/>
      <w:bookmarkEnd w:id="16"/>
      <w:bookmarkEnd w:id="12"/>
      <w:r>
        <w:rPr>
          <w:rStyle w:val="SectionNumber"/>
        </w:rPr>
        <w:t>3.3</w:t>
      </w:r>
      <w:r>
        <w:tab/>
        <w:t>Univariate cox regression</w:t>
      </w:r>
      <w:bookmarkEnd w:id="19"/>
    </w:p>
    <w:p w14:paraId="12C06E3C" w14:textId="77777777" w:rsidR="00D57FE3" w:rsidRDefault="00B64FD1">
      <w:pPr>
        <w:pStyle w:val="BlockText"/>
      </w:pPr>
      <w:r>
        <w:t>Univariate cox regression was conducted to assess each included variable’s influence on the respective survival outcome.</w:t>
      </w:r>
    </w:p>
    <w:p w14:paraId="12C06E3D" w14:textId="77777777" w:rsidR="00D57FE3" w:rsidRDefault="00B64FD1">
      <w:pPr>
        <w:pStyle w:val="Heading3"/>
      </w:pPr>
      <w:bookmarkStart w:id="20" w:name="overall-survival-2"/>
      <w:bookmarkStart w:id="21" w:name="_Toc95668206"/>
      <w:r>
        <w:rPr>
          <w:rStyle w:val="SectionNumber"/>
        </w:rPr>
        <w:t>3.3.1</w:t>
      </w:r>
      <w:r>
        <w:tab/>
        <w:t>Overall survival</w:t>
      </w:r>
      <w:bookmarkEnd w:id="21"/>
    </w:p>
    <w:p w14:paraId="12C06E3E" w14:textId="77777777" w:rsidR="00D57FE3" w:rsidRDefault="00B64FD1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coxph.fit(X, Y, istrat, offset, init, control, weights = weights, :</w:t>
      </w:r>
      <w:r>
        <w:br/>
      </w:r>
      <w:r>
        <w:rPr>
          <w:rStyle w:val="VerbatimChar"/>
        </w:rPr>
        <w:t>## Loglik converged before variable 1 ; coefficient may be infinite.</w:t>
      </w:r>
    </w:p>
    <w:p w14:paraId="12C06E3F" w14:textId="77777777" w:rsidR="00D57FE3" w:rsidRDefault="00B64FD1">
      <w:pPr>
        <w:pStyle w:val="SourceCode"/>
      </w:pPr>
      <w:r>
        <w:rPr>
          <w:rStyle w:val="VerbatimChar"/>
        </w:rPr>
        <w:t>## Warning in coxph.fit(X, Y, istrat, offset, init, control, weights = weights, :</w:t>
      </w:r>
      <w:r>
        <w:br/>
      </w:r>
      <w:r>
        <w:rPr>
          <w:rStyle w:val="VerbatimChar"/>
        </w:rPr>
        <w:t>## Loglik converged before variable 4,5 ; coefficient may be infinite.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9"/>
        <w:gridCol w:w="778"/>
        <w:gridCol w:w="2209"/>
        <w:gridCol w:w="1132"/>
      </w:tblGrid>
      <w:tr w:rsidR="00D57FE3" w14:paraId="12C06E44" w14:textId="77777777" w:rsidTr="00D57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2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40" w14:textId="77777777" w:rsidR="00D57FE3" w:rsidRDefault="00B64FD1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41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42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(95% CI)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43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D57FE3" w14:paraId="12C06E49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45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at diagnosis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4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4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(0.96 to 1.03)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4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</w:tr>
      <w:tr w:rsidR="00D57FE3" w14:paraId="12C06E4E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4A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4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4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4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53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4F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5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5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5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58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54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neg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5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5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(0.00 to Inf)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5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&gt;0.99</w:t>
            </w:r>
          </w:p>
        </w:tc>
      </w:tr>
      <w:tr w:rsidR="00D57FE3" w14:paraId="12C06E5D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59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R status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5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5B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5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62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5E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5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6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6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67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63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6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65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6.99 (3.01 to 16.2)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6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D57FE3" w14:paraId="12C06E6C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68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 status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6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6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6B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71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6D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6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6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7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76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72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7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7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7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7B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77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7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7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1.39 (0.15 to 12.5)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7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</w:tr>
      <w:tr w:rsidR="00D57FE3" w14:paraId="12C06E80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7C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7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7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 (0.21 to 2.85)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7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</w:tr>
      <w:tr w:rsidR="00D57FE3" w14:paraId="12C06E85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81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8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8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(0.00 to Inf)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8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&gt;0.99</w:t>
            </w:r>
          </w:p>
        </w:tc>
      </w:tr>
      <w:tr w:rsidR="00D57FE3" w14:paraId="12C06E8A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86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8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8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(0.00 to Inf)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8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&gt;0.99</w:t>
            </w:r>
          </w:p>
        </w:tc>
      </w:tr>
      <w:tr w:rsidR="00D57FE3" w14:paraId="12C06E8F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8B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Distance from anal verge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8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8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 (0.89 to 1.21)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8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0.63</w:t>
            </w:r>
          </w:p>
        </w:tc>
      </w:tr>
      <w:tr w:rsidR="00D57FE3" w14:paraId="12C06E94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90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Distance from anal verge category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9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9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9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99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9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&lt;5cm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9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9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9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9E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9A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5-10cm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9B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9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 (0.40 to 2.27)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9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</w:tr>
      <w:tr w:rsidR="00D57FE3" w14:paraId="12C06EA3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9F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EMVI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A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A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A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A8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A4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neg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A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A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A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AD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A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A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A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1.18 (0.47 to 3.01)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A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</w:t>
            </w:r>
          </w:p>
        </w:tc>
      </w:tr>
      <w:tr w:rsidR="00D57FE3" w14:paraId="12C06EB2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AE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adjuvant_management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A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B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B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B7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B3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adjuvant_chemo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B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B5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B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BC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B8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surveillence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B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B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 (0.40 to 2.09)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B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</w:tr>
      <w:tr w:rsidR="00D57FE3" w14:paraId="12C06EC1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BD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 between radiotherapy and surgery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B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B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(1.00 to 1.01)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C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</w:p>
        </w:tc>
      </w:tr>
      <w:tr w:rsidR="00D57FE3" w14:paraId="12C06EC6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C2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Baseline histological grade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C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C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C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CB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C7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C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C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C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D0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CC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C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C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 (0.16 to 0.97)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C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0.043</w:t>
            </w:r>
          </w:p>
        </w:tc>
      </w:tr>
      <w:tr w:rsidR="00D57FE3" w14:paraId="12C06ED5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D1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Cancer staging post surgery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D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D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D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DA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D6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D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D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D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DF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DB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stage_0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D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D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 (0.11 to 2.31)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D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</w:t>
            </w:r>
          </w:p>
        </w:tc>
      </w:tr>
      <w:tr w:rsidR="00D57FE3" w14:paraId="12C06EE4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E0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E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E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 (0.04 to 0.88)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E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0.034</w:t>
            </w:r>
          </w:p>
        </w:tc>
      </w:tr>
      <w:tr w:rsidR="00D57FE3" w14:paraId="12C06EE9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E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E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E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 (0.38 to 2.12)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E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</w:t>
            </w:r>
          </w:p>
        </w:tc>
      </w:tr>
      <w:tr w:rsidR="00D57FE3" w14:paraId="12C06EEE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EA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Cancer staging post radiotherapy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E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E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E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F3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EF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F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F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F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EF8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F4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F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F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1.37 (0.40 to 4.71)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F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</w:t>
            </w:r>
          </w:p>
        </w:tc>
      </w:tr>
      <w:tr w:rsidR="00D57FE3" w14:paraId="12C06EFD" w14:textId="77777777" w:rsidTr="00D57FE3">
        <w:trPr>
          <w:cantSplit/>
          <w:jc w:val="center"/>
        </w:trPr>
        <w:tc>
          <w:tcPr>
            <w:tcW w:w="42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EF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stage_2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F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F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1.28 (0.46 to 3.52)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F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</w:tr>
      <w:tr w:rsidR="00D57FE3" w14:paraId="12C06EFF" w14:textId="77777777" w:rsidTr="00D57FE3">
        <w:trPr>
          <w:cantSplit/>
          <w:jc w:val="center"/>
        </w:trPr>
        <w:tc>
          <w:tcPr>
            <w:tcW w:w="841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EFE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2C06F00" w14:textId="77777777" w:rsidR="00D57FE3" w:rsidRDefault="00B64FD1">
      <w:pPr>
        <w:pStyle w:val="Heading3"/>
      </w:pPr>
      <w:bookmarkStart w:id="22" w:name="recurrence-free-survival-2"/>
      <w:bookmarkStart w:id="23" w:name="_Toc95668207"/>
      <w:bookmarkEnd w:id="20"/>
      <w:r>
        <w:rPr>
          <w:rStyle w:val="SectionNumber"/>
        </w:rPr>
        <w:t>3.3.2</w:t>
      </w:r>
      <w:r>
        <w:tab/>
        <w:t>Recurrence free survival</w:t>
      </w:r>
      <w:bookmarkEnd w:id="23"/>
    </w:p>
    <w:p w14:paraId="12C06F01" w14:textId="77777777" w:rsidR="00D57FE3" w:rsidRDefault="00B64FD1">
      <w:pPr>
        <w:pStyle w:val="SourceCode"/>
      </w:pPr>
      <w:r>
        <w:rPr>
          <w:rStyle w:val="VerbatimChar"/>
        </w:rPr>
        <w:t>## Warning in coxph.fit(X, Y, istrat, offset, init, control, weights = weights, :</w:t>
      </w:r>
      <w:r>
        <w:br/>
      </w:r>
      <w:r>
        <w:rPr>
          <w:rStyle w:val="VerbatimChar"/>
        </w:rPr>
        <w:t>## Loglik converged before variable 4,5 ; coefficient may be infinite.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9"/>
        <w:gridCol w:w="778"/>
        <w:gridCol w:w="2209"/>
        <w:gridCol w:w="1132"/>
      </w:tblGrid>
      <w:tr w:rsidR="00D57FE3" w14:paraId="12C06F06" w14:textId="77777777" w:rsidTr="00D57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2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02" w14:textId="77777777" w:rsidR="00D57FE3" w:rsidRDefault="00B64FD1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03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04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(95% CI)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05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D57FE3" w14:paraId="12C06F0B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07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at diagnosis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0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0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 (0.95 to 1.01)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0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</w:tr>
      <w:tr w:rsidR="00D57FE3" w14:paraId="12C06F10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0C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0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0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0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15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11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1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1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1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1A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16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neg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1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1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 (0.06 to 1.06)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1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0.060</w:t>
            </w:r>
          </w:p>
        </w:tc>
      </w:tr>
      <w:tr w:rsidR="00D57FE3" w14:paraId="12C06F1F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1B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 status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1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1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1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24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20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2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2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2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29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2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2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2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7.08 (3.23 to 15.5)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2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D57FE3" w14:paraId="12C06F2E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2A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 status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2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2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2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33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2F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3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3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3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38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34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3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3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3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3D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3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3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3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5.01 (1.01 to 24.9)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3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0.049</w:t>
            </w:r>
          </w:p>
        </w:tc>
      </w:tr>
      <w:tr w:rsidR="00D57FE3" w14:paraId="12C06F42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3E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3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4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1.38 (0.36 to 5.35)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4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</w:tr>
      <w:tr w:rsidR="00D57FE3" w14:paraId="12C06F47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43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4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45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(0.00 to Inf)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4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&gt;0.99</w:t>
            </w:r>
          </w:p>
        </w:tc>
      </w:tr>
      <w:tr w:rsidR="00D57FE3" w14:paraId="12C06F4C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48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TRG5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4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4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(0.00 to Inf)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4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&gt;0.99</w:t>
            </w:r>
          </w:p>
        </w:tc>
      </w:tr>
      <w:tr w:rsidR="00D57FE3" w14:paraId="12C06F51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4D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Distance from anal verge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4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4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 (0.94 to 1.24)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5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</w:t>
            </w:r>
          </w:p>
        </w:tc>
      </w:tr>
      <w:tr w:rsidR="00D57FE3" w14:paraId="12C06F56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52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Distance from anal verge category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5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5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5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5B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57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&lt;5cm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5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5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5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60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5C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5-10cm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5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5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 (0.46 to 2.24)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5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</w:tr>
      <w:tr w:rsidR="00D57FE3" w14:paraId="12C06F65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61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EMVI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6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6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6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6A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66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neg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6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6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6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6F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6B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6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6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1.65 (0.64 to 4.30)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6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</w:t>
            </w:r>
          </w:p>
        </w:tc>
      </w:tr>
      <w:tr w:rsidR="00D57FE3" w14:paraId="12C06F74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70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adjuvant_management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7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7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7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79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7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adjuvant_chemo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7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7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7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7E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7A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surveillence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7B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7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 (0.20 to 0.97)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7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0.043</w:t>
            </w:r>
          </w:p>
        </w:tc>
      </w:tr>
      <w:tr w:rsidR="00D57FE3" w14:paraId="12C06F83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7F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 between radiotherapy and surgery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8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8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(1.00 to 1.00)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8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</w:tr>
      <w:tr w:rsidR="00D57FE3" w14:paraId="12C06F88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84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Baseline histological grade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85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8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8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8D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8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8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8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8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92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8E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8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9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 (0.24 to 1.42)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9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</w:t>
            </w:r>
          </w:p>
        </w:tc>
      </w:tr>
      <w:tr w:rsidR="00D57FE3" w14:paraId="12C06F97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93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Cancer staging post surgery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9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9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9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9C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98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9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9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9B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A1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9D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9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9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 (0.03 to 1.69)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A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</w:tr>
      <w:tr w:rsidR="00D57FE3" w14:paraId="12C06FA6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A2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A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A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 (0.22 to 1.55)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A5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0.29</w:t>
            </w:r>
          </w:p>
        </w:tc>
      </w:tr>
      <w:tr w:rsidR="00D57FE3" w14:paraId="12C06FAB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A7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A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A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 (0.48 to 2.46)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A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</w:t>
            </w:r>
          </w:p>
        </w:tc>
      </w:tr>
      <w:tr w:rsidR="00D57FE3" w14:paraId="12C06FB0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AC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Cancer staging post radiotherapy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A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A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A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B5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B1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B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B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B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BA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B6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B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B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 (0.30 to 2.44)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B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</w:tr>
      <w:tr w:rsidR="00D57FE3" w14:paraId="12C06FBF" w14:textId="77777777" w:rsidTr="00D57FE3">
        <w:trPr>
          <w:cantSplit/>
          <w:jc w:val="center"/>
        </w:trPr>
        <w:tc>
          <w:tcPr>
            <w:tcW w:w="42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BB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stage_2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B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B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 (0.28 to 1.69)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B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</w:t>
            </w:r>
          </w:p>
        </w:tc>
      </w:tr>
      <w:tr w:rsidR="00D57FE3" w14:paraId="12C06FC1" w14:textId="77777777" w:rsidTr="00D57FE3">
        <w:trPr>
          <w:cantSplit/>
          <w:jc w:val="center"/>
        </w:trPr>
        <w:tc>
          <w:tcPr>
            <w:tcW w:w="841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C0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2C06FC2" w14:textId="77777777" w:rsidR="00D57FE3" w:rsidRDefault="00B64FD1">
      <w:pPr>
        <w:pStyle w:val="Heading2"/>
      </w:pPr>
      <w:bookmarkStart w:id="24" w:name="multivariable-cox-regression"/>
      <w:bookmarkStart w:id="25" w:name="_Toc95668208"/>
      <w:bookmarkEnd w:id="22"/>
      <w:bookmarkEnd w:id="18"/>
      <w:r>
        <w:rPr>
          <w:rStyle w:val="SectionNumber"/>
        </w:rPr>
        <w:lastRenderedPageBreak/>
        <w:t>3.4</w:t>
      </w:r>
      <w:r>
        <w:tab/>
        <w:t>multivariable cox regression</w:t>
      </w:r>
      <w:bookmarkEnd w:id="25"/>
    </w:p>
    <w:p w14:paraId="12C06FC3" w14:textId="77777777" w:rsidR="00D57FE3" w:rsidRDefault="00B64FD1">
      <w:pPr>
        <w:pStyle w:val="BlockText"/>
      </w:pPr>
      <w:r>
        <w:t>Next we aimed to compare the OS and RFS between adjuvant chemo and surveillance group using multivariable logistical regression accounting for known clinical prognostic factors including age, R status, distance from anal verge, baseline histological grade,</w:t>
      </w:r>
      <w:r>
        <w:t xml:space="preserve"> cancer staging post surgery and time interval between radiotherapy and surgery. Note data was pre-processed such that within each categorical variables, groups with very small number of samples (&lt;2) were removed. The same set of pre-processed data was use</w:t>
      </w:r>
      <w:r>
        <w:t>d throughout the entire data analysis to ensure consistency.</w:t>
      </w:r>
    </w:p>
    <w:p w14:paraId="12C06FC4" w14:textId="77777777" w:rsidR="00D57FE3" w:rsidRDefault="00B64FD1">
      <w:pPr>
        <w:pStyle w:val="Heading3"/>
      </w:pPr>
      <w:bookmarkStart w:id="26" w:name="overall-survival-3"/>
      <w:bookmarkStart w:id="27" w:name="_Toc95668209"/>
      <w:r>
        <w:rPr>
          <w:rStyle w:val="SectionNumber"/>
        </w:rPr>
        <w:t>3.4.1</w:t>
      </w:r>
      <w:r>
        <w:tab/>
        <w:t>Overall survival</w:t>
      </w:r>
      <w:bookmarkEnd w:id="27"/>
    </w:p>
    <w:p w14:paraId="12C06FC5" w14:textId="77777777" w:rsidR="00D57FE3" w:rsidRDefault="00B64FD1">
      <w:pPr>
        <w:pStyle w:val="BlockText"/>
      </w:pPr>
      <w:r>
        <w:t>No significant difference was found in overall survival between surveillance and adjuvant chemotherapy. Only R1 status was significantly associated with worse overall survi</w:t>
      </w:r>
      <w:r>
        <w:t>val compared to R0.</w:t>
      </w:r>
    </w:p>
    <w:p w14:paraId="12C06FC6" w14:textId="77777777" w:rsidR="00D57FE3" w:rsidRDefault="00B64FD1">
      <w:pPr>
        <w:pStyle w:val="SourceCode"/>
      </w:pPr>
      <w:r>
        <w:rPr>
          <w:rStyle w:val="VerbatimChar"/>
        </w:rPr>
        <w:t>## Warning in coxph.fit(X, Y, istrat, offset, init, control, weights = weights, :</w:t>
      </w:r>
      <w:r>
        <w:br/>
      </w:r>
      <w:r>
        <w:rPr>
          <w:rStyle w:val="VerbatimChar"/>
        </w:rPr>
        <w:t>## Loglik converged before variable 2 ; coefficient may be infinite.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9"/>
        <w:gridCol w:w="778"/>
        <w:gridCol w:w="2209"/>
        <w:gridCol w:w="1132"/>
      </w:tblGrid>
      <w:tr w:rsidR="00D57FE3" w14:paraId="12C06FCB" w14:textId="77777777" w:rsidTr="00D57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2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C7" w14:textId="77777777" w:rsidR="00D57FE3" w:rsidRDefault="00B64FD1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C8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C9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(95% CI)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CA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D57FE3" w14:paraId="12C06FD0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CC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at diagnosis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C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C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 (0.93 to 1.05)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C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</w:t>
            </w:r>
          </w:p>
        </w:tc>
      </w:tr>
      <w:tr w:rsidR="00D57FE3" w14:paraId="12C06FD5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D1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D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D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D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DA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D6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D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D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D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DF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DB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neg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D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D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(0.00 to Inf)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D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&gt;0.99</w:t>
            </w:r>
          </w:p>
        </w:tc>
      </w:tr>
      <w:tr w:rsidR="00D57FE3" w14:paraId="12C06FE4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E0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 status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E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E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E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E9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E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E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E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E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EE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EA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EB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E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6.44 (1.60 to 25.9)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E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0.009</w:t>
            </w:r>
          </w:p>
        </w:tc>
      </w:tr>
      <w:tr w:rsidR="00D57FE3" w14:paraId="12C06FF3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EF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Distance from anal verge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F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F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 (0.79 to 1.90)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F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</w:t>
            </w:r>
          </w:p>
        </w:tc>
      </w:tr>
      <w:tr w:rsidR="00D57FE3" w14:paraId="12C06FF8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F4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Distance from anal verge category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F5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F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F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6FFD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F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&lt;5cm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F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F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F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02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FFE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5-10cm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FF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0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 (0.03 to 4.22)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0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</w:t>
            </w:r>
          </w:p>
        </w:tc>
      </w:tr>
      <w:tr w:rsidR="00D57FE3" w14:paraId="12C07007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03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adjuvant_management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0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0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0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0C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08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adjuvant_chemo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0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0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0B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11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0D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surveillence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0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0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1.31 (0.38 to 4.54)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1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</w:t>
            </w:r>
          </w:p>
        </w:tc>
      </w:tr>
      <w:tr w:rsidR="00D57FE3" w14:paraId="12C07016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12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 between radiotherapy and surgery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1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1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(0.99 to 1.01)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15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</w:t>
            </w:r>
          </w:p>
        </w:tc>
      </w:tr>
      <w:tr w:rsidR="00D57FE3" w14:paraId="12C0701B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17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Baseline histological grade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1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1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1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20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1C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1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1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1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25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21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2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2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 (0.31 to 4.47)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2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</w:t>
            </w:r>
          </w:p>
        </w:tc>
      </w:tr>
      <w:tr w:rsidR="00D57FE3" w14:paraId="12C0702A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26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Cancer staging post surgery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2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2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2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2F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2B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2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2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2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34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30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3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3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 (0.18 to 9.17)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3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</w:tr>
      <w:tr w:rsidR="00D57FE3" w14:paraId="12C07039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3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3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3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 (0.03 to 3.20)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3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</w:t>
            </w:r>
          </w:p>
        </w:tc>
      </w:tr>
      <w:tr w:rsidR="00D57FE3" w14:paraId="12C0703E" w14:textId="77777777" w:rsidTr="00D57FE3">
        <w:trPr>
          <w:cantSplit/>
          <w:jc w:val="center"/>
        </w:trPr>
        <w:tc>
          <w:tcPr>
            <w:tcW w:w="42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3A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stage_2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3B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3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1.15 (0.30 to 4.43)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3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</w:tr>
      <w:tr w:rsidR="00D57FE3" w14:paraId="12C07040" w14:textId="77777777" w:rsidTr="00D57FE3">
        <w:trPr>
          <w:cantSplit/>
          <w:jc w:val="center"/>
        </w:trPr>
        <w:tc>
          <w:tcPr>
            <w:tcW w:w="841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3F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2C07041" w14:textId="77777777" w:rsidR="00D57FE3" w:rsidRDefault="00B64FD1">
      <w:pPr>
        <w:pStyle w:val="Heading3"/>
      </w:pPr>
      <w:bookmarkStart w:id="28" w:name="recurrence-free-survival-3"/>
      <w:bookmarkStart w:id="29" w:name="_Toc95668210"/>
      <w:bookmarkEnd w:id="26"/>
      <w:r>
        <w:rPr>
          <w:rStyle w:val="SectionNumber"/>
        </w:rPr>
        <w:t>3.4.2</w:t>
      </w:r>
      <w:r>
        <w:tab/>
        <w:t>Recurrence free survival</w:t>
      </w:r>
      <w:bookmarkEnd w:id="29"/>
    </w:p>
    <w:p w14:paraId="12C07042" w14:textId="77777777" w:rsidR="00D57FE3" w:rsidRDefault="00B64FD1">
      <w:pPr>
        <w:pStyle w:val="BlockText"/>
      </w:pPr>
      <w:r>
        <w:t xml:space="preserve">Patient undergoing surveillance was found to have a significantly lowered risk in recurrence free survival when compared to patient undergoing adjuvant chemotherapy. R1 status was </w:t>
      </w:r>
      <w:r>
        <w:t>again significantly associated with worse overall survival compared to R0. Distance from anal verge was also found to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9"/>
        <w:gridCol w:w="778"/>
        <w:gridCol w:w="2209"/>
        <w:gridCol w:w="1132"/>
      </w:tblGrid>
      <w:tr w:rsidR="00D57FE3" w14:paraId="12C07047" w14:textId="77777777" w:rsidTr="00D57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2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43" w14:textId="77777777" w:rsidR="00D57FE3" w:rsidRDefault="00B64FD1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44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45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(95% CI)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46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D57FE3" w14:paraId="12C0704C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48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at diagnosis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4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4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 (0.97 to 1.07)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4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0.43</w:t>
            </w:r>
          </w:p>
        </w:tc>
      </w:tr>
      <w:tr w:rsidR="00D57FE3" w14:paraId="12C07051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4D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4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4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5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56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52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5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5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5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5B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57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neg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5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5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 (0.04 to 2.98)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5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</w:t>
            </w:r>
          </w:p>
        </w:tc>
      </w:tr>
      <w:tr w:rsidR="00D57FE3" w14:paraId="12C07060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5C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 status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5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5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5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65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61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6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6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6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6A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66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6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6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4.13 (1.06 to 16.1)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6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0.041</w:t>
            </w:r>
          </w:p>
        </w:tc>
      </w:tr>
      <w:tr w:rsidR="00D57FE3" w14:paraId="12C0706F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6B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Distance from anal verge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6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6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2.09 (1.35 to 3.23)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6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D57FE3" w14:paraId="12C07074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70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Distance from anal verge category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7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7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7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79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7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&lt;5cm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7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7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7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7E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7A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5-10cm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7B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7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 (0.00 to 0.18)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7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D57FE3" w14:paraId="12C07083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7F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adjuvant_management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8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8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8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88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84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adjuvant_chemo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8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8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8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8D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8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surveillence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8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8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 (0.04 to 0.74)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8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0.019</w:t>
            </w:r>
          </w:p>
        </w:tc>
      </w:tr>
      <w:tr w:rsidR="00D57FE3" w14:paraId="12C07092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8E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 between radiotherapy and surgery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8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9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(0.99 to 1.01)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9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</w:t>
            </w:r>
          </w:p>
        </w:tc>
      </w:tr>
      <w:tr w:rsidR="00D57FE3" w14:paraId="12C07097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93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Baseline histological grade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9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9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9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9C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98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9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9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9B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A1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9D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9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9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 (0.08 to 1.49)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A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</w:tr>
      <w:tr w:rsidR="00D57FE3" w14:paraId="12C070A6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A2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Cancer staging post surgery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A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A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A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AB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A7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A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A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A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B0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AC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A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A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 (0.07 to 8.28)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A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</w:t>
            </w:r>
          </w:p>
        </w:tc>
      </w:tr>
      <w:tr w:rsidR="00D57FE3" w14:paraId="12C070B5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B1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B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B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1.33 (0.24 to 7.51)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B4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</w:tr>
      <w:tr w:rsidR="00D57FE3" w14:paraId="12C070BA" w14:textId="77777777" w:rsidTr="00D57FE3">
        <w:trPr>
          <w:cantSplit/>
          <w:jc w:val="center"/>
        </w:trPr>
        <w:tc>
          <w:tcPr>
            <w:tcW w:w="42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B6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stage_2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B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B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1.70 (0.48 to 6.10)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B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</w:t>
            </w:r>
          </w:p>
        </w:tc>
      </w:tr>
      <w:tr w:rsidR="00D57FE3" w14:paraId="12C070BC" w14:textId="77777777" w:rsidTr="00D57FE3">
        <w:trPr>
          <w:cantSplit/>
          <w:jc w:val="center"/>
        </w:trPr>
        <w:tc>
          <w:tcPr>
            <w:tcW w:w="841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BB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2C070BD" w14:textId="77777777" w:rsidR="00D57FE3" w:rsidRDefault="00B64FD1">
      <w:pPr>
        <w:pStyle w:val="Heading2"/>
      </w:pPr>
      <w:bookmarkStart w:id="30" w:name="Xe10be5c8c635e71b939091f49496f5046da894a"/>
      <w:bookmarkStart w:id="31" w:name="_Toc95668211"/>
      <w:bookmarkEnd w:id="28"/>
      <w:bookmarkEnd w:id="24"/>
      <w:r>
        <w:rPr>
          <w:rStyle w:val="SectionNumber"/>
        </w:rPr>
        <w:t>3.5</w:t>
      </w:r>
      <w:r>
        <w:tab/>
      </w:r>
      <w:r>
        <w:t>Multivariable analysis v2 (with staging ypRT)</w:t>
      </w:r>
      <w:bookmarkEnd w:id="31"/>
    </w:p>
    <w:p w14:paraId="12C070BE" w14:textId="77777777" w:rsidR="00D57FE3" w:rsidRDefault="00B64FD1">
      <w:pPr>
        <w:pStyle w:val="BlockText"/>
      </w:pPr>
      <w:r>
        <w:t>This is the same multivariable analysis repeated to include staging post radiotherapy as it might be an important prognostic factor.</w:t>
      </w:r>
    </w:p>
    <w:p w14:paraId="12C070BF" w14:textId="77777777" w:rsidR="00D57FE3" w:rsidRDefault="00B64FD1">
      <w:pPr>
        <w:pStyle w:val="Heading3"/>
      </w:pPr>
      <w:bookmarkStart w:id="32" w:name="overall-survival-4"/>
      <w:bookmarkStart w:id="33" w:name="_Toc95668212"/>
      <w:r>
        <w:rPr>
          <w:rStyle w:val="SectionNumber"/>
        </w:rPr>
        <w:t>3.5.1</w:t>
      </w:r>
      <w:r>
        <w:tab/>
        <w:t>Overall survival</w:t>
      </w:r>
      <w:bookmarkEnd w:id="33"/>
    </w:p>
    <w:p w14:paraId="12C070C0" w14:textId="77777777" w:rsidR="00D57FE3" w:rsidRDefault="00B64FD1">
      <w:pPr>
        <w:pStyle w:val="BlockText"/>
      </w:pPr>
      <w:r>
        <w:t>Again, no significant difference was found in overall survival between surveillance and adjuvant chemotherapy group. Only R1 status was significantly associated with worse overall survival compared to R0.</w:t>
      </w:r>
    </w:p>
    <w:p w14:paraId="12C070C1" w14:textId="77777777" w:rsidR="00D57FE3" w:rsidRDefault="00B64FD1">
      <w:pPr>
        <w:pStyle w:val="SourceCode"/>
      </w:pPr>
      <w:r>
        <w:rPr>
          <w:rStyle w:val="VerbatimChar"/>
        </w:rPr>
        <w:t>## Warning in coxph.fit(X, Y, istrat, offset, init,</w:t>
      </w:r>
      <w:r>
        <w:rPr>
          <w:rStyle w:val="VerbatimChar"/>
        </w:rPr>
        <w:t xml:space="preserve"> control, weights = weights, :</w:t>
      </w:r>
      <w:r>
        <w:br/>
      </w:r>
      <w:r>
        <w:rPr>
          <w:rStyle w:val="VerbatimChar"/>
        </w:rPr>
        <w:t>## Loglik converged before variable 2 ; coefficient may be infinite.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9"/>
        <w:gridCol w:w="655"/>
        <w:gridCol w:w="2209"/>
        <w:gridCol w:w="1132"/>
      </w:tblGrid>
      <w:tr w:rsidR="00D57FE3" w14:paraId="12C070C6" w14:textId="77777777" w:rsidTr="00D57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2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C2" w14:textId="77777777" w:rsidR="00D57FE3" w:rsidRDefault="00B64FD1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6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C3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C4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(95% CI)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C5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D57FE3" w14:paraId="12C070CB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C7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at diagnosis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C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C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 (0.93 to 1.05)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C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</w:t>
            </w:r>
          </w:p>
        </w:tc>
      </w:tr>
      <w:tr w:rsidR="00D57FE3" w14:paraId="12C070D0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CC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CRM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C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C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C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D5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D1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D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D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D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DA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D6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neg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D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D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(0.00 to Inf)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D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&gt;0.99</w:t>
            </w:r>
          </w:p>
        </w:tc>
      </w:tr>
      <w:tr w:rsidR="00D57FE3" w14:paraId="12C070DF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DB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 status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D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D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D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E4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E0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R0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E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E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E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E9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E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R1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E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E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4.28 (0.73 to 25.2)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E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D57FE3" w14:paraId="12C070EE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EA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Distance from anal verge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E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E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1.43 (0.85 to 2.41)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E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</w:t>
            </w:r>
          </w:p>
        </w:tc>
      </w:tr>
      <w:tr w:rsidR="00D57FE3" w14:paraId="12C070F3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EF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Distance from anal verge category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F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F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F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F8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F4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&lt;5cm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F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F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F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0FD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F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5-10cm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F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F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 (0.01 to 3.32)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F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</w:t>
            </w:r>
          </w:p>
        </w:tc>
      </w:tr>
      <w:tr w:rsidR="00D57FE3" w14:paraId="12C07102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0FE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adjuvant_management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0F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0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0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07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03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adjuvant_chemo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0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05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0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0C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08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surveillence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0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0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 (0.19 to 4.05)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0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</w:tr>
      <w:tr w:rsidR="00D57FE3" w14:paraId="12C07111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0D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 between radiotherapy and surgery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0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0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(0.99 to 1.01)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1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</w:tr>
      <w:tr w:rsidR="00D57FE3" w14:paraId="12C07116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12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Baseline histological grade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1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1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1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1B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17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G3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1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1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1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20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1C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G2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1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1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 (0.10 to 6.23)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1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</w:tr>
      <w:tr w:rsidR="00D57FE3" w14:paraId="12C07125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21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Cancer staging post surgery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2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2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2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2A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26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stage_3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2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2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2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2F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2B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stage_0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2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2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 (0.08 to 9.69)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2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</w:tr>
      <w:tr w:rsidR="00D57FE3" w14:paraId="12C07134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30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stage_1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3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3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 (0.02 to 2.67)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3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</w:t>
            </w:r>
          </w:p>
        </w:tc>
      </w:tr>
      <w:tr w:rsidR="00D57FE3" w14:paraId="12C07139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3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stage_2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3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3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 (0.20 to 4.86)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3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</w:tr>
      <w:tr w:rsidR="00D57FE3" w14:paraId="12C0713E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3A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Cancer staging post radiotherapy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3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3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3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43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3F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stage_3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4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4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4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48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44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stage_1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4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4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2.59 (0.48 to 14.0)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4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</w:t>
            </w:r>
          </w:p>
        </w:tc>
      </w:tr>
      <w:tr w:rsidR="00D57FE3" w14:paraId="12C0714D" w14:textId="77777777" w:rsidTr="00D57FE3">
        <w:trPr>
          <w:cantSplit/>
          <w:jc w:val="center"/>
        </w:trPr>
        <w:tc>
          <w:tcPr>
            <w:tcW w:w="42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4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stage_2</w:t>
            </w:r>
          </w:p>
        </w:tc>
        <w:tc>
          <w:tcPr>
            <w:tcW w:w="6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4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4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1.26 (0.31 to 5.13)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4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</w:tr>
      <w:tr w:rsidR="00D57FE3" w14:paraId="12C0714F" w14:textId="77777777" w:rsidTr="00D57FE3">
        <w:trPr>
          <w:cantSplit/>
          <w:jc w:val="center"/>
        </w:trPr>
        <w:tc>
          <w:tcPr>
            <w:tcW w:w="8295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4E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2C07150" w14:textId="77777777" w:rsidR="00D57FE3" w:rsidRDefault="00B64FD1">
      <w:pPr>
        <w:pStyle w:val="Heading3"/>
      </w:pPr>
      <w:bookmarkStart w:id="34" w:name="recurrence-free-survival-4"/>
      <w:bookmarkStart w:id="35" w:name="_Toc95668213"/>
      <w:bookmarkEnd w:id="32"/>
      <w:r>
        <w:rPr>
          <w:rStyle w:val="SectionNumber"/>
        </w:rPr>
        <w:t>3.5.2</w:t>
      </w:r>
      <w:r>
        <w:tab/>
        <w:t>Recurrence free survival</w:t>
      </w:r>
      <w:bookmarkEnd w:id="35"/>
    </w:p>
    <w:p w14:paraId="12C07151" w14:textId="77777777" w:rsidR="00D57FE3" w:rsidRDefault="00B64FD1">
      <w:pPr>
        <w:pStyle w:val="BlockText"/>
      </w:pPr>
      <w:r>
        <w:t>This time, no significant difference was found in RFS between surveillance and adjuvant chemotherapy group.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9"/>
        <w:gridCol w:w="655"/>
        <w:gridCol w:w="2209"/>
        <w:gridCol w:w="1132"/>
      </w:tblGrid>
      <w:tr w:rsidR="00D57FE3" w14:paraId="12C07156" w14:textId="77777777" w:rsidTr="00D57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2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52" w14:textId="77777777" w:rsidR="00D57FE3" w:rsidRDefault="00B64FD1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6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53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54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(95% CI)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55" w14:textId="77777777" w:rsidR="00D57FE3" w:rsidRDefault="00B64FD1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D57FE3" w14:paraId="12C0715B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57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at diagnosis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5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5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 (0.96 to 1.06)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5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</w:t>
            </w:r>
          </w:p>
        </w:tc>
      </w:tr>
      <w:tr w:rsidR="00D57FE3" w14:paraId="12C07160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5C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CRM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5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5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5F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65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61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6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6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6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6A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66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neg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6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6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 (0.03 to 3.11)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6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</w:tr>
      <w:tr w:rsidR="00D57FE3" w14:paraId="12C0716F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6B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 status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6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6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6E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74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70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R0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7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7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7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79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7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R1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7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7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1.75 (0.29 to 10.8)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7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</w:t>
            </w:r>
          </w:p>
        </w:tc>
      </w:tr>
      <w:tr w:rsidR="00D57FE3" w14:paraId="12C0717E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7A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Distance from anal verge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7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7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2.50 (1.32 to 4.71)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7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0.005</w:t>
            </w:r>
          </w:p>
        </w:tc>
      </w:tr>
      <w:tr w:rsidR="00D57FE3" w14:paraId="12C07183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7F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Distance from anal verge category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8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8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8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88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84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&lt;5cm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8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8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8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8D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8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5-10cm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8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8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(0.00 to 0.20)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8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0.005</w:t>
            </w:r>
          </w:p>
        </w:tc>
      </w:tr>
      <w:tr w:rsidR="00D57FE3" w14:paraId="12C07192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8E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adjuvant_management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8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9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9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97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93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adjuvant_chemo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9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95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9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9C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98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surveillence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9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9A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 (0.05 to 1.13)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9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0.072</w:t>
            </w:r>
          </w:p>
        </w:tc>
      </w:tr>
      <w:tr w:rsidR="00D57FE3" w14:paraId="12C071A1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9D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 between radiotherapy and surgery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9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9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(0.99 to 1.01)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A0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</w:t>
            </w:r>
          </w:p>
        </w:tc>
      </w:tr>
      <w:tr w:rsidR="00D57FE3" w14:paraId="12C071A6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A2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Baseline histological grade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A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A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A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AB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A7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G3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A8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A9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A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B0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AC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G2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A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A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 (0.06 to 3.23)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AF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</w:t>
            </w:r>
          </w:p>
        </w:tc>
      </w:tr>
      <w:tr w:rsidR="00D57FE3" w14:paraId="12C071B5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B1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Cancer staging post surgery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B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B3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B4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BA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B6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stage_3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B7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B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B9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BF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BB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stage_0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B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BD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 (0.02 to 6.45)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BE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</w:t>
            </w:r>
          </w:p>
        </w:tc>
      </w:tr>
      <w:tr w:rsidR="00D57FE3" w14:paraId="12C071C4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C0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stage_1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C1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C2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 (0.07 to 5.33)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C3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</w:t>
            </w:r>
          </w:p>
        </w:tc>
      </w:tr>
      <w:tr w:rsidR="00D57FE3" w14:paraId="12C071C9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C5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stage_2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C6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C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2.80 (0.50 to 15.7)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C8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</w:t>
            </w:r>
          </w:p>
        </w:tc>
      </w:tr>
      <w:tr w:rsidR="00D57FE3" w14:paraId="12C071CE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CA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Cancer staging post radiotherapy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C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CC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CD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D3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CF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stage_3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D0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D1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D2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</w:tr>
      <w:tr w:rsidR="00D57FE3" w14:paraId="12C071D8" w14:textId="77777777" w:rsidTr="00D57FE3">
        <w:trPr>
          <w:cantSplit/>
          <w:jc w:val="center"/>
        </w:trPr>
        <w:tc>
          <w:tcPr>
            <w:tcW w:w="4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D4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stage_1</w:t>
            </w:r>
          </w:p>
        </w:tc>
        <w:tc>
          <w:tcPr>
            <w:tcW w:w="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D5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D6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1.88 (0.34 to 10.3)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D7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0.47</w:t>
            </w:r>
          </w:p>
        </w:tc>
      </w:tr>
      <w:tr w:rsidR="00D57FE3" w14:paraId="12C071DD" w14:textId="77777777" w:rsidTr="00D57FE3">
        <w:trPr>
          <w:cantSplit/>
          <w:jc w:val="center"/>
        </w:trPr>
        <w:tc>
          <w:tcPr>
            <w:tcW w:w="42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71D9" w14:textId="77777777" w:rsidR="00D57FE3" w:rsidRDefault="00B64FD1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stage_2</w:t>
            </w:r>
          </w:p>
        </w:tc>
        <w:tc>
          <w:tcPr>
            <w:tcW w:w="6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DA" w14:textId="77777777" w:rsidR="00D57FE3" w:rsidRDefault="00D57FE3">
            <w:pPr>
              <w:spacing w:before="100" w:after="100"/>
              <w:ind w:left="100" w:right="100"/>
              <w:jc w:val="center"/>
            </w:pPr>
          </w:p>
        </w:tc>
        <w:tc>
          <w:tcPr>
            <w:tcW w:w="22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DB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 (0.11 to 1.76)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DC" w14:textId="77777777" w:rsidR="00D57FE3" w:rsidRDefault="00B64FD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</w:t>
            </w:r>
          </w:p>
        </w:tc>
      </w:tr>
      <w:tr w:rsidR="00D57FE3" w14:paraId="12C071DF" w14:textId="77777777" w:rsidTr="00D57FE3">
        <w:trPr>
          <w:cantSplit/>
          <w:jc w:val="center"/>
        </w:trPr>
        <w:tc>
          <w:tcPr>
            <w:tcW w:w="8295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71DE" w14:textId="77777777" w:rsidR="00D57FE3" w:rsidRDefault="00B64FD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  <w:bookmarkEnd w:id="34"/>
      <w:bookmarkEnd w:id="30"/>
      <w:bookmarkEnd w:id="4"/>
    </w:tbl>
    <w:p w14:paraId="12C071E0" w14:textId="77777777" w:rsidR="00000000" w:rsidRDefault="00B64FD1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71F0" w14:textId="77777777" w:rsidR="00000000" w:rsidRDefault="00B64FD1">
      <w:pPr>
        <w:spacing w:after="0"/>
      </w:pPr>
      <w:r>
        <w:separator/>
      </w:r>
    </w:p>
  </w:endnote>
  <w:endnote w:type="continuationSeparator" w:id="0">
    <w:p w14:paraId="12C071F2" w14:textId="77777777" w:rsidR="00000000" w:rsidRDefault="00B64F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71EC" w14:textId="77777777" w:rsidR="00D57FE3" w:rsidRDefault="00B64FD1">
      <w:r>
        <w:separator/>
      </w:r>
    </w:p>
  </w:footnote>
  <w:footnote w:type="continuationSeparator" w:id="0">
    <w:p w14:paraId="12C071ED" w14:textId="77777777" w:rsidR="00D57FE3" w:rsidRDefault="00B64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65838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FE3"/>
    <w:rsid w:val="002A5352"/>
    <w:rsid w:val="00B64FD1"/>
    <w:rsid w:val="00D5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C06D4B"/>
  <w15:docId w15:val="{C0F7B29F-A0F4-8142-AA6B-2C2C6398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2A5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3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A53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1985</Words>
  <Characters>11319</Characters>
  <Application>Microsoft Office Word</Application>
  <DocSecurity>0</DocSecurity>
  <Lines>94</Lines>
  <Paragraphs>26</Paragraphs>
  <ScaleCrop>false</ScaleCrop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3 rectal cancer adjuvant management: survival analysis</dc:title>
  <dc:creator/>
  <cp:keywords/>
  <cp:lastModifiedBy>Kaiwen Wang</cp:lastModifiedBy>
  <cp:revision>3</cp:revision>
  <dcterms:created xsi:type="dcterms:W3CDTF">2022-02-13T18:09:00Z</dcterms:created>
  <dcterms:modified xsi:type="dcterms:W3CDTF">2022-02-13T18:10:00Z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encoding=encoding, output_dir = here::here(‘output’), output_file=‘rectal_analysis.docx’) })</vt:lpwstr>
  </property>
  <property fmtid="{D5CDD505-2E9C-101B-9397-08002B2CF9AE}" pid="3" name="output">
    <vt:lpwstr/>
  </property>
</Properties>
</file>