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隶书"/>
          <w:sz w:val="18"/>
        </w:rPr>
      </w:pPr>
      <w:bookmarkStart w:id="0" w:name="_Hlk101387528"/>
      <w:bookmarkEnd w:id="0"/>
      <w:r>
        <w:drawing>
          <wp:inline distT="0" distB="0" distL="0" distR="0">
            <wp:extent cx="685800" cy="668655"/>
            <wp:effectExtent l="0" t="0" r="0" b="1714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85800" cy="668655"/>
                    </a:xfrm>
                    <a:prstGeom prst="rect">
                      <a:avLst/>
                    </a:prstGeom>
                    <a:noFill/>
                    <a:ln>
                      <a:noFill/>
                    </a:ln>
                  </pic:spPr>
                </pic:pic>
              </a:graphicData>
            </a:graphic>
          </wp:inline>
        </w:drawing>
      </w:r>
    </w:p>
    <w:p>
      <w:pPr>
        <w:jc w:val="center"/>
        <w:rPr>
          <w:rFonts w:eastAsia="隶书"/>
          <w:sz w:val="110"/>
        </w:rPr>
      </w:pPr>
      <w:r>
        <w:rPr>
          <w:rFonts w:hint="eastAsia" w:eastAsia="隶书"/>
          <w:sz w:val="110"/>
        </w:rPr>
        <w:drawing>
          <wp:inline distT="0" distB="0" distL="0" distR="0">
            <wp:extent cx="3166745" cy="889000"/>
            <wp:effectExtent l="0" t="0" r="14605" b="635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166745" cy="889000"/>
                    </a:xfrm>
                    <a:prstGeom prst="rect">
                      <a:avLst/>
                    </a:prstGeom>
                    <a:noFill/>
                    <a:ln>
                      <a:noFill/>
                    </a:ln>
                  </pic:spPr>
                </pic:pic>
              </a:graphicData>
            </a:graphic>
          </wp:inline>
        </w:drawing>
      </w:r>
    </w:p>
    <w:p>
      <w:pPr>
        <w:jc w:val="center"/>
        <w:rPr>
          <w:rFonts w:eastAsia="隶书"/>
          <w:sz w:val="28"/>
        </w:rPr>
      </w:pPr>
    </w:p>
    <w:p>
      <w:pPr>
        <w:jc w:val="center"/>
        <w:outlineLvl w:val="0"/>
        <w:rPr>
          <w:rFonts w:eastAsia="黑体"/>
          <w:b/>
          <w:sz w:val="52"/>
        </w:rPr>
      </w:pPr>
      <w:bookmarkStart w:id="1" w:name="_Toc4292"/>
      <w:r>
        <w:rPr>
          <w:rFonts w:hint="eastAsia" w:eastAsia="黑体"/>
          <w:b/>
          <w:sz w:val="52"/>
        </w:rPr>
        <w:t>课 程 设 计</w:t>
      </w:r>
      <w:bookmarkEnd w:id="1"/>
      <w:bookmarkStart w:id="45" w:name="_GoBack"/>
      <w:bookmarkEnd w:id="45"/>
    </w:p>
    <w:p>
      <w:pPr>
        <w:jc w:val="center"/>
        <w:rPr>
          <w:rFonts w:eastAsia="隶书"/>
          <w:sz w:val="28"/>
        </w:rPr>
      </w:pPr>
    </w:p>
    <w:p>
      <w:pPr>
        <w:ind w:firstLine="1365"/>
        <w:rPr>
          <w:rFonts w:eastAsia="隶书"/>
          <w:sz w:val="44"/>
        </w:rPr>
      </w:pPr>
      <w:r>
        <w:rPr>
          <w:rFonts w:hint="eastAsia" w:eastAsia="隶书"/>
          <w:sz w:val="44"/>
        </w:rPr>
        <w:t xml:space="preserve"> </w:t>
      </w:r>
    </w:p>
    <w:p>
      <w:pPr>
        <w:ind w:left="1260" w:firstLine="420"/>
        <w:outlineLvl w:val="0"/>
        <w:rPr>
          <w:rFonts w:ascii="黑体" w:hAnsi="黑体" w:eastAsia="黑体"/>
          <w:sz w:val="32"/>
          <w:u w:val="single"/>
        </w:rPr>
      </w:pPr>
      <w:bookmarkStart w:id="2" w:name="_Toc6911"/>
      <w:r>
        <w:rPr>
          <w:rFonts w:hint="eastAsia" w:ascii="黑体" w:hAnsi="黑体" w:eastAsia="黑体"/>
          <w:sz w:val="32"/>
        </w:rPr>
        <w:t>课程名称：</w:t>
      </w:r>
      <w:r>
        <w:rPr>
          <w:rFonts w:hint="eastAsia" w:ascii="黑体" w:hAnsi="黑体" w:eastAsia="黑体"/>
          <w:sz w:val="32"/>
          <w:u w:val="single"/>
        </w:rPr>
        <w:t xml:space="preserve">    </w:t>
      </w:r>
      <w:r>
        <w:rPr>
          <w:rFonts w:hint="eastAsia" w:ascii="黑体" w:hAnsi="黑体" w:eastAsia="黑体"/>
          <w:sz w:val="32"/>
          <w:u w:val="single"/>
          <w:lang w:val="en-US" w:eastAsia="zh-CN"/>
        </w:rPr>
        <w:t>量子力学第一性原理概论</w:t>
      </w:r>
      <w:bookmarkEnd w:id="2"/>
      <w:r>
        <w:rPr>
          <w:rFonts w:hint="eastAsia" w:ascii="黑体" w:hAnsi="黑体" w:eastAsia="黑体"/>
          <w:sz w:val="32"/>
          <w:u w:val="single"/>
        </w:rPr>
        <w:t xml:space="preserve">  </w:t>
      </w:r>
      <w:r>
        <w:rPr>
          <w:rFonts w:ascii="黑体" w:hAnsi="黑体" w:eastAsia="黑体"/>
          <w:sz w:val="32"/>
          <w:u w:val="single"/>
        </w:rPr>
        <w:t xml:space="preserve">   </w:t>
      </w:r>
      <w:r>
        <w:rPr>
          <w:rFonts w:hint="eastAsia" w:ascii="黑体" w:hAnsi="黑体" w:eastAsia="黑体"/>
          <w:sz w:val="32"/>
          <w:u w:val="single"/>
        </w:rPr>
        <w:t xml:space="preserve"> </w:t>
      </w:r>
      <w:r>
        <w:rPr>
          <w:rFonts w:ascii="黑体" w:hAnsi="黑体" w:eastAsia="黑体"/>
          <w:sz w:val="32"/>
          <w:u w:val="single"/>
        </w:rPr>
        <w:t xml:space="preserve"> </w:t>
      </w:r>
    </w:p>
    <w:p>
      <w:pPr>
        <w:ind w:left="1260" w:firstLine="420"/>
        <w:jc w:val="left"/>
        <w:outlineLvl w:val="0"/>
        <w:rPr>
          <w:rFonts w:ascii="黑体" w:hAnsi="黑体" w:eastAsia="黑体"/>
          <w:sz w:val="32"/>
          <w:u w:val="single"/>
        </w:rPr>
      </w:pPr>
      <w:bookmarkStart w:id="3" w:name="_Toc25611"/>
      <w:r>
        <w:rPr>
          <w:rFonts w:hint="eastAsia" w:ascii="黑体" w:hAnsi="黑体" w:eastAsia="黑体"/>
          <w:sz w:val="32"/>
        </w:rPr>
        <w:t>题目名称：</w:t>
      </w:r>
      <w:r>
        <w:rPr>
          <w:rFonts w:hint="eastAsia" w:ascii="黑体" w:hAnsi="黑体" w:eastAsia="黑体"/>
          <w:sz w:val="32"/>
          <w:u w:val="single"/>
        </w:rPr>
        <w:t xml:space="preserve"> </w:t>
      </w:r>
      <w:r>
        <w:rPr>
          <w:rFonts w:hint="eastAsia" w:ascii="黑体" w:hAnsi="黑体" w:eastAsia="黑体"/>
          <w:sz w:val="32"/>
          <w:szCs w:val="32"/>
          <w:u w:val="single"/>
        </w:rPr>
        <w:t>电场对二维双层BSiAs的电学性质</w:t>
      </w:r>
      <w:r>
        <w:rPr>
          <w:rFonts w:hint="eastAsia" w:ascii="黑体" w:hAnsi="黑体" w:eastAsia="黑体"/>
          <w:sz w:val="32"/>
          <w:szCs w:val="32"/>
          <w:u w:val="single"/>
          <w:lang w:val="en-US" w:eastAsia="zh-CN"/>
        </w:rPr>
        <w:tab/>
      </w:r>
      <w:r>
        <w:rPr>
          <w:rFonts w:hint="eastAsia" w:ascii="黑体" w:hAnsi="黑体" w:eastAsia="黑体"/>
          <w:sz w:val="32"/>
          <w:szCs w:val="32"/>
          <w:u w:val="single"/>
          <w:lang w:val="en-US" w:eastAsia="zh-CN"/>
        </w:rPr>
        <w:tab/>
      </w:r>
      <w:r>
        <w:rPr>
          <w:rFonts w:hint="eastAsia" w:ascii="黑体" w:hAnsi="黑体" w:eastAsia="黑体"/>
          <w:sz w:val="32"/>
          <w:szCs w:val="32"/>
          <w:u w:val="single"/>
          <w:lang w:val="en-US" w:eastAsia="zh-CN"/>
        </w:rPr>
        <w:tab/>
      </w:r>
      <w:r>
        <w:rPr>
          <w:rFonts w:hint="eastAsia" w:ascii="黑体" w:hAnsi="黑体" w:eastAsia="黑体"/>
          <w:sz w:val="32"/>
          <w:szCs w:val="32"/>
          <w:u w:val="single"/>
          <w:lang w:val="en-US" w:eastAsia="zh-CN"/>
        </w:rPr>
        <w:tab/>
      </w:r>
      <w:r>
        <w:rPr>
          <w:rFonts w:hint="eastAsia" w:ascii="黑体" w:hAnsi="黑体" w:eastAsia="黑体"/>
          <w:sz w:val="32"/>
          <w:szCs w:val="32"/>
          <w:u w:val="single"/>
          <w:lang w:val="en-US" w:eastAsia="zh-CN"/>
        </w:rPr>
        <w:tab/>
      </w:r>
      <w:r>
        <w:rPr>
          <w:rFonts w:hint="eastAsia" w:ascii="黑体" w:hAnsi="黑体" w:eastAsia="黑体"/>
          <w:sz w:val="32"/>
          <w:szCs w:val="32"/>
          <w:u w:val="single"/>
          <w:lang w:val="en-US" w:eastAsia="zh-CN"/>
        </w:rPr>
        <w:tab/>
      </w:r>
      <w:r>
        <w:rPr>
          <w:rFonts w:hint="eastAsia" w:ascii="黑体" w:hAnsi="黑体" w:eastAsia="黑体"/>
          <w:sz w:val="32"/>
          <w:szCs w:val="32"/>
          <w:u w:val="single"/>
          <w:lang w:val="en-US" w:eastAsia="zh-CN"/>
        </w:rPr>
        <w:tab/>
      </w:r>
      <w:r>
        <w:rPr>
          <w:rFonts w:hint="eastAsia" w:ascii="黑体" w:hAnsi="黑体" w:eastAsia="黑体"/>
          <w:sz w:val="32"/>
          <w:szCs w:val="32"/>
          <w:u w:val="single"/>
          <w:lang w:val="en-US" w:eastAsia="zh-CN"/>
        </w:rPr>
        <w:tab/>
      </w:r>
      <w:r>
        <w:rPr>
          <w:rFonts w:hint="eastAsia" w:ascii="黑体" w:hAnsi="黑体" w:eastAsia="黑体"/>
          <w:sz w:val="32"/>
          <w:szCs w:val="32"/>
          <w:u w:val="single"/>
        </w:rPr>
        <w:t>的调控及机理研究</w:t>
      </w:r>
      <w:bookmarkEnd w:id="3"/>
      <w:r>
        <w:rPr>
          <w:rFonts w:hint="eastAsia" w:ascii="黑体" w:hAnsi="黑体" w:eastAsia="黑体"/>
          <w:sz w:val="32"/>
          <w:szCs w:val="32"/>
          <w:u w:val="single"/>
        </w:rPr>
        <w:t xml:space="preserve"> </w:t>
      </w:r>
      <w:r>
        <w:rPr>
          <w:rFonts w:ascii="黑体" w:hAnsi="黑体" w:eastAsia="黑体"/>
          <w:sz w:val="32"/>
          <w:u w:val="single"/>
        </w:rPr>
        <w:t xml:space="preserve"> </w:t>
      </w:r>
    </w:p>
    <w:p>
      <w:pPr>
        <w:ind w:left="1260" w:firstLine="420"/>
        <w:jc w:val="left"/>
        <w:outlineLvl w:val="0"/>
        <w:rPr>
          <w:rFonts w:ascii="黑体" w:hAnsi="黑体" w:eastAsia="黑体"/>
          <w:sz w:val="32"/>
        </w:rPr>
      </w:pPr>
      <w:bookmarkStart w:id="4" w:name="_Toc17505"/>
      <w:r>
        <w:rPr>
          <w:rFonts w:hint="eastAsia" w:ascii="黑体" w:hAnsi="黑体" w:eastAsia="黑体"/>
          <w:sz w:val="32"/>
        </w:rPr>
        <w:t>学生学院：</w:t>
      </w:r>
      <w:r>
        <w:rPr>
          <w:rFonts w:hint="eastAsia" w:ascii="黑体" w:hAnsi="黑体" w:eastAsia="黑体"/>
          <w:sz w:val="32"/>
          <w:u w:val="single"/>
        </w:rPr>
        <w:t xml:space="preserve">     物理与光电工程学院</w:t>
      </w:r>
      <w:bookmarkEnd w:id="4"/>
      <w:r>
        <w:rPr>
          <w:rFonts w:hint="eastAsia" w:ascii="黑体" w:hAnsi="黑体" w:eastAsia="黑体"/>
          <w:sz w:val="32"/>
          <w:u w:val="single"/>
        </w:rPr>
        <w:t xml:space="preserve"> </w:t>
      </w:r>
      <w:r>
        <w:rPr>
          <w:rFonts w:ascii="黑体" w:hAnsi="黑体" w:eastAsia="黑体"/>
          <w:sz w:val="32"/>
          <w:u w:val="single"/>
        </w:rPr>
        <w:t xml:space="preserve"> </w:t>
      </w:r>
      <w:r>
        <w:rPr>
          <w:rFonts w:hint="eastAsia" w:ascii="黑体" w:hAnsi="黑体" w:eastAsia="黑体"/>
          <w:sz w:val="32"/>
          <w:u w:val="single"/>
        </w:rPr>
        <w:t xml:space="preserve"> </w:t>
      </w:r>
      <w:r>
        <w:rPr>
          <w:rFonts w:ascii="黑体" w:hAnsi="黑体" w:eastAsia="黑体"/>
          <w:sz w:val="32"/>
          <w:u w:val="single"/>
        </w:rPr>
        <w:t xml:space="preserve">  </w:t>
      </w:r>
      <w:r>
        <w:rPr>
          <w:rFonts w:hint="eastAsia" w:ascii="黑体" w:hAnsi="黑体" w:eastAsia="黑体"/>
          <w:sz w:val="32"/>
          <w:u w:val="single"/>
        </w:rPr>
        <w:t xml:space="preserve"> </w:t>
      </w:r>
      <w:r>
        <w:rPr>
          <w:rFonts w:ascii="黑体" w:hAnsi="黑体" w:eastAsia="黑体"/>
          <w:sz w:val="32"/>
          <w:u w:val="single"/>
        </w:rPr>
        <w:t xml:space="preserve"> </w:t>
      </w:r>
      <w:r>
        <w:rPr>
          <w:rFonts w:hint="eastAsia" w:ascii="黑体" w:hAnsi="黑体" w:eastAsia="黑体"/>
          <w:sz w:val="32"/>
          <w:u w:val="single"/>
        </w:rPr>
        <w:t xml:space="preserve"> </w:t>
      </w:r>
    </w:p>
    <w:p>
      <w:pPr>
        <w:ind w:left="1260" w:firstLine="420"/>
        <w:jc w:val="left"/>
        <w:outlineLvl w:val="0"/>
        <w:rPr>
          <w:rFonts w:ascii="黑体" w:hAnsi="黑体" w:eastAsia="黑体"/>
          <w:sz w:val="28"/>
          <w:szCs w:val="18"/>
          <w:u w:val="single"/>
        </w:rPr>
      </w:pPr>
      <w:bookmarkStart w:id="5" w:name="_Toc22755"/>
      <w:r>
        <w:rPr>
          <w:rFonts w:hint="eastAsia" w:ascii="黑体" w:hAnsi="黑体" w:eastAsia="黑体"/>
          <w:sz w:val="32"/>
        </w:rPr>
        <w:t>专业班级：</w:t>
      </w:r>
      <w:r>
        <w:rPr>
          <w:rFonts w:hint="eastAsia" w:ascii="黑体" w:hAnsi="黑体" w:eastAsia="黑体"/>
          <w:sz w:val="32"/>
          <w:u w:val="single"/>
          <w:lang w:val="en-US" w:eastAsia="zh-CN"/>
        </w:rPr>
        <w:t xml:space="preserve"> 2020级光电信息科学与工程02班</w:t>
      </w:r>
      <w:bookmarkEnd w:id="5"/>
      <w:r>
        <w:rPr>
          <w:rFonts w:hint="eastAsia" w:ascii="黑体" w:hAnsi="黑体" w:eastAsia="黑体"/>
          <w:sz w:val="32"/>
          <w:u w:val="single"/>
          <w:lang w:val="en-US" w:eastAsia="zh-CN"/>
        </w:rPr>
        <w:t xml:space="preserve"> </w:t>
      </w:r>
      <w:r>
        <w:rPr>
          <w:rFonts w:ascii="黑体" w:hAnsi="黑体" w:eastAsia="黑体"/>
          <w:sz w:val="30"/>
          <w:szCs w:val="30"/>
          <w:u w:val="single"/>
        </w:rPr>
        <w:t xml:space="preserve"> </w:t>
      </w:r>
    </w:p>
    <w:p>
      <w:pPr>
        <w:ind w:left="420" w:leftChars="0" w:firstLine="1280" w:firstLineChars="400"/>
        <w:jc w:val="left"/>
        <w:outlineLvl w:val="0"/>
        <w:rPr>
          <w:rFonts w:ascii="黑体" w:hAnsi="黑体" w:eastAsia="黑体"/>
          <w:sz w:val="32"/>
          <w:u w:val="single"/>
        </w:rPr>
      </w:pPr>
      <w:bookmarkStart w:id="6" w:name="_Toc768"/>
      <w:r>
        <w:rPr>
          <w:rFonts w:hint="eastAsia" w:ascii="黑体" w:hAnsi="黑体" w:eastAsia="黑体"/>
          <w:sz w:val="32"/>
        </w:rPr>
        <w:t>学    号：</w:t>
      </w:r>
      <w:r>
        <w:rPr>
          <w:rFonts w:hint="eastAsia" w:ascii="黑体" w:hAnsi="黑体" w:eastAsia="黑体"/>
          <w:sz w:val="32"/>
          <w:u w:val="single"/>
          <w:lang w:val="en-US" w:eastAsia="zh-CN"/>
        </w:rPr>
        <w:t>3120007357、3120007358、3120007362</w:t>
      </w:r>
      <w:bookmarkEnd w:id="6"/>
      <w:r>
        <w:rPr>
          <w:rFonts w:hint="eastAsia" w:ascii="黑体" w:hAnsi="黑体" w:eastAsia="黑体"/>
          <w:sz w:val="32"/>
          <w:u w:val="single"/>
        </w:rPr>
        <w:t xml:space="preserve">        </w:t>
      </w:r>
      <w:r>
        <w:rPr>
          <w:rFonts w:ascii="黑体" w:hAnsi="黑体" w:eastAsia="黑体"/>
          <w:sz w:val="32"/>
          <w:u w:val="single"/>
        </w:rPr>
        <w:t xml:space="preserve"> </w:t>
      </w:r>
      <w:r>
        <w:rPr>
          <w:rFonts w:hint="eastAsia" w:ascii="黑体" w:hAnsi="黑体" w:eastAsia="黑体"/>
          <w:sz w:val="32"/>
          <w:u w:val="single"/>
        </w:rPr>
        <w:t xml:space="preserve">   </w:t>
      </w:r>
    </w:p>
    <w:p>
      <w:pPr>
        <w:ind w:left="1260" w:firstLine="420"/>
        <w:jc w:val="left"/>
        <w:outlineLvl w:val="0"/>
        <w:rPr>
          <w:rFonts w:ascii="黑体" w:hAnsi="黑体" w:eastAsia="黑体"/>
          <w:sz w:val="32"/>
          <w:u w:val="single"/>
        </w:rPr>
      </w:pPr>
      <w:bookmarkStart w:id="7" w:name="_Toc29999"/>
      <w:r>
        <w:rPr>
          <w:rFonts w:hint="eastAsia" w:ascii="黑体" w:hAnsi="黑体" w:eastAsia="黑体"/>
          <w:sz w:val="32"/>
        </w:rPr>
        <w:t>学生姓名：</w:t>
      </w:r>
      <w:r>
        <w:rPr>
          <w:rFonts w:hint="eastAsia" w:ascii="黑体" w:hAnsi="黑体" w:eastAsia="黑体"/>
          <w:sz w:val="32"/>
          <w:u w:val="single"/>
        </w:rPr>
        <w:t xml:space="preserve">    </w:t>
      </w:r>
      <w:r>
        <w:rPr>
          <w:rFonts w:hint="eastAsia" w:ascii="黑体" w:hAnsi="黑体" w:eastAsia="黑体"/>
          <w:sz w:val="32"/>
          <w:u w:val="single"/>
          <w:lang w:val="en-US" w:eastAsia="zh-CN"/>
        </w:rPr>
        <w:t>黄俊浩、方振荣、高棋维</w:t>
      </w:r>
      <w:bookmarkEnd w:id="7"/>
      <w:r>
        <w:rPr>
          <w:rFonts w:hint="eastAsia" w:ascii="黑体" w:hAnsi="黑体" w:eastAsia="黑体"/>
          <w:sz w:val="32"/>
          <w:u w:val="single"/>
        </w:rPr>
        <w:t xml:space="preserve">             </w:t>
      </w:r>
    </w:p>
    <w:p>
      <w:pPr>
        <w:ind w:left="1260" w:firstLine="420"/>
        <w:jc w:val="left"/>
        <w:outlineLvl w:val="0"/>
        <w:rPr>
          <w:rFonts w:ascii="黑体" w:hAnsi="黑体" w:eastAsia="黑体"/>
          <w:sz w:val="32"/>
          <w:u w:val="single"/>
        </w:rPr>
      </w:pPr>
      <w:bookmarkStart w:id="8" w:name="_Toc5822"/>
      <w:r>
        <w:rPr>
          <w:rFonts w:hint="eastAsia" w:ascii="黑体" w:hAnsi="黑体" w:eastAsia="黑体"/>
          <w:sz w:val="32"/>
        </w:rPr>
        <w:t>指导教师：</w:t>
      </w:r>
      <w:r>
        <w:rPr>
          <w:rFonts w:hint="eastAsia" w:ascii="黑体" w:hAnsi="黑体" w:eastAsia="黑体"/>
          <w:sz w:val="32"/>
          <w:u w:val="single"/>
        </w:rPr>
        <w:t xml:space="preserve">      </w:t>
      </w:r>
      <w:r>
        <w:rPr>
          <w:rFonts w:ascii="黑体" w:hAnsi="黑体" w:eastAsia="黑体"/>
          <w:sz w:val="32"/>
          <w:u w:val="single"/>
        </w:rPr>
        <w:t xml:space="preserve">   </w:t>
      </w:r>
      <w:r>
        <w:rPr>
          <w:rFonts w:hint="eastAsia" w:ascii="黑体" w:hAnsi="黑体" w:eastAsia="黑体"/>
          <w:sz w:val="32"/>
          <w:u w:val="single"/>
          <w:lang w:val="en-US" w:eastAsia="zh-CN"/>
        </w:rPr>
        <w:t>董华锋、黄乐</w:t>
      </w:r>
      <w:bookmarkEnd w:id="8"/>
      <w:r>
        <w:rPr>
          <w:rFonts w:hint="eastAsia" w:ascii="黑体" w:hAnsi="黑体" w:eastAsia="黑体"/>
          <w:sz w:val="32"/>
          <w:u w:val="single"/>
        </w:rPr>
        <w:t xml:space="preserve">      </w:t>
      </w:r>
      <w:r>
        <w:rPr>
          <w:rFonts w:ascii="黑体" w:hAnsi="黑体" w:eastAsia="黑体"/>
          <w:sz w:val="32"/>
          <w:u w:val="single"/>
        </w:rPr>
        <w:t xml:space="preserve"> </w:t>
      </w:r>
      <w:r>
        <w:rPr>
          <w:rFonts w:hint="eastAsia" w:ascii="黑体" w:hAnsi="黑体" w:eastAsia="黑体"/>
          <w:sz w:val="32"/>
          <w:u w:val="single"/>
        </w:rPr>
        <w:t xml:space="preserve">  </w:t>
      </w:r>
      <w:r>
        <w:rPr>
          <w:rFonts w:ascii="黑体" w:hAnsi="黑体" w:eastAsia="黑体"/>
          <w:sz w:val="32"/>
          <w:u w:val="single"/>
        </w:rPr>
        <w:t xml:space="preserve">   </w:t>
      </w:r>
      <w:r>
        <w:rPr>
          <w:rFonts w:hint="eastAsia" w:ascii="黑体" w:hAnsi="黑体" w:eastAsia="黑体"/>
          <w:sz w:val="32"/>
          <w:u w:val="single"/>
        </w:rPr>
        <w:t xml:space="preserve">  </w:t>
      </w:r>
    </w:p>
    <w:p>
      <w:pPr>
        <w:rPr>
          <w:rFonts w:ascii="黑体" w:hAnsi="黑体" w:eastAsia="黑体"/>
          <w:sz w:val="32"/>
        </w:rPr>
      </w:pPr>
    </w:p>
    <w:p>
      <w:pPr>
        <w:rPr>
          <w:rFonts w:ascii="黑体" w:hAnsi="黑体" w:eastAsia="黑体"/>
          <w:sz w:val="32"/>
        </w:rPr>
      </w:pPr>
    </w:p>
    <w:p>
      <w:pPr>
        <w:rPr>
          <w:rFonts w:ascii="黑体" w:hAnsi="黑体" w:eastAsia="黑体"/>
          <w:sz w:val="32"/>
        </w:rPr>
      </w:pPr>
    </w:p>
    <w:p>
      <w:pPr>
        <w:jc w:val="center"/>
        <w:rPr>
          <w:rFonts w:ascii="黑体" w:hAnsi="黑体" w:eastAsia="黑体"/>
          <w:sz w:val="32"/>
        </w:rPr>
      </w:pPr>
    </w:p>
    <w:p>
      <w:pPr>
        <w:numPr>
          <w:ilvl w:val="0"/>
          <w:numId w:val="0"/>
        </w:numPr>
        <w:bidi w:val="0"/>
        <w:ind w:firstLine="3200" w:firstLineChars="1000"/>
        <w:outlineLvl w:val="9"/>
        <w:rPr>
          <w:rFonts w:hint="default" w:ascii="黑体" w:hAnsi="黑体" w:eastAsia="黑体"/>
          <w:sz w:val="32"/>
          <w:lang w:val="en-US" w:eastAsia="zh-CN"/>
        </w:rPr>
        <w:sectPr>
          <w:footerReference r:id="rId3" w:type="default"/>
          <w:pgSz w:w="11906" w:h="16838"/>
          <w:pgMar w:top="1440" w:right="1800" w:bottom="1440" w:left="1800" w:header="851" w:footer="992" w:gutter="0"/>
          <w:cols w:space="425" w:num="1"/>
          <w:docGrid w:type="lines" w:linePitch="312" w:charSpace="0"/>
        </w:sectPr>
      </w:pPr>
      <w:r>
        <w:rPr>
          <w:rFonts w:hint="eastAsia" w:ascii="黑体" w:hAnsi="黑体" w:eastAsia="黑体"/>
          <w:sz w:val="32"/>
        </w:rPr>
        <w:t>2</w:t>
      </w:r>
      <w:r>
        <w:rPr>
          <w:rFonts w:ascii="黑体" w:hAnsi="黑体" w:eastAsia="黑体"/>
          <w:sz w:val="32"/>
        </w:rPr>
        <w:t>02</w:t>
      </w:r>
      <w:r>
        <w:rPr>
          <w:rFonts w:hint="eastAsia" w:ascii="黑体" w:hAnsi="黑体" w:eastAsia="黑体"/>
          <w:sz w:val="32"/>
          <w:lang w:val="en-US" w:eastAsia="zh-CN"/>
        </w:rPr>
        <w:t>3</w:t>
      </w:r>
      <w:r>
        <w:rPr>
          <w:rFonts w:hint="eastAsia" w:ascii="黑体" w:hAnsi="黑体" w:eastAsia="黑体"/>
          <w:sz w:val="32"/>
        </w:rPr>
        <w:t>年</w:t>
      </w:r>
      <w:r>
        <w:rPr>
          <w:rFonts w:hint="eastAsia" w:ascii="黑体" w:hAnsi="黑体" w:eastAsia="黑体"/>
          <w:sz w:val="32"/>
          <w:lang w:val="en-US" w:eastAsia="zh-CN"/>
        </w:rPr>
        <w:t>6</w:t>
      </w:r>
      <w:r>
        <w:rPr>
          <w:rFonts w:hint="eastAsia" w:ascii="黑体" w:hAnsi="黑体" w:eastAsia="黑体"/>
          <w:sz w:val="32"/>
        </w:rPr>
        <w:t>月</w:t>
      </w:r>
      <w:r>
        <w:rPr>
          <w:rFonts w:hint="eastAsia" w:ascii="黑体" w:hAnsi="黑体" w:eastAsia="黑体"/>
          <w:sz w:val="32"/>
          <w:lang w:val="en-US" w:eastAsia="zh-CN"/>
        </w:rPr>
        <w:t>30号</w:t>
      </w:r>
    </w:p>
    <w:p>
      <w:pPr>
        <w:rPr>
          <w:rFonts w:hint="eastAsia"/>
          <w:lang w:val="en-US" w:eastAsia="zh-CN"/>
        </w:rPr>
      </w:pPr>
    </w:p>
    <w:sdt>
      <w:sdtPr>
        <w:rPr>
          <w:rFonts w:ascii="宋体" w:hAnsi="宋体" w:eastAsia="宋体" w:cstheme="minorBidi"/>
          <w:kern w:val="2"/>
          <w:sz w:val="21"/>
          <w:szCs w:val="24"/>
          <w:lang w:val="en-US" w:eastAsia="zh-CN" w:bidi="ar-SA"/>
        </w:rPr>
        <w:id w:val="147455990"/>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_Toc11437 </w:instrText>
          </w:r>
          <w:r>
            <w:rPr>
              <w:rFonts w:hint="eastAsia"/>
              <w:lang w:val="en-US" w:eastAsia="zh-CN"/>
            </w:rPr>
            <w:fldChar w:fldCharType="separate"/>
          </w:r>
          <w:r>
            <w:rPr>
              <w:rFonts w:hint="eastAsia"/>
              <w:lang w:val="en-US" w:eastAsia="zh-CN"/>
            </w:rPr>
            <w:t>1、摘要</w:t>
          </w:r>
          <w:r>
            <w:tab/>
          </w:r>
          <w:r>
            <w:fldChar w:fldCharType="begin"/>
          </w:r>
          <w:r>
            <w:instrText xml:space="preserve"> PAGEREF _Toc11437 \h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_Toc4668 </w:instrText>
          </w:r>
          <w:r>
            <w:rPr>
              <w:rFonts w:hint="eastAsia"/>
              <w:lang w:val="en-US" w:eastAsia="zh-CN"/>
            </w:rPr>
            <w:fldChar w:fldCharType="separate"/>
          </w:r>
          <w:r>
            <w:rPr>
              <w:rFonts w:hint="eastAsia"/>
              <w:lang w:val="en-US" w:eastAsia="zh-CN"/>
            </w:rPr>
            <w:t>2、引言</w:t>
          </w:r>
          <w:r>
            <w:tab/>
          </w:r>
          <w:r>
            <w:fldChar w:fldCharType="begin"/>
          </w:r>
          <w:r>
            <w:instrText xml:space="preserve"> PAGEREF _Toc4668 \h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_Toc26092 </w:instrText>
          </w:r>
          <w:r>
            <w:rPr>
              <w:rFonts w:hint="eastAsia"/>
              <w:lang w:val="en-US" w:eastAsia="zh-CN"/>
            </w:rPr>
            <w:fldChar w:fldCharType="separate"/>
          </w:r>
          <w:r>
            <w:rPr>
              <w:rFonts w:hint="eastAsia"/>
              <w:lang w:val="en-US" w:eastAsia="zh-CN"/>
            </w:rPr>
            <w:t>3、理论</w:t>
          </w:r>
          <w:r>
            <w:tab/>
          </w:r>
          <w:r>
            <w:fldChar w:fldCharType="begin"/>
          </w:r>
          <w:r>
            <w:instrText xml:space="preserve"> PAGEREF _Toc26092 \h </w:instrText>
          </w:r>
          <w:r>
            <w:fldChar w:fldCharType="separate"/>
          </w:r>
          <w:r>
            <w:t>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_Toc11894 </w:instrText>
          </w:r>
          <w:r>
            <w:rPr>
              <w:rFonts w:hint="eastAsia"/>
              <w:lang w:val="en-US" w:eastAsia="zh-CN"/>
            </w:rPr>
            <w:fldChar w:fldCharType="separate"/>
          </w:r>
          <w:r>
            <w:rPr>
              <w:rFonts w:hint="eastAsia"/>
              <w:lang w:val="en-US" w:eastAsia="zh-CN"/>
            </w:rPr>
            <w:t>3.1密度泛函理论</w:t>
          </w:r>
          <w:r>
            <w:tab/>
          </w:r>
          <w:r>
            <w:fldChar w:fldCharType="begin"/>
          </w:r>
          <w:r>
            <w:instrText xml:space="preserve"> PAGEREF _Toc11894 \h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_Toc22520 </w:instrText>
          </w:r>
          <w:r>
            <w:rPr>
              <w:rFonts w:hint="eastAsia"/>
              <w:lang w:val="en-US" w:eastAsia="zh-CN"/>
            </w:rPr>
            <w:fldChar w:fldCharType="separate"/>
          </w:r>
          <w:r>
            <w:rPr>
              <w:rFonts w:hint="eastAsia"/>
              <w:lang w:val="en-US" w:eastAsia="zh-CN"/>
            </w:rPr>
            <w:t>4、计算</w:t>
          </w:r>
          <w:r>
            <w:tab/>
          </w:r>
          <w:r>
            <w:fldChar w:fldCharType="begin"/>
          </w:r>
          <w:r>
            <w:instrText xml:space="preserve"> PAGEREF _Toc22520 \h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_Toc10306 </w:instrText>
          </w:r>
          <w:r>
            <w:rPr>
              <w:rFonts w:hint="eastAsia"/>
              <w:lang w:val="en-US" w:eastAsia="zh-CN"/>
            </w:rPr>
            <w:fldChar w:fldCharType="separate"/>
          </w:r>
          <w:r>
            <w:rPr>
              <w:rFonts w:hint="eastAsia"/>
              <w:lang w:val="en-US" w:eastAsia="zh-CN"/>
            </w:rPr>
            <w:t>4.1第一性原理计算</w:t>
          </w:r>
          <w:r>
            <w:tab/>
          </w:r>
          <w:r>
            <w:fldChar w:fldCharType="begin"/>
          </w:r>
          <w:r>
            <w:instrText xml:space="preserve"> PAGEREF _Toc10306 \h </w:instrText>
          </w:r>
          <w:r>
            <w:fldChar w:fldCharType="separate"/>
          </w:r>
          <w:r>
            <w:t>6</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_Toc3683 </w:instrText>
          </w:r>
          <w:r>
            <w:rPr>
              <w:rFonts w:hint="eastAsia"/>
              <w:lang w:val="en-US" w:eastAsia="zh-CN"/>
            </w:rPr>
            <w:fldChar w:fldCharType="separate"/>
          </w:r>
          <w:r>
            <w:rPr>
              <w:rFonts w:hint="eastAsia"/>
              <w:lang w:val="en-US" w:eastAsia="zh-CN"/>
            </w:rPr>
            <w:t>4.2静态计算</w:t>
          </w:r>
          <w:r>
            <w:tab/>
          </w:r>
          <w:r>
            <w:fldChar w:fldCharType="begin"/>
          </w:r>
          <w:r>
            <w:instrText xml:space="preserve"> PAGEREF _Toc3683 \h </w:instrText>
          </w:r>
          <w:r>
            <w:fldChar w:fldCharType="separate"/>
          </w:r>
          <w:r>
            <w:t>7</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_Toc24243 </w:instrText>
          </w:r>
          <w:r>
            <w:rPr>
              <w:rFonts w:hint="eastAsia"/>
              <w:lang w:val="en-US" w:eastAsia="zh-CN"/>
            </w:rPr>
            <w:fldChar w:fldCharType="separate"/>
          </w:r>
          <w:r>
            <w:rPr>
              <w:rFonts w:hint="eastAsia"/>
              <w:lang w:val="en-US" w:eastAsia="zh-CN"/>
            </w:rPr>
            <w:t>4.3能带计算</w:t>
          </w:r>
          <w:r>
            <w:tab/>
          </w:r>
          <w:r>
            <w:fldChar w:fldCharType="begin"/>
          </w:r>
          <w:r>
            <w:instrText xml:space="preserve"> PAGEREF _Toc24243 \h </w:instrText>
          </w:r>
          <w:r>
            <w:fldChar w:fldCharType="separate"/>
          </w:r>
          <w:r>
            <w:t>7</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_Toc3731 </w:instrText>
          </w:r>
          <w:r>
            <w:rPr>
              <w:rFonts w:hint="eastAsia"/>
              <w:lang w:val="en-US" w:eastAsia="zh-CN"/>
            </w:rPr>
            <w:fldChar w:fldCharType="separate"/>
          </w:r>
          <w:r>
            <w:rPr>
              <w:rFonts w:hint="eastAsia"/>
              <w:lang w:val="en-US" w:eastAsia="zh-CN"/>
            </w:rPr>
            <w:t>4.4态密度计算</w:t>
          </w:r>
          <w:r>
            <w:tab/>
          </w:r>
          <w:r>
            <w:fldChar w:fldCharType="begin"/>
          </w:r>
          <w:r>
            <w:instrText xml:space="preserve"> PAGEREF _Toc3731 \h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_Toc25013 </w:instrText>
          </w:r>
          <w:r>
            <w:rPr>
              <w:rFonts w:hint="eastAsia"/>
              <w:lang w:val="en-US" w:eastAsia="zh-CN"/>
            </w:rPr>
            <w:fldChar w:fldCharType="separate"/>
          </w:r>
          <w:r>
            <w:rPr>
              <w:rFonts w:hint="eastAsia"/>
              <w:lang w:val="en-US" w:eastAsia="zh-CN"/>
            </w:rPr>
            <w:t>5、方法</w:t>
          </w:r>
          <w:r>
            <w:tab/>
          </w:r>
          <w:r>
            <w:fldChar w:fldCharType="begin"/>
          </w:r>
          <w:r>
            <w:instrText xml:space="preserve"> PAGEREF _Toc25013 \h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_Toc12410 </w:instrText>
          </w:r>
          <w:r>
            <w:rPr>
              <w:rFonts w:hint="eastAsia"/>
              <w:lang w:val="en-US" w:eastAsia="zh-CN"/>
            </w:rPr>
            <w:fldChar w:fldCharType="separate"/>
          </w:r>
          <w:r>
            <w:rPr>
              <w:rFonts w:hint="eastAsia"/>
              <w:lang w:val="en-US" w:eastAsia="zh-CN"/>
            </w:rPr>
            <w:t>6、实际操作</w:t>
          </w:r>
          <w:r>
            <w:tab/>
          </w:r>
          <w:r>
            <w:fldChar w:fldCharType="begin"/>
          </w:r>
          <w:r>
            <w:instrText xml:space="preserve"> PAGEREF _Toc12410 \h </w:instrText>
          </w:r>
          <w:r>
            <w:fldChar w:fldCharType="separate"/>
          </w:r>
          <w:r>
            <w:t>9</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_Toc23128 </w:instrText>
          </w:r>
          <w:r>
            <w:rPr>
              <w:rFonts w:hint="eastAsia"/>
              <w:lang w:val="en-US" w:eastAsia="zh-CN"/>
            </w:rPr>
            <w:fldChar w:fldCharType="separate"/>
          </w:r>
          <w:r>
            <w:rPr>
              <w:rFonts w:hint="eastAsia"/>
              <w:lang w:val="en-US" w:eastAsia="zh-CN"/>
            </w:rPr>
            <w:t>6.1优化二维双层BSiP结构</w:t>
          </w:r>
          <w:r>
            <w:tab/>
          </w:r>
          <w:r>
            <w:fldChar w:fldCharType="begin"/>
          </w:r>
          <w:r>
            <w:instrText xml:space="preserve"> PAGEREF _Toc23128 \h </w:instrText>
          </w:r>
          <w:r>
            <w:fldChar w:fldCharType="separate"/>
          </w:r>
          <w:r>
            <w:t>9</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_Toc3626 </w:instrText>
          </w:r>
          <w:r>
            <w:rPr>
              <w:rFonts w:hint="eastAsia"/>
              <w:lang w:val="en-US" w:eastAsia="zh-CN"/>
            </w:rPr>
            <w:fldChar w:fldCharType="separate"/>
          </w:r>
          <w:r>
            <w:rPr>
              <w:rFonts w:hint="eastAsia"/>
              <w:lang w:val="en-US" w:eastAsia="zh-CN"/>
            </w:rPr>
            <w:t>6.2二维双层BSiP的静态计算</w:t>
          </w:r>
          <w:r>
            <w:tab/>
          </w:r>
          <w:r>
            <w:fldChar w:fldCharType="begin"/>
          </w:r>
          <w:r>
            <w:instrText xml:space="preserve"> PAGEREF _Toc3626 \h </w:instrText>
          </w:r>
          <w:r>
            <w:fldChar w:fldCharType="separate"/>
          </w:r>
          <w:r>
            <w:t>10</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_Toc17059 </w:instrText>
          </w:r>
          <w:r>
            <w:rPr>
              <w:rFonts w:hint="eastAsia"/>
              <w:lang w:val="en-US" w:eastAsia="zh-CN"/>
            </w:rPr>
            <w:fldChar w:fldCharType="separate"/>
          </w:r>
          <w:r>
            <w:rPr>
              <w:rFonts w:hint="eastAsia"/>
              <w:lang w:val="en-US" w:eastAsia="zh-CN"/>
            </w:rPr>
            <w:t>6.3二维双层BSiP能带计算和态密度</w:t>
          </w:r>
          <w:r>
            <w:tab/>
          </w:r>
          <w:r>
            <w:fldChar w:fldCharType="begin"/>
          </w:r>
          <w:r>
            <w:instrText xml:space="preserve"> PAGEREF _Toc17059 \h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_Toc18652 </w:instrText>
          </w:r>
          <w:r>
            <w:rPr>
              <w:rFonts w:hint="eastAsia"/>
              <w:lang w:val="en-US" w:eastAsia="zh-CN"/>
            </w:rPr>
            <w:fldChar w:fldCharType="separate"/>
          </w:r>
          <w:r>
            <w:rPr>
              <w:rFonts w:hint="eastAsia"/>
              <w:lang w:val="en-US" w:eastAsia="zh-CN"/>
            </w:rPr>
            <w:t>7、结果与分析</w:t>
          </w:r>
          <w:r>
            <w:tab/>
          </w:r>
          <w:r>
            <w:fldChar w:fldCharType="begin"/>
          </w:r>
          <w:r>
            <w:instrText xml:space="preserve"> PAGEREF _Toc18652 \h </w:instrText>
          </w:r>
          <w:r>
            <w:fldChar w:fldCharType="separate"/>
          </w:r>
          <w:r>
            <w:t>13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_Toc20720 </w:instrText>
          </w:r>
          <w:r>
            <w:rPr>
              <w:rFonts w:hint="eastAsia"/>
              <w:lang w:val="en-US" w:eastAsia="zh-CN"/>
            </w:rPr>
            <w:fldChar w:fldCharType="separate"/>
          </w:r>
          <w:r>
            <w:rPr>
              <w:rFonts w:hint="eastAsia"/>
              <w:lang w:val="en-US" w:eastAsia="zh-CN"/>
            </w:rPr>
            <w:t>7.1结果</w:t>
          </w:r>
          <w:r>
            <w:tab/>
          </w:r>
          <w:r>
            <w:fldChar w:fldCharType="begin"/>
          </w:r>
          <w:r>
            <w:instrText xml:space="preserve"> PAGEREF _Toc20720 \h </w:instrText>
          </w:r>
          <w:r>
            <w:fldChar w:fldCharType="separate"/>
          </w:r>
          <w:r>
            <w:t>13</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_Toc5993 </w:instrText>
          </w:r>
          <w:r>
            <w:rPr>
              <w:rFonts w:hint="eastAsia"/>
              <w:lang w:val="en-US" w:eastAsia="zh-CN"/>
            </w:rPr>
            <w:fldChar w:fldCharType="separate"/>
          </w:r>
          <w:r>
            <w:rPr>
              <w:rFonts w:hint="eastAsia"/>
              <w:lang w:val="en-US" w:eastAsia="zh-CN"/>
            </w:rPr>
            <w:t>7.2结果分析</w:t>
          </w:r>
          <w:r>
            <w:rPr>
              <w:rFonts w:hint="default"/>
            </w:rPr>
            <w:t>：</w:t>
          </w:r>
          <w:r>
            <w:tab/>
          </w:r>
          <w:r>
            <w:fldChar w:fldCharType="begin"/>
          </w:r>
          <w:r>
            <w:instrText xml:space="preserve"> PAGEREF _Toc5993 \h </w:instrText>
          </w:r>
          <w:r>
            <w:fldChar w:fldCharType="separate"/>
          </w:r>
          <w:r>
            <w:t>13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_Toc23315 </w:instrText>
          </w:r>
          <w:r>
            <w:rPr>
              <w:rFonts w:hint="eastAsia"/>
              <w:lang w:val="en-US" w:eastAsia="zh-CN"/>
            </w:rPr>
            <w:fldChar w:fldCharType="separate"/>
          </w:r>
          <w:r>
            <w:rPr>
              <w:rFonts w:hint="eastAsia"/>
              <w:lang w:val="en-US" w:eastAsia="zh-CN"/>
            </w:rPr>
            <w:t>8、总结</w:t>
          </w:r>
          <w:r>
            <w:tab/>
          </w:r>
          <w:r>
            <w:fldChar w:fldCharType="begin"/>
          </w:r>
          <w:r>
            <w:instrText xml:space="preserve"> PAGEREF _Toc23315 \h </w:instrText>
          </w:r>
          <w:r>
            <w:fldChar w:fldCharType="separate"/>
          </w:r>
          <w:r>
            <w:t>14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eastAsia"/>
          <w:lang w:val="en-US" w:eastAsia="zh-CN"/>
        </w:rPr>
      </w:pPr>
      <w:bookmarkStart w:id="9" w:name="_Toc8806_WPSOffice_Level1"/>
      <w:bookmarkStart w:id="10" w:name="_Toc11437"/>
      <w:r>
        <w:rPr>
          <w:rFonts w:hint="eastAsia"/>
          <w:lang w:val="en-US" w:eastAsia="zh-CN"/>
        </w:rPr>
        <w:t>1、摘要</w:t>
      </w:r>
      <w:bookmarkEnd w:id="9"/>
      <w:bookmarkEnd w:id="10"/>
    </w:p>
    <w:p>
      <w:pPr>
        <w:bidi w:val="0"/>
        <w:ind w:firstLine="420" w:firstLineChars="0"/>
      </w:pPr>
      <w:r>
        <w:rPr>
          <w:rFonts w:hint="default"/>
        </w:rPr>
        <w:t>二维材料由于其特殊的结构和优异的性能，在纳米电子学和光电子学领域引起了广泛关注。双层黑砷砷化硼硅（BSiAs）作为一种新型的二维半导体材料，具有卓越的载流子迁移率和可调控的能带结构，被认为具有巨大的应用潜力。本文通过密度泛函理论（DFT）和第一性原理计算方法，研究了外加电场对二维双层BSiAs材料电学性质的调控机理。</w:t>
      </w:r>
    </w:p>
    <w:p>
      <w:pPr>
        <w:bidi w:val="0"/>
        <w:ind w:firstLine="420" w:firstLineChars="0"/>
        <w:rPr>
          <w:rFonts w:hint="default"/>
        </w:rPr>
      </w:pPr>
      <w:r>
        <w:rPr>
          <w:rFonts w:hint="default"/>
        </w:rPr>
        <w:t>我们通过模拟不同大小和方向的外加电场作用下，二维双层BSiAs材料的电学性质进行了详细研究。结果显示，外加电场可以显著调控BSiAs材料的带隙能级。随着电场的增加，BSiAs材料的带隙能级逐渐增大，从而实现带隙调控的目标。此外，</w:t>
      </w:r>
      <w:r>
        <w:rPr>
          <w:rFonts w:hint="eastAsia"/>
          <w:lang w:val="en-US" w:eastAsia="zh-CN"/>
        </w:rPr>
        <w:t>通过</w:t>
      </w:r>
      <w:r>
        <w:rPr>
          <w:rFonts w:hint="default"/>
        </w:rPr>
        <w:t>应用密度泛函理论（DFT）和第一性原理计算方法</w:t>
      </w:r>
      <w:r>
        <w:rPr>
          <w:rFonts w:hint="eastAsia"/>
          <w:lang w:eastAsia="zh-CN"/>
        </w:rPr>
        <w:t>，</w:t>
      </w:r>
      <w:r>
        <w:rPr>
          <w:rFonts w:hint="default"/>
        </w:rPr>
        <w:t>探究了外加电场对二维双层BSiAs材料电学性质的调控机理。通过模拟不同大小和方向的外加电场，我们系统地研究了电场对BSiAs材料的带隙能级、载流子浓度和迁移率等关键电学参数的影响。发现外加电场对BSiAs材料的载流子浓度和迁移率有明显影响。外加电场可以改变载流子的分布和运动特性，从而实现对电导率和迁移率的精确调节。</w:t>
      </w:r>
    </w:p>
    <w:p>
      <w:pPr>
        <w:bidi w:val="0"/>
        <w:ind w:firstLine="420" w:firstLineChars="0"/>
        <w:rPr>
          <w:rFonts w:hint="default"/>
        </w:rPr>
      </w:pPr>
      <w:r>
        <w:rPr>
          <w:rFonts w:hint="default"/>
        </w:rPr>
        <w:t>研究结果表明，外加电场可以显著调控二维双层BSiAs材料的带隙能级。随着电场的增加，带隙能级逐渐增大，实现了带隙调控的目标。此外，我们观察到外加电场对BSiAs材料的载流子浓度和迁移率有显著影响。外加电场改变了载流子的分布和运动特性，从而精确调节了电导率和迁移率。</w:t>
      </w:r>
    </w:p>
    <w:p>
      <w:pPr>
        <w:bidi w:val="0"/>
        <w:ind w:firstLine="420" w:firstLineChars="0"/>
        <w:rPr>
          <w:rFonts w:hint="default"/>
        </w:rPr>
      </w:pPr>
      <w:r>
        <w:rPr>
          <w:rFonts w:hint="default"/>
        </w:rPr>
        <w:t>进一步研究表明，电场调控BSiAs材料的电学性质主要是由电场诱导的电荷重分布和能带重构效应所驱动。外加电场改变了BSiAs材料中电子和空穴的分布，导致能带结构发生调整。这种电场调控机制为我们提供了一种新的方法来控制BSiAs材料的电学性能。</w:t>
      </w:r>
    </w:p>
    <w:p>
      <w:pPr>
        <w:bidi w:val="0"/>
        <w:ind w:firstLine="420" w:firstLineChars="0"/>
        <w:rPr>
          <w:rFonts w:hint="default"/>
        </w:rPr>
      </w:pPr>
      <w:r>
        <w:rPr>
          <w:rFonts w:hint="default"/>
        </w:rPr>
        <w:t>本研究的结果为进一步理解电场调控二维双层BSiAs材料的电学性质提供了重要见解。我们的研究为二维材料的电学性质调控提供了新的思路和方法，并为基于BSiAs的纳米电子学器件和光电子学器件的设计和优化提供了理论指导。</w:t>
      </w:r>
    </w:p>
    <w:p>
      <w:pPr>
        <w:bidi w:val="0"/>
        <w:ind w:firstLine="420" w:firstLineChars="0"/>
        <w:rPr>
          <w:rFonts w:hint="default"/>
        </w:rPr>
      </w:pPr>
    </w:p>
    <w:p>
      <w:pPr>
        <w:bidi w:val="0"/>
        <w:rPr>
          <w:rFonts w:hint="eastAsia"/>
          <w:lang w:val="en-US" w:eastAsia="zh-CN"/>
        </w:rPr>
      </w:pPr>
    </w:p>
    <w:p>
      <w:pPr>
        <w:bidi w:val="0"/>
        <w:rPr>
          <w:rFonts w:hint="eastAsia"/>
          <w:lang w:val="en-US" w:eastAsia="zh-CN"/>
        </w:rPr>
      </w:pPr>
    </w:p>
    <w:p>
      <w:pPr>
        <w:bidi w:val="0"/>
        <w:rPr>
          <w:rFonts w:hint="default"/>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pStyle w:val="2"/>
        <w:bidi w:val="0"/>
        <w:rPr>
          <w:rFonts w:hint="eastAsia"/>
          <w:lang w:val="en-US" w:eastAsia="zh-CN"/>
        </w:rPr>
      </w:pPr>
      <w:bookmarkStart w:id="11" w:name="_Toc1120_WPSOffice_Level1"/>
      <w:bookmarkStart w:id="12" w:name="_Toc4668"/>
      <w:r>
        <w:rPr>
          <w:rFonts w:hint="eastAsia"/>
          <w:lang w:val="en-US" w:eastAsia="zh-CN"/>
        </w:rPr>
        <w:t>2、引言</w:t>
      </w:r>
      <w:bookmarkEnd w:id="11"/>
      <w:bookmarkEnd w:id="12"/>
    </w:p>
    <w:p>
      <w:pPr>
        <w:bidi w:val="0"/>
        <w:ind w:firstLine="420" w:firstLineChars="0"/>
      </w:pPr>
      <w:r>
        <w:t>量子力学是现代物理学的重要分支，它对于我们理解微观世界的本质具有重要意义。量子力学第一性原理概论是一门介绍量子力学基本概念和理论的课程</w:t>
      </w:r>
      <w:r>
        <w:rPr>
          <w:rFonts w:hint="eastAsia"/>
          <w:lang w:eastAsia="zh-CN"/>
        </w:rPr>
        <w:t>，</w:t>
      </w:r>
      <w:r>
        <w:t>涵盖了量子力学的基本假设和数学形式等方面的内容。</w:t>
      </w:r>
    </w:p>
    <w:p>
      <w:pPr>
        <w:bidi w:val="0"/>
        <w:ind w:firstLine="420" w:firstLineChars="0"/>
        <w:rPr>
          <w:rFonts w:hint="eastAsia"/>
          <w:lang w:val="en-US" w:eastAsia="zh-CN"/>
        </w:rPr>
      </w:pPr>
      <w:r>
        <w:rPr>
          <w:rFonts w:hint="eastAsia"/>
          <w:lang w:val="en-US" w:eastAsia="zh-CN"/>
        </w:rPr>
        <w:t>而我们组的论文主题是“电场对二维双层BSiAs的电学性质的调控及机理研究”。</w:t>
      </w:r>
    </w:p>
    <w:p>
      <w:pPr>
        <w:bidi w:val="0"/>
        <w:ind w:firstLine="420" w:firstLineChars="0"/>
      </w:pPr>
      <w:r>
        <w:rPr>
          <w:rFonts w:hint="default"/>
        </w:rPr>
        <w:t>电场在材料科学和器件工程领域中具有广泛的应用潜力，特别是在调控材料的电学性质方面。二维材料因其特殊的结构和优异的性能而受到广泛关注，其中双层二维材料的研究在过去几年中获得了显著的进展。在这方面，双层黑砷砷化硼硅（BSiAs）材料因其优异的电学性质和潜在的应用价值备受瞩目。</w:t>
      </w:r>
    </w:p>
    <w:p>
      <w:pPr>
        <w:bidi w:val="0"/>
        <w:ind w:firstLine="420" w:firstLineChars="0"/>
        <w:rPr>
          <w:rFonts w:hint="default"/>
        </w:rPr>
      </w:pPr>
      <w:r>
        <w:rPr>
          <w:rFonts w:hint="default"/>
        </w:rPr>
        <w:t>BSiAs是一种新型的二维半导体材料，具有优异的载流子迁移率和可调控的能带结构，这使得它在纳米电子学器件和光电子器件等领域具有巨大的应用潜力。然而，要充分发挥BSiAs材料的优势，需要深入了解其电学性质以及调控机制。</w:t>
      </w:r>
    </w:p>
    <w:p>
      <w:pPr>
        <w:bidi w:val="0"/>
        <w:ind w:firstLine="420" w:firstLineChars="0"/>
        <w:rPr>
          <w:rFonts w:hint="default"/>
        </w:rPr>
      </w:pPr>
      <w:r>
        <w:rPr>
          <w:rFonts w:hint="default"/>
        </w:rPr>
        <w:t>本研究的主要目的是通过应用外加电场来调控二维双层BSiAs材料的电学性质，并揭示调控机理。电场作为一种非侵入性的调控手段，可以在不改变材料本身结构的情况下改变电荷分布和载流子运动特性，从而实现对电学性能的有效调节。通过调整外加电场的大小和方向，我们可以实现对二维双层BSiAs材料的带隙能级、载流子浓度和迁移率等关键电学参数的精确控制。</w:t>
      </w:r>
    </w:p>
    <w:p>
      <w:pPr>
        <w:bidi w:val="0"/>
        <w:ind w:firstLine="420" w:firstLineChars="0"/>
        <w:rPr>
          <w:rFonts w:hint="default"/>
        </w:rPr>
      </w:pPr>
      <w:r>
        <w:rPr>
          <w:rFonts w:hint="default"/>
        </w:rPr>
        <w:t>在本研究中，我们将采用密度泛函理论（DFT）和第一性原理计算方法，结合电场调控模型，系统地研究二维双层BSiAs材料在不同电场作用下的电学性质。我们将探索电场对BSiAs材料带隙调控的机理，以及电场调控对载流子迁移率、吸收光谱和电子输运性质的影响。通过深入研究电场调控机制，我们期望为二维双层BSiAs材料的应用提供新的理论指导，并为其在电子器件和光电子器件等领域的进一步发展奠定基础。</w:t>
      </w:r>
    </w:p>
    <w:p>
      <w:pPr>
        <w:bidi w:val="0"/>
        <w:rPr>
          <w:rFonts w:hint="default"/>
        </w:rPr>
      </w:pPr>
      <w:r>
        <w:rPr>
          <w:rFonts w:hint="default"/>
        </w:rPr>
        <w:t>本研究的结果将为理解电场对二维双层材料的电学性质调控提供新的洞见，并为设计和优化</w:t>
      </w:r>
      <w:r>
        <w:rPr>
          <w:rFonts w:hint="eastAsia"/>
          <w:lang w:val="en-US" w:eastAsia="zh-CN"/>
        </w:rPr>
        <w:tab/>
      </w:r>
      <w:r>
        <w:rPr>
          <w:rFonts w:hint="default"/>
        </w:rPr>
        <w:t>基于BSiAs的新型器件提供重要的理论依据。同时，研究电场调控机理也将为其他二维材料的电学性质调控提供新的思路和方法。通过探索电场调控二维双层BSiAs材料的电学性质及其机理，我们可以进一步推动二维材料在纳米电子学和光电子学领域的应用和发展。</w:t>
      </w:r>
    </w:p>
    <w:p>
      <w:pPr>
        <w:bidi w:val="0"/>
        <w:rPr>
          <w:rFonts w:hint="eastAsia"/>
          <w:lang w:val="en-US" w:eastAsia="zh-CN"/>
        </w:rPr>
      </w:pPr>
    </w:p>
    <w:p>
      <w:pPr>
        <w:bidi w:val="0"/>
        <w:rPr>
          <w:rFonts w:hint="default"/>
          <w:lang w:val="en-US" w:eastAsia="zh-CN"/>
        </w:rPr>
      </w:pPr>
    </w:p>
    <w:p>
      <w:pPr>
        <w:bidi w:val="0"/>
        <w:rPr>
          <w:rFonts w:hint="default"/>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rPr>
          <w:rFonts w:hint="eastAsia"/>
          <w:lang w:val="en-US" w:eastAsia="zh-CN"/>
        </w:rPr>
      </w:pPr>
    </w:p>
    <w:p>
      <w:pPr>
        <w:rPr>
          <w:rFonts w:hint="eastAsia"/>
          <w:lang w:val="en-US" w:eastAsia="zh-CN"/>
        </w:rPr>
      </w:pPr>
    </w:p>
    <w:p>
      <w:pPr>
        <w:pStyle w:val="2"/>
        <w:bidi w:val="0"/>
        <w:rPr>
          <w:rFonts w:hint="default"/>
          <w:lang w:val="en-US" w:eastAsia="zh-CN"/>
        </w:rPr>
      </w:pPr>
      <w:bookmarkStart w:id="13" w:name="_Toc12184_WPSOffice_Level1"/>
      <w:bookmarkStart w:id="14" w:name="_Toc26092"/>
      <w:r>
        <w:rPr>
          <w:rFonts w:hint="eastAsia"/>
          <w:lang w:val="en-US" w:eastAsia="zh-CN"/>
        </w:rPr>
        <w:t>3、理论</w:t>
      </w:r>
      <w:bookmarkEnd w:id="13"/>
      <w:bookmarkEnd w:id="14"/>
    </w:p>
    <w:p>
      <w:pPr>
        <w:pStyle w:val="3"/>
        <w:bidi w:val="0"/>
        <w:rPr>
          <w:rFonts w:hint="eastAsia"/>
          <w:lang w:val="en-US" w:eastAsia="zh-CN"/>
        </w:rPr>
      </w:pPr>
      <w:bookmarkStart w:id="15" w:name="_Toc1120_WPSOffice_Level2"/>
      <w:bookmarkStart w:id="16" w:name="_Toc11894"/>
      <w:r>
        <w:rPr>
          <w:rFonts w:hint="eastAsia"/>
          <w:lang w:val="en-US" w:eastAsia="zh-CN"/>
        </w:rPr>
        <w:t>3.1密度泛函理论</w:t>
      </w:r>
      <w:bookmarkEnd w:id="15"/>
      <w:bookmarkEnd w:id="16"/>
    </w:p>
    <w:p>
      <w:pPr>
        <w:bidi w:val="0"/>
        <w:ind w:firstLine="420" w:firstLineChars="0"/>
      </w:pPr>
      <w:r>
        <w:rPr>
          <w:rFonts w:hint="default"/>
        </w:rPr>
        <w:t>密度泛函理论（Density Functional Theory，DFT）是一种量子力学计算方法，用于研究分子、原子、固体和凝聚态体系的电子结构和性质。它基于基态电子密度的概念，通过密度泛函的最小化来求解系统的基态能量和电子分布。</w:t>
      </w:r>
    </w:p>
    <w:p>
      <w:pPr>
        <w:bidi w:val="0"/>
        <w:ind w:firstLine="420" w:firstLineChars="0"/>
        <w:rPr>
          <w:rFonts w:hint="default"/>
        </w:rPr>
      </w:pPr>
      <w:r>
        <w:rPr>
          <w:rFonts w:hint="default"/>
        </w:rPr>
        <w:t>核心思想是将多体问题转化为单体问题，通过电子密度来描述系统的基态性质。它建立在哈特里-福克（Hartree-Fock）理论的基础上，引入了交换-相关能的概念。交换-相关能包含了电子间交换作用和相关作用的贡献，是体系总能量的关键部分。</w:t>
      </w:r>
    </w:p>
    <w:p>
      <w:pPr>
        <w:bidi w:val="0"/>
        <w:ind w:firstLine="420" w:firstLineChars="0"/>
        <w:rPr>
          <w:rFonts w:hint="default"/>
        </w:rPr>
      </w:pPr>
      <w:r>
        <w:rPr>
          <w:rFonts w:hint="default"/>
        </w:rPr>
        <w:t>在密度泛函理论中，电子密度是一个关键的物理量。根据库仑定律，电子之间的相互作用与电子密度相关。通过最小化系统的总能量，可以得到电子密度的最优分布，进而得到系统的基态能量和其他性质，如电子态密度、键长、反应活性等。</w:t>
      </w:r>
    </w:p>
    <w:p>
      <w:pPr>
        <w:bidi w:val="0"/>
        <w:ind w:firstLine="420" w:firstLineChars="0"/>
        <w:rPr>
          <w:rFonts w:hint="default"/>
        </w:rPr>
      </w:pPr>
      <w:r>
        <w:rPr>
          <w:rFonts w:hint="default"/>
        </w:rPr>
        <w:t>密度泛函理论的应用非常广泛。它可以用于预测和解释分子和固体材料的结构、能量、磁性、光学性质等。在计算化学、固体物理、凝聚态物理、材料科学等领域，密度泛函理论被广泛应用于研究和设计新材料、催化剂、光电器件等。</w:t>
      </w:r>
      <w:r>
        <w:rPr>
          <w:rFonts w:hint="eastAsia"/>
          <w:lang w:val="en-US" w:eastAsia="zh-CN"/>
        </w:rPr>
        <w:t>但是</w:t>
      </w:r>
      <w:r>
        <w:rPr>
          <w:rFonts w:hint="default"/>
        </w:rPr>
        <w:t>需要注意的是，密度泛函理论的应用需要进行近似处理，因为完全精确的交换-相关能泛函目前并不可知。已经发展了许多密度泛函近似方法，如局域密度近似（Local Density Approximation，LDA）和广义梯度近似（Generalized Gradient Approximation，GGA），以平衡计算精度和计算成本。此外，还有更高级的密度泛函方法，如杂化泛函和金属过渡态泛函等，用于处理特定的体系和性质。</w:t>
      </w:r>
    </w:p>
    <w:p>
      <w:pPr>
        <w:bidi w:val="0"/>
        <w:ind w:firstLine="420" w:firstLineChars="0"/>
        <w:rPr>
          <w:rFonts w:hint="default"/>
        </w:rPr>
      </w:pPr>
    </w:p>
    <w:p>
      <w:pPr>
        <w:bidi w:val="0"/>
        <w:ind w:firstLine="420" w:firstLineChars="0"/>
        <w:rPr>
          <w:rFonts w:hint="default"/>
        </w:rPr>
      </w:pPr>
    </w:p>
    <w:p>
      <w:pPr>
        <w:bidi w:val="0"/>
        <w:ind w:firstLine="420" w:firstLineChars="0"/>
        <w:rPr>
          <w:rFonts w:hint="default"/>
        </w:rPr>
      </w:pPr>
    </w:p>
    <w:p>
      <w:pPr>
        <w:bidi w:val="0"/>
        <w:ind w:firstLine="420" w:firstLineChars="0"/>
        <w:rPr>
          <w:rFonts w:hint="default"/>
        </w:rPr>
      </w:pPr>
    </w:p>
    <w:p>
      <w:pPr>
        <w:bidi w:val="0"/>
        <w:rPr>
          <w:rFonts w:hint="default"/>
        </w:rPr>
      </w:pPr>
    </w:p>
    <w:p>
      <w:pPr>
        <w:bidi w:val="0"/>
        <w:rPr>
          <w:rFonts w:hint="default"/>
        </w:rPr>
      </w:pPr>
    </w:p>
    <w:p>
      <w:pPr>
        <w:pStyle w:val="2"/>
        <w:bidi w:val="0"/>
        <w:rPr>
          <w:rFonts w:hint="eastAsia"/>
          <w:lang w:val="en-US" w:eastAsia="zh-CN"/>
        </w:rPr>
      </w:pPr>
      <w:bookmarkStart w:id="17" w:name="_Toc4758_WPSOffice_Level1"/>
      <w:bookmarkStart w:id="18" w:name="_Toc22520"/>
      <w:r>
        <w:rPr>
          <w:rFonts w:hint="eastAsia"/>
          <w:lang w:val="en-US" w:eastAsia="zh-CN"/>
        </w:rPr>
        <w:t>4、计算</w:t>
      </w:r>
      <w:bookmarkEnd w:id="17"/>
      <w:bookmarkEnd w:id="18"/>
    </w:p>
    <w:p>
      <w:pPr>
        <w:pStyle w:val="2"/>
        <w:numPr>
          <w:numId w:val="0"/>
        </w:numPr>
        <w:bidi w:val="0"/>
        <w:rPr>
          <w:rFonts w:hint="default"/>
          <w:lang w:val="en-US" w:eastAsia="zh-CN"/>
        </w:rPr>
      </w:pPr>
      <w:bookmarkStart w:id="19" w:name="_Toc12184_WPSOffice_Level2"/>
      <w:bookmarkStart w:id="20" w:name="_Toc10306"/>
      <w:r>
        <w:rPr>
          <w:rStyle w:val="17"/>
          <w:rFonts w:hint="eastAsia"/>
          <w:b/>
          <w:lang w:val="en-US" w:eastAsia="zh-CN"/>
        </w:rPr>
        <w:t>4.1第一性原理计算</w:t>
      </w:r>
      <w:bookmarkEnd w:id="19"/>
      <w:bookmarkEnd w:id="20"/>
      <w:r>
        <w:rPr>
          <w:rFonts w:hint="eastAsia"/>
          <w:lang w:val="en-US" w:eastAsia="zh-CN"/>
        </w:rPr>
        <w:t xml:space="preserve"> </w:t>
      </w:r>
    </w:p>
    <w:p>
      <w:pPr>
        <w:bidi w:val="0"/>
        <w:ind w:firstLine="420" w:firstLineChars="0"/>
        <w:rPr>
          <w:rFonts w:hint="eastAsia" w:eastAsiaTheme="minorEastAsia"/>
          <w:lang w:eastAsia="zh-CN"/>
        </w:rPr>
      </w:pPr>
      <w:r>
        <w:rPr>
          <w:rFonts w:hint="default"/>
        </w:rPr>
        <w:t>第一性原理计算是一种基于量子力学原理的计算方法，用于研究和预测材料的性质和行为</w:t>
      </w:r>
      <w:r>
        <w:rPr>
          <w:rFonts w:hint="eastAsia"/>
          <w:lang w:eastAsia="zh-CN"/>
        </w:rPr>
        <w:t>，</w:t>
      </w:r>
      <w:r>
        <w:rPr>
          <w:rFonts w:hint="default"/>
        </w:rPr>
        <w:t>它可以为科学家和工程师提供关于材料性质的深入理解，并为新材料的发现和功能设计提供指导。它的核心思想是通过求解薛定谔方程来描述系统的电子结构和能量。该方程描述了系统中的电子的行为。通过求解薛定谔方程，可以获得材料的电子结构、能带结构、晶格振动等信息。根据这些信息，可以进一步研究材料的磁性、电子输运性质、化学反应等各种性质和现象。该方法不依赖于经验参数或实验数据，而是从基本的物理原理出发，考虑原子核和电子之间的相互作用</w:t>
      </w:r>
      <w:r>
        <w:rPr>
          <w:rFonts w:hint="eastAsia"/>
          <w:lang w:eastAsia="zh-CN"/>
        </w:rPr>
        <w:t>。</w:t>
      </w:r>
      <w:r>
        <w:rPr>
          <w:rFonts w:hint="default"/>
        </w:rPr>
        <w:t>主要应用于固体物理、材料科学和化学等领域。它可以用于计算材料的结构、能带结构、能量、振动频率、电荷密度分布等性质。通过对这些性质的计算，可以获得关于材料的一系列基本信息，如能带结构、电子态密度、热力学性质等，进而理解和预测材料的电子、光学、磁学、热学等性质</w:t>
      </w:r>
      <w:r>
        <w:rPr>
          <w:rFonts w:hint="eastAsia"/>
          <w:lang w:eastAsia="zh-CN"/>
        </w:rPr>
        <w:t>。</w:t>
      </w:r>
    </w:p>
    <w:p>
      <w:pPr>
        <w:bidi w:val="0"/>
        <w:ind w:firstLine="420" w:firstLineChars="0"/>
        <w:rPr>
          <w:rFonts w:hint="default"/>
        </w:rPr>
      </w:pPr>
      <w:r>
        <w:rPr>
          <w:rFonts w:hint="default"/>
        </w:rPr>
        <w:t>基本步骤包括确定体系的几何结构、建立原子核和电子的相互作用势能、求解薛定谔方程，以及计算所需的材料性质。这些计算通常涉及密度泛函理论等方法，其中一个核心是利用电子的密度来近似描述系统的总能量。为了处理实际的计算问题，通常需要采用数值方法和计算机算法来求解复杂的薛定谔方程。</w:t>
      </w:r>
    </w:p>
    <w:p>
      <w:pPr>
        <w:bidi w:val="0"/>
        <w:ind w:firstLine="420" w:firstLineChars="0"/>
        <w:rPr>
          <w:rFonts w:hint="default"/>
        </w:rPr>
      </w:pPr>
      <w:r>
        <w:rPr>
          <w:rFonts w:hint="default"/>
        </w:rPr>
        <w:t>计算通常涉及以下主要步骤：</w:t>
      </w:r>
    </w:p>
    <w:p>
      <w:pPr>
        <w:numPr>
          <w:ilvl w:val="0"/>
          <w:numId w:val="1"/>
        </w:numPr>
        <w:bidi w:val="0"/>
        <w:ind w:left="420" w:leftChars="0"/>
        <w:rPr>
          <w:rFonts w:hint="default"/>
        </w:rPr>
      </w:pPr>
      <w:r>
        <w:rPr>
          <w:rFonts w:hint="default"/>
        </w:rPr>
        <w:t>建立晶体结构模型：确定原子的排列方式和晶格常数等。</w:t>
      </w:r>
    </w:p>
    <w:p>
      <w:pPr>
        <w:numPr>
          <w:ilvl w:val="0"/>
          <w:numId w:val="1"/>
        </w:numPr>
        <w:bidi w:val="0"/>
        <w:ind w:left="420" w:leftChars="0"/>
      </w:pPr>
      <w:r>
        <w:rPr>
          <w:rFonts w:hint="default"/>
        </w:rPr>
        <w:t>密度泛函理论：将系统的电子结构问题转化为求解电子密度的问题，通过使用交换-相关能泛函来描述电子的交互行为。</w:t>
      </w:r>
    </w:p>
    <w:p>
      <w:pPr>
        <w:numPr>
          <w:ilvl w:val="0"/>
          <w:numId w:val="1"/>
        </w:numPr>
        <w:bidi w:val="0"/>
        <w:ind w:left="420" w:leftChars="0"/>
      </w:pPr>
      <w:r>
        <w:rPr>
          <w:rFonts w:hint="default"/>
        </w:rPr>
        <w:t>数值求解：通过数值方法求解薛定谔方程，获得电子的波函数和能级。</w:t>
      </w:r>
    </w:p>
    <w:p>
      <w:pPr>
        <w:numPr>
          <w:ilvl w:val="0"/>
          <w:numId w:val="1"/>
        </w:numPr>
        <w:bidi w:val="0"/>
        <w:ind w:left="420" w:leftChars="0"/>
      </w:pPr>
      <w:r>
        <w:rPr>
          <w:rFonts w:hint="default"/>
        </w:rPr>
        <w:t>材料性质计算：利用得到的电子结构信息，计算材料的各种性质，如能带结构、电荷密度、晶格振动等。</w:t>
      </w:r>
    </w:p>
    <w:p>
      <w:pPr>
        <w:bidi w:val="0"/>
        <w:ind w:firstLine="420" w:firstLineChars="0"/>
        <w:rPr>
          <w:rFonts w:hint="default"/>
        </w:rPr>
      </w:pPr>
      <w:r>
        <w:rPr>
          <w:rFonts w:hint="default"/>
        </w:rPr>
        <w:t>第一性原理计算的优点在于它可以从基本原理出发，不依赖于实验数据，因此适用于各种材料和体系的研究。它可以提供精确的电子结构信息，对材料的性质和行为有深入的理解，对新材料的设计和预测也具有重要意义。然而，第一性原理计算也具有计算复杂度高和计算资源需求大的特点，因此在实际应用中需要权衡计算</w:t>
      </w:r>
    </w:p>
    <w:p>
      <w:pPr>
        <w:bidi w:val="0"/>
        <w:ind w:firstLine="420" w:firstLineChars="0"/>
        <w:rPr>
          <w:rFonts w:hint="default"/>
        </w:rPr>
      </w:pPr>
    </w:p>
    <w:p>
      <w:pPr>
        <w:bidi w:val="0"/>
        <w:ind w:firstLine="420" w:firstLineChars="0"/>
        <w:rPr>
          <w:rFonts w:hint="default"/>
        </w:rPr>
      </w:pPr>
    </w:p>
    <w:p>
      <w:pPr>
        <w:bidi w:val="0"/>
        <w:ind w:firstLine="420" w:firstLineChars="0"/>
        <w:rPr>
          <w:rFonts w:hint="default"/>
        </w:rPr>
      </w:pPr>
    </w:p>
    <w:p>
      <w:pPr>
        <w:bidi w:val="0"/>
        <w:ind w:firstLine="420" w:firstLineChars="0"/>
        <w:rPr>
          <w:rFonts w:hint="default"/>
        </w:rPr>
      </w:pPr>
    </w:p>
    <w:p>
      <w:pPr>
        <w:bidi w:val="0"/>
        <w:ind w:firstLine="420" w:firstLineChars="0"/>
        <w:rPr>
          <w:rFonts w:hint="default"/>
        </w:rPr>
      </w:pPr>
    </w:p>
    <w:p>
      <w:pPr>
        <w:bidi w:val="0"/>
        <w:ind w:firstLine="420" w:firstLineChars="0"/>
        <w:rPr>
          <w:rFonts w:hint="default"/>
        </w:rPr>
      </w:pPr>
    </w:p>
    <w:p>
      <w:pPr>
        <w:bidi w:val="0"/>
        <w:ind w:firstLine="420" w:firstLineChars="0"/>
        <w:rPr>
          <w:rFonts w:hint="default"/>
        </w:rPr>
      </w:pPr>
    </w:p>
    <w:p>
      <w:pPr>
        <w:bidi w:val="0"/>
        <w:ind w:firstLine="420" w:firstLineChars="0"/>
        <w:rPr>
          <w:rFonts w:hint="default"/>
        </w:rPr>
      </w:pPr>
    </w:p>
    <w:p>
      <w:pPr>
        <w:bidi w:val="0"/>
        <w:ind w:firstLine="420" w:firstLineChars="0"/>
        <w:rPr>
          <w:rFonts w:hint="default"/>
        </w:rPr>
      </w:pPr>
    </w:p>
    <w:p>
      <w:pPr>
        <w:bidi w:val="0"/>
        <w:ind w:firstLine="420" w:firstLineChars="0"/>
        <w:rPr>
          <w:rFonts w:hint="default"/>
        </w:rPr>
      </w:pPr>
    </w:p>
    <w:p>
      <w:pPr>
        <w:bidi w:val="0"/>
        <w:ind w:firstLine="420" w:firstLineChars="0"/>
        <w:rPr>
          <w:rFonts w:hint="eastAsia"/>
          <w:lang w:val="en-US" w:eastAsia="zh-CN"/>
        </w:rPr>
      </w:pPr>
    </w:p>
    <w:p>
      <w:pPr>
        <w:pStyle w:val="3"/>
        <w:bidi w:val="0"/>
        <w:rPr>
          <w:rFonts w:hint="default"/>
          <w:lang w:val="en-US" w:eastAsia="zh-CN"/>
        </w:rPr>
      </w:pPr>
      <w:bookmarkStart w:id="21" w:name="_Toc4758_WPSOffice_Level2"/>
      <w:bookmarkStart w:id="22" w:name="_Toc3683"/>
      <w:r>
        <w:rPr>
          <w:rFonts w:hint="eastAsia"/>
          <w:lang w:val="en-US" w:eastAsia="zh-CN"/>
        </w:rPr>
        <w:t>4.2静态计算</w:t>
      </w:r>
      <w:bookmarkEnd w:id="21"/>
      <w:bookmarkEnd w:id="22"/>
    </w:p>
    <w:p>
      <w:pPr>
        <w:bidi w:val="0"/>
        <w:ind w:firstLine="420" w:firstLineChars="0"/>
        <w:rPr>
          <w:rFonts w:hint="default"/>
        </w:rPr>
      </w:pPr>
      <w:r>
        <w:rPr>
          <w:rFonts w:hint="default"/>
        </w:rPr>
        <w:t>静态计算是指在第一性原理计算中，通过求解薛定谔方程来确定材料的几何结构、能量和电子密度等性质，而不考虑材料的动态行为。在静态计算中，通常假设系统处于平衡态，即忽略材料的振动和温度效应。静态计算可以用来研究材料的稳定结构、能量稳定性、相变行为等静态性质。</w:t>
      </w:r>
      <w:r>
        <w:rPr>
          <w:rFonts w:hint="eastAsia"/>
          <w:lang w:val="en-US" w:eastAsia="zh-CN"/>
        </w:rPr>
        <w:t>其</w:t>
      </w:r>
      <w:r>
        <w:rPr>
          <w:rFonts w:hint="default"/>
        </w:rPr>
        <w:t>是一种用于描述材料电子结构的计算方法。在能带计算中，通过求解薛定谔方程，得到材料中电子的能量和动量之间的关系，即能带结构。</w:t>
      </w:r>
    </w:p>
    <w:p>
      <w:pPr>
        <w:bidi w:val="0"/>
        <w:ind w:firstLine="420" w:firstLineChars="0"/>
        <w:rPr>
          <w:rFonts w:hint="default"/>
        </w:rPr>
      </w:pPr>
      <w:r>
        <w:rPr>
          <w:rFonts w:hint="default"/>
        </w:rPr>
        <w:t>能带结构是描述材料中能量分布的重要工具，它决定了材料的电子导电性、光学性质等。能带计算可以提供关于材料的禁带宽度、导带和价带的特征，以及电子态密度等信息。</w:t>
      </w:r>
      <w:r>
        <w:rPr>
          <w:rFonts w:hint="eastAsia"/>
          <w:lang w:val="en-US" w:eastAsia="zh-CN"/>
        </w:rPr>
        <w:t>而</w:t>
      </w:r>
      <w:r>
        <w:rPr>
          <w:rFonts w:hint="default"/>
        </w:rPr>
        <w:t>态密度计算是用于计算材料中电子态密度的方法。态密度表示在给定能量范围内，每单位能量内存在的电子态的数量。通过态密度计算，可以得到关于材料中电子能级的分布情况，从而了解材料的电子结构和性质。态密度计算在研究材料的电子态分布、材料的导电性、热学性质等方面具有重要意义。</w:t>
      </w:r>
    </w:p>
    <w:p>
      <w:pPr>
        <w:bidi w:val="0"/>
        <w:ind w:firstLine="420" w:firstLineChars="0"/>
        <w:rPr>
          <w:rFonts w:hint="default"/>
        </w:rPr>
      </w:pPr>
    </w:p>
    <w:p>
      <w:pPr>
        <w:bidi w:val="0"/>
        <w:ind w:firstLine="420" w:firstLineChars="0"/>
        <w:rPr>
          <w:rFonts w:hint="default"/>
        </w:rPr>
      </w:pPr>
    </w:p>
    <w:p>
      <w:pPr>
        <w:bidi w:val="0"/>
        <w:ind w:firstLine="420" w:firstLineChars="0"/>
        <w:rPr>
          <w:rFonts w:hint="default"/>
        </w:rPr>
      </w:pPr>
    </w:p>
    <w:p>
      <w:pPr>
        <w:pStyle w:val="3"/>
        <w:bidi w:val="0"/>
        <w:rPr>
          <w:rFonts w:hint="default"/>
          <w:lang w:val="en-US" w:eastAsia="zh-CN"/>
        </w:rPr>
      </w:pPr>
      <w:bookmarkStart w:id="23" w:name="_Toc17375_WPSOffice_Level2"/>
      <w:bookmarkStart w:id="24" w:name="_Toc24243"/>
      <w:r>
        <w:rPr>
          <w:rFonts w:hint="eastAsia"/>
          <w:lang w:val="en-US" w:eastAsia="zh-CN"/>
        </w:rPr>
        <w:t>4.3能带计算</w:t>
      </w:r>
      <w:bookmarkEnd w:id="23"/>
      <w:bookmarkEnd w:id="24"/>
    </w:p>
    <w:p>
      <w:pPr>
        <w:bidi w:val="0"/>
        <w:ind w:firstLine="420" w:firstLineChars="0"/>
        <w:rPr>
          <w:rFonts w:hint="default"/>
        </w:rPr>
      </w:pPr>
      <w:r>
        <w:rPr>
          <w:rFonts w:hint="default"/>
        </w:rPr>
        <w:t>能带计算是一种用于描述材料电子结构的计算方法。在能带计算中，通过求解薛定谔方程，得到材料中电子的能量和动量之间的关系，即能带结构。能带结构是描述材料中能量分布的重要工具，它决定了材料的电子导电性、光学性质等。</w:t>
      </w:r>
    </w:p>
    <w:p>
      <w:pPr>
        <w:bidi w:val="0"/>
        <w:ind w:firstLine="420" w:firstLineChars="0"/>
        <w:rPr>
          <w:rFonts w:hint="default"/>
        </w:rPr>
      </w:pPr>
      <w:r>
        <w:rPr>
          <w:rFonts w:hint="eastAsia"/>
          <w:lang w:val="en-US" w:eastAsia="zh-CN"/>
        </w:rPr>
        <w:t>其计算是是</w:t>
      </w:r>
      <w:r>
        <w:rPr>
          <w:rFonts w:hint="default"/>
        </w:rPr>
        <w:t>基于量子力学原理进行的，它可以通过密度泛函理论等方法来求解。在计算过程中，通过建立材料的晶体结构和周期性边界条件，将材料划分为一个或多个晶胞。然后，通过在动量空间中计算电子的波函数，可以得到能量-动量分布关系，即能带结构。</w:t>
      </w:r>
    </w:p>
    <w:p>
      <w:pPr>
        <w:bidi w:val="0"/>
        <w:ind w:firstLine="420" w:firstLineChars="0"/>
        <w:rPr>
          <w:rFonts w:hint="default"/>
        </w:rPr>
      </w:pPr>
      <w:r>
        <w:rPr>
          <w:rFonts w:hint="default"/>
        </w:rPr>
        <w:t>能带结构的计算结果通常以能量-动量（E-k）图表示。在该图中，横坐标表示电子的动量（k），纵坐标表示电子的能量（E）。能带图展示了材料中电子能级的分布情况，包括导带（Conduction band）和价带（Valence band）的特征，以及带隙（Band gap）的大小和位置。导带是指在能带结构中能量最高的电子能级，而价带则是能量较低的电子能级。带隙是指导带和价带之间的能量间隙，它对材料的导电性和光学性质起着关键作用。</w:t>
      </w:r>
    </w:p>
    <w:p>
      <w:pPr>
        <w:bidi w:val="0"/>
        <w:rPr>
          <w:rFonts w:hint="default"/>
        </w:rPr>
      </w:pPr>
      <w:r>
        <w:rPr>
          <w:rFonts w:hint="default"/>
        </w:rPr>
        <w:t>通过能带计算，可以获得关于材料的能带结构、带隙大小、导电性质、禁带类型（直接带隙或间接带隙）等重要信息。这些信息对于理解材料的电子行为、导电机制、光学吸收等性质非常关键，对材料设计和性能预测具有重要意义。能带计算在材料科学、固体物理、半导体器件等领域具有广泛应用。</w:t>
      </w:r>
    </w:p>
    <w:p>
      <w:pPr>
        <w:bidi w:val="0"/>
        <w:rPr>
          <w:rFonts w:hint="default"/>
        </w:rPr>
      </w:pPr>
    </w:p>
    <w:p>
      <w:pPr>
        <w:bidi w:val="0"/>
        <w:rPr>
          <w:rFonts w:hint="eastAsia"/>
          <w:lang w:val="en-US" w:eastAsia="zh-CN"/>
        </w:rPr>
      </w:pPr>
    </w:p>
    <w:p>
      <w:pPr>
        <w:pStyle w:val="3"/>
        <w:bidi w:val="0"/>
        <w:rPr>
          <w:rFonts w:hint="default"/>
          <w:lang w:val="en-US" w:eastAsia="zh-CN"/>
        </w:rPr>
      </w:pPr>
      <w:bookmarkStart w:id="25" w:name="_Toc18603_WPSOffice_Level2"/>
      <w:bookmarkStart w:id="26" w:name="_Toc3731"/>
      <w:r>
        <w:rPr>
          <w:rFonts w:hint="eastAsia"/>
          <w:lang w:val="en-US" w:eastAsia="zh-CN"/>
        </w:rPr>
        <w:t>4.4态密度计算</w:t>
      </w:r>
      <w:bookmarkEnd w:id="25"/>
      <w:bookmarkEnd w:id="26"/>
    </w:p>
    <w:p>
      <w:pPr>
        <w:bidi w:val="0"/>
        <w:ind w:firstLine="420" w:firstLineChars="0"/>
        <w:rPr>
          <w:rFonts w:hint="default"/>
        </w:rPr>
      </w:pPr>
      <w:r>
        <w:rPr>
          <w:rFonts w:hint="default"/>
        </w:rPr>
        <w:t>态密度计算是一种用于计算材料中电子态密度的方法。态密度表示在给定能量范围内，每单位能量内存在的电子态的数量。通过态密度计算，可以得到关于材料中电子能级的分布情况，从而了解材料的电子结构和性质。</w:t>
      </w:r>
      <w:r>
        <w:rPr>
          <w:rFonts w:hint="eastAsia"/>
          <w:lang w:val="en-US" w:eastAsia="zh-CN"/>
        </w:rPr>
        <w:t>同时它是</w:t>
      </w:r>
      <w:r>
        <w:rPr>
          <w:rFonts w:hint="default"/>
        </w:rPr>
        <w:t>基于量子力学原理进行的。在计算过程中，一般采用密度泛函理论等方法来求解薛定谔方程，以获得材料的电子结构。通过计算材料中的电子能级和对应的占据态数目，可以获得每个能级上的电子态密度。</w:t>
      </w:r>
    </w:p>
    <w:p>
      <w:pPr>
        <w:bidi w:val="0"/>
        <w:ind w:firstLine="420" w:firstLineChars="0"/>
        <w:rPr>
          <w:rFonts w:hint="default"/>
        </w:rPr>
      </w:pPr>
      <w:r>
        <w:rPr>
          <w:rFonts w:hint="default"/>
        </w:rPr>
        <w:t>态密度计算的结果通常以能量-态密度（E-DOS）图表示。在该图中，横坐标表示能量（E），纵坐标表示态密度（DOS）。能量-态密度图展示了材料中不同能级上的电子态密度分布情况。从图中可以得知材料的带隙特性、导带和价带的能级分布、能带重叠情况等信息。</w:t>
      </w:r>
    </w:p>
    <w:p>
      <w:pPr>
        <w:bidi w:val="0"/>
        <w:ind w:firstLine="420" w:firstLineChars="0"/>
        <w:rPr>
          <w:rFonts w:hint="eastAsia"/>
          <w:lang w:eastAsia="zh-CN"/>
        </w:rPr>
      </w:pPr>
      <w:r>
        <w:rPr>
          <w:rFonts w:hint="eastAsia"/>
          <w:lang w:val="en-US" w:eastAsia="zh-CN"/>
        </w:rPr>
        <w:t>所以说</w:t>
      </w:r>
      <w:r>
        <w:rPr>
          <w:rFonts w:hint="default"/>
        </w:rPr>
        <w:t>态密度计算在研究材料的电子结构、导电性质、光学性质等方面具有重要意义。通过分析态密度图，可以得知材料的能带结构、带隙大小、禁带类型、费米能级位置等信息。这些信息对于理解材料的导电机制、光学吸收、载流子输运等性质非常关键。同时，态密度计算也可以用于材料的能带调控和设计，为材料的性能优化和功能开发提供指导</w:t>
      </w:r>
      <w:r>
        <w:rPr>
          <w:rFonts w:hint="eastAsia"/>
          <w:lang w:eastAsia="zh-CN"/>
        </w:rPr>
        <w:t>。</w:t>
      </w:r>
    </w:p>
    <w:p>
      <w:pPr>
        <w:bidi w:val="0"/>
        <w:ind w:firstLine="420" w:firstLineChars="0"/>
        <w:rPr>
          <w:rFonts w:hint="eastAsia"/>
          <w:lang w:eastAsia="zh-CN"/>
        </w:rPr>
      </w:pPr>
    </w:p>
    <w:p>
      <w:pPr>
        <w:bidi w:val="0"/>
        <w:ind w:firstLine="420" w:firstLineChars="0"/>
        <w:rPr>
          <w:rFonts w:hint="eastAsia"/>
          <w:lang w:eastAsia="zh-CN"/>
        </w:rPr>
      </w:pPr>
    </w:p>
    <w:p>
      <w:pPr>
        <w:pStyle w:val="2"/>
        <w:bidi w:val="0"/>
        <w:rPr>
          <w:rFonts w:hint="eastAsia"/>
          <w:lang w:val="en-US" w:eastAsia="zh-CN"/>
        </w:rPr>
      </w:pPr>
    </w:p>
    <w:p>
      <w:pPr>
        <w:pStyle w:val="2"/>
        <w:bidi w:val="0"/>
        <w:rPr>
          <w:rFonts w:hint="eastAsia"/>
          <w:lang w:val="en-US" w:eastAsia="zh-CN"/>
        </w:rPr>
      </w:pPr>
      <w:bookmarkStart w:id="27" w:name="_Toc25013"/>
      <w:r>
        <w:rPr>
          <w:rFonts w:hint="eastAsia"/>
          <w:lang w:val="en-US" w:eastAsia="zh-CN"/>
        </w:rPr>
        <w:t>5、方法</w:t>
      </w:r>
      <w:bookmarkEnd w:id="27"/>
    </w:p>
    <w:p>
      <w:pPr>
        <w:numPr>
          <w:ilvl w:val="0"/>
          <w:numId w:val="2"/>
        </w:numPr>
        <w:bidi w:val="0"/>
      </w:pPr>
      <w:r>
        <w:t>理论计算方法：使用密度泛函理论（DFT）和第一性原理计算方法进行理论模拟。这些计算方法可以帮助预测材料的能带结构、电荷分布和能级调控等关键电学参数。常用的计算软件包包括VASP、Quantum ESPRESSO等。</w:t>
      </w:r>
    </w:p>
    <w:p>
      <w:pPr>
        <w:numPr>
          <w:ilvl w:val="0"/>
          <w:numId w:val="2"/>
        </w:numPr>
        <w:bidi w:val="0"/>
      </w:pPr>
      <w:r>
        <w:rPr>
          <w:rFonts w:hint="default"/>
        </w:rPr>
        <w:t>外加电场模拟：使用计算方法模拟在二维双层BSiAs材料上施加不同大小和方向的外加电场。通过改变电场的强度和方向，可以研究电场对材料带隙能级、载流子浓度和迁移率等电学性质的调控效果。</w:t>
      </w:r>
    </w:p>
    <w:p>
      <w:pPr>
        <w:numPr>
          <w:ilvl w:val="0"/>
          <w:numId w:val="2"/>
        </w:numPr>
        <w:bidi w:val="0"/>
      </w:pPr>
      <w:r>
        <w:rPr>
          <w:rFonts w:hint="default"/>
        </w:rPr>
        <w:t>结构优化：进行材料的结构优化，以确保准确的初始结构和几何参数。这可以通过优化材料的晶格常数、原子位置和杂质掺杂等来实现。</w:t>
      </w:r>
    </w:p>
    <w:p>
      <w:pPr>
        <w:numPr>
          <w:ilvl w:val="0"/>
          <w:numId w:val="2"/>
        </w:numPr>
        <w:bidi w:val="0"/>
      </w:pPr>
      <w:r>
        <w:rPr>
          <w:rFonts w:hint="default"/>
        </w:rPr>
        <w:t>带隙计算：使用计算方法计算二维双层BSiAs材料的带隙能级。通过调节外加电场的大小和方向，可以观察带隙能级的变化，并确定电场调控带隙的机制。</w:t>
      </w:r>
    </w:p>
    <w:p>
      <w:pPr>
        <w:numPr>
          <w:ilvl w:val="0"/>
          <w:numId w:val="2"/>
        </w:numPr>
        <w:bidi w:val="0"/>
      </w:pPr>
      <w:r>
        <w:rPr>
          <w:rFonts w:hint="default"/>
        </w:rPr>
        <w:t>载流子性质计算：计算载流子的密度、迁移率和电导率等关键电学参数。通过改变外加电场，观察载流子浓度和迁移率的变化，揭示电场调控载流子性质的机理。</w:t>
      </w:r>
    </w:p>
    <w:p>
      <w:pPr>
        <w:numPr>
          <w:ilvl w:val="0"/>
          <w:numId w:val="2"/>
        </w:numPr>
        <w:bidi w:val="0"/>
      </w:pPr>
      <w:r>
        <w:rPr>
          <w:rFonts w:hint="default"/>
        </w:rPr>
        <w:t>数据分析与对比：对计算结果进行系统的数据分析和对比，评估电场对二维双层BSiAs材料电学性质调控的效果。将实验结果与现有文献进行对比，验证和解释实验结果。</w:t>
      </w:r>
    </w:p>
    <w:p>
      <w:pPr>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pStyle w:val="2"/>
        <w:bidi w:val="0"/>
        <w:rPr>
          <w:rFonts w:hint="eastAsia"/>
          <w:lang w:val="en-US" w:eastAsia="zh-CN"/>
        </w:rPr>
      </w:pPr>
      <w:bookmarkStart w:id="28" w:name="_Toc12410"/>
      <w:r>
        <w:rPr>
          <w:rFonts w:hint="eastAsia"/>
          <w:lang w:val="en-US" w:eastAsia="zh-CN"/>
        </w:rPr>
        <w:t>6、实际操作</w:t>
      </w:r>
      <w:bookmarkEnd w:id="28"/>
    </w:p>
    <w:p>
      <w:pPr>
        <w:pStyle w:val="3"/>
        <w:bidi w:val="0"/>
        <w:rPr>
          <w:rFonts w:hint="eastAsia"/>
          <w:lang w:val="en-US" w:eastAsia="zh-CN"/>
        </w:rPr>
      </w:pPr>
      <w:bookmarkStart w:id="29" w:name="_Toc14850_WPSOffice_Level2"/>
      <w:bookmarkStart w:id="30" w:name="_Toc23128"/>
      <w:r>
        <w:rPr>
          <w:rFonts w:hint="eastAsia"/>
          <w:lang w:val="en-US" w:eastAsia="zh-CN"/>
        </w:rPr>
        <w:t>6.1优化二维双层BSiP结构</w:t>
      </w:r>
      <w:bookmarkEnd w:id="29"/>
      <w:bookmarkEnd w:id="30"/>
    </w:p>
    <w:p>
      <w:pPr>
        <w:ind w:firstLine="420" w:firstLineChars="200"/>
        <w:rPr>
          <w:rFonts w:hint="eastAsia"/>
          <w:lang w:val="en-US" w:eastAsia="zh-CN"/>
        </w:rPr>
      </w:pPr>
      <w:r>
        <w:rPr>
          <w:rFonts w:hint="eastAsia"/>
          <w:lang w:val="en-US" w:eastAsia="zh-CN"/>
        </w:rPr>
        <w:t>在构建完二维双层BSiP结构后，并不能直接用于计算，对结构进行第一性原理计算进行优化，</w:t>
      </w:r>
      <w:r>
        <w:rPr>
          <w:rFonts w:hint="eastAsia"/>
        </w:rPr>
        <w:t>使得</w:t>
      </w:r>
      <w:r>
        <w:t>它处于</w:t>
      </w:r>
      <w:r>
        <w:rPr>
          <w:rFonts w:hint="eastAsia"/>
        </w:rPr>
        <w:t>基</w:t>
      </w:r>
      <w:r>
        <w:t>态，即最稳定的状态</w:t>
      </w:r>
      <w:r>
        <w:rPr>
          <w:rFonts w:hint="eastAsia"/>
          <w:lang w:eastAsia="zh-CN"/>
        </w:rPr>
        <w:t>，</w:t>
      </w:r>
      <w:r>
        <w:rPr>
          <w:rFonts w:hint="eastAsia"/>
          <w:lang w:val="en-US" w:eastAsia="zh-CN"/>
        </w:rPr>
        <w:t>才能用于后面的计算。所谓第一性原理计算，是根据原子核和电子互相作用的原理及其基本运动规律，运用量子力学原理，从具体要求出发，经过一些近似处理后直接求解薛定谔方程的算法，习惯上称为第一性原理。第一性原理计算的软件有很多，常用的有 VASP , Materials studio, ABINIT, Pwscf(QE), 高斯，SEASTER, WEN2K, PWmat等。本次我们使用的软件为VASP。</w:t>
      </w:r>
    </w:p>
    <w:p>
      <w:pPr>
        <w:ind w:firstLine="420" w:firstLineChars="200"/>
      </w:pPr>
      <w:r>
        <w:t>原子可以</w:t>
      </w:r>
      <w:r>
        <w:rPr>
          <w:rFonts w:hint="eastAsia"/>
        </w:rPr>
        <w:t>处于</w:t>
      </w:r>
      <w:r>
        <w:t>好几种状态，比如</w:t>
      </w:r>
      <w:r>
        <w:rPr>
          <w:rFonts w:hint="eastAsia"/>
        </w:rPr>
        <w:t xml:space="preserve"> </w:t>
      </w:r>
      <w:r>
        <w:t>C，可以是</w:t>
      </w:r>
      <w:r>
        <w:rPr>
          <w:rFonts w:hint="eastAsia"/>
        </w:rPr>
        <w:t xml:space="preserve"> 石</w:t>
      </w:r>
      <w:r>
        <w:t>墨</w:t>
      </w:r>
      <w:r>
        <w:rPr>
          <w:rFonts w:hint="eastAsia"/>
        </w:rPr>
        <w:t>，</w:t>
      </w:r>
      <w:r>
        <w:t>也可以是</w:t>
      </w:r>
      <w:r>
        <w:rPr>
          <w:rFonts w:hint="eastAsia"/>
        </w:rPr>
        <w:t xml:space="preserve"> 金</w:t>
      </w:r>
      <w:r>
        <w:t>刚石，也可以是石墨烯，也可以是以</w:t>
      </w:r>
      <w:r>
        <w:rPr>
          <w:rFonts w:hint="eastAsia"/>
        </w:rPr>
        <w:t>石墨</w:t>
      </w:r>
      <w:r>
        <w:t>炔的形态出现。原子</w:t>
      </w:r>
      <w:r>
        <w:rPr>
          <w:rFonts w:hint="eastAsia"/>
        </w:rPr>
        <w:t>处于哪</w:t>
      </w:r>
      <w:r>
        <w:t>个状态由它所处的周围的环境决定</w:t>
      </w:r>
      <w:r>
        <w:rPr>
          <w:rFonts w:hint="eastAsia"/>
        </w:rPr>
        <w:t>，</w:t>
      </w:r>
      <w:r>
        <w:t>比如高压？高</w:t>
      </w:r>
      <w:r>
        <w:rPr>
          <w:rFonts w:hint="eastAsia"/>
        </w:rPr>
        <w:t>温</w:t>
      </w:r>
      <w:r>
        <w:t>？</w:t>
      </w:r>
      <w:r>
        <w:rPr>
          <w:rFonts w:hint="eastAsia"/>
        </w:rPr>
        <w:t xml:space="preserve"> 常</w:t>
      </w:r>
      <w:r>
        <w:t>压？等</w:t>
      </w:r>
      <w:r>
        <w:rPr>
          <w:rFonts w:hint="eastAsia"/>
        </w:rPr>
        <w:t>等</w:t>
      </w:r>
      <w:r>
        <w:t>。</w:t>
      </w:r>
      <w:r>
        <w:rPr>
          <w:rFonts w:hint="eastAsia"/>
        </w:rPr>
        <w:t xml:space="preserve"> 另</w:t>
      </w:r>
      <w:r>
        <w:t>外，</w:t>
      </w:r>
      <w:r>
        <w:rPr>
          <w:rFonts w:hint="eastAsia"/>
        </w:rPr>
        <w:t>处于</w:t>
      </w:r>
      <w:r>
        <w:t>不同状态下的原子性质是不同的。比如</w:t>
      </w:r>
      <w:r>
        <w:rPr>
          <w:rFonts w:hint="eastAsia"/>
        </w:rPr>
        <w:t>，</w:t>
      </w:r>
      <w:r>
        <w:t>石墨与金刚石</w:t>
      </w:r>
      <w:r>
        <w:rPr>
          <w:rFonts w:hint="eastAsia"/>
        </w:rPr>
        <w:t xml:space="preserve"> 的</w:t>
      </w:r>
      <w:r>
        <w:t>性质完全不同。</w:t>
      </w:r>
    </w:p>
    <w:p>
      <w:pPr>
        <w:ind w:firstLine="420" w:firstLineChars="200"/>
        <w:rPr>
          <w:rFonts w:hint="eastAsia"/>
          <w:lang w:eastAsia="zh-CN"/>
        </w:rPr>
      </w:pPr>
      <w:r>
        <w:rPr>
          <w:rFonts w:hint="eastAsia"/>
        </w:rPr>
        <w:t>另</w:t>
      </w:r>
      <w:r>
        <w:t>外</w:t>
      </w:r>
      <w:r>
        <w:rPr>
          <w:rFonts w:hint="eastAsia"/>
        </w:rPr>
        <w:t>，同</w:t>
      </w:r>
      <w:r>
        <w:t>一个结构也可以</w:t>
      </w:r>
      <w:r>
        <w:rPr>
          <w:rFonts w:hint="eastAsia"/>
        </w:rPr>
        <w:t>处于</w:t>
      </w:r>
      <w:r>
        <w:t>不同的激发态，也可以处于不同的应力状态</w:t>
      </w:r>
      <w:r>
        <w:rPr>
          <w:rFonts w:hint="eastAsia"/>
        </w:rPr>
        <w:t>（如处于</w:t>
      </w:r>
      <w:r>
        <w:t>压应力）等。</w:t>
      </w:r>
      <w:r>
        <w:rPr>
          <w:rFonts w:hint="eastAsia"/>
        </w:rPr>
        <w:t xml:space="preserve"> 处于</w:t>
      </w:r>
      <w:r>
        <w:t>不同状态的结构的</w:t>
      </w:r>
      <w:r>
        <w:rPr>
          <w:rFonts w:hint="eastAsia"/>
        </w:rPr>
        <w:t>性质 是</w:t>
      </w:r>
      <w:r>
        <w:t>不同的，所以，你要研究一个物体，一个结构的某种性质，你都需要首先优化它的结构，使它处于你</w:t>
      </w:r>
      <w:r>
        <w:rPr>
          <w:rFonts w:hint="eastAsia"/>
        </w:rPr>
        <w:t>需</w:t>
      </w:r>
      <w:r>
        <w:t>要的环境下，再研究它的性质，才有</w:t>
      </w:r>
      <w:r>
        <w:rPr>
          <w:rFonts w:hint="eastAsia"/>
        </w:rPr>
        <w:t>意义</w:t>
      </w:r>
      <w:r>
        <w:rPr>
          <w:rFonts w:hint="eastAsia"/>
          <w:lang w:eastAsia="zh-CN"/>
        </w:rPr>
        <w:t>。</w:t>
      </w:r>
    </w:p>
    <w:p>
      <w:pPr>
        <w:ind w:firstLine="420" w:firstLineChars="200"/>
        <w:rPr>
          <w:rFonts w:hint="eastAsia"/>
          <w:lang w:val="en-US" w:eastAsia="zh-CN"/>
        </w:rPr>
      </w:pPr>
      <w:r>
        <w:rPr>
          <w:rFonts w:hint="eastAsia"/>
          <w:lang w:val="en-US" w:eastAsia="zh-CN"/>
        </w:rPr>
        <w:t>在VASP创建好文件夹·后，创建BSiP的POSCAR文件，文件参数如图所示：</w:t>
      </w:r>
    </w:p>
    <w:p>
      <w:pPr>
        <w:ind w:firstLine="420" w:firstLineChars="200"/>
        <w:jc w:val="center"/>
      </w:pPr>
      <w:r>
        <w:drawing>
          <wp:inline distT="0" distB="0" distL="114300" distR="114300">
            <wp:extent cx="3355975" cy="2872105"/>
            <wp:effectExtent l="0" t="0" r="1587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355975" cy="2872105"/>
                    </a:xfrm>
                    <a:prstGeom prst="rect">
                      <a:avLst/>
                    </a:prstGeom>
                    <a:noFill/>
                    <a:ln>
                      <a:noFill/>
                    </a:ln>
                  </pic:spPr>
                </pic:pic>
              </a:graphicData>
            </a:graphic>
          </wp:inline>
        </w:drawing>
      </w:r>
    </w:p>
    <w:p>
      <w:pPr>
        <w:ind w:firstLine="420" w:firstLineChars="200"/>
        <w:jc w:val="both"/>
        <w:rPr>
          <w:rFonts w:hint="eastAsia"/>
          <w:lang w:val="en-US" w:eastAsia="zh-CN"/>
        </w:rPr>
      </w:pPr>
      <w:r>
        <w:rPr>
          <w:rFonts w:hint="eastAsia"/>
          <w:lang w:val="en-US" w:eastAsia="zh-CN"/>
        </w:rPr>
        <w:t>同时创建INCAR、KPOINT文件，文件内容如下图所示</w:t>
      </w:r>
    </w:p>
    <w:p>
      <w:pPr>
        <w:ind w:firstLine="420" w:firstLineChars="200"/>
        <w:jc w:val="center"/>
      </w:pPr>
      <w:r>
        <w:drawing>
          <wp:inline distT="0" distB="0" distL="114300" distR="114300">
            <wp:extent cx="4339590" cy="1837055"/>
            <wp:effectExtent l="0" t="0" r="381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339590" cy="1837055"/>
                    </a:xfrm>
                    <a:prstGeom prst="rect">
                      <a:avLst/>
                    </a:prstGeom>
                    <a:noFill/>
                    <a:ln>
                      <a:noFill/>
                    </a:ln>
                  </pic:spPr>
                </pic:pic>
              </a:graphicData>
            </a:graphic>
          </wp:inline>
        </w:drawing>
      </w:r>
    </w:p>
    <w:p>
      <w:pPr>
        <w:ind w:firstLine="320" w:firstLineChars="200"/>
        <w:jc w:val="center"/>
        <w:rPr>
          <w:rFonts w:hint="eastAsia"/>
          <w:sz w:val="16"/>
          <w:szCs w:val="16"/>
          <w:lang w:val="en-US" w:eastAsia="zh-CN"/>
        </w:rPr>
      </w:pPr>
      <w:bookmarkStart w:id="31" w:name="_Toc1120_WPSOffice_Level3"/>
      <w:r>
        <w:rPr>
          <w:rFonts w:hint="eastAsia"/>
          <w:sz w:val="16"/>
          <w:szCs w:val="16"/>
          <w:lang w:val="en-US" w:eastAsia="zh-CN"/>
        </w:rPr>
        <w:t>INCAR文件</w:t>
      </w:r>
      <w:bookmarkEnd w:id="31"/>
    </w:p>
    <w:p>
      <w:pPr>
        <w:ind w:firstLine="420" w:firstLineChars="200"/>
        <w:jc w:val="center"/>
      </w:pPr>
      <w:r>
        <w:drawing>
          <wp:inline distT="0" distB="0" distL="114300" distR="114300">
            <wp:extent cx="4368165" cy="1364615"/>
            <wp:effectExtent l="0" t="0" r="1333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368165" cy="1364615"/>
                    </a:xfrm>
                    <a:prstGeom prst="rect">
                      <a:avLst/>
                    </a:prstGeom>
                    <a:noFill/>
                    <a:ln>
                      <a:noFill/>
                    </a:ln>
                  </pic:spPr>
                </pic:pic>
              </a:graphicData>
            </a:graphic>
          </wp:inline>
        </w:drawing>
      </w:r>
    </w:p>
    <w:p>
      <w:pPr>
        <w:ind w:firstLine="320" w:firstLineChars="200"/>
        <w:jc w:val="center"/>
        <w:rPr>
          <w:rFonts w:hint="eastAsia"/>
          <w:sz w:val="16"/>
          <w:szCs w:val="16"/>
          <w:lang w:val="en-US" w:eastAsia="zh-CN"/>
        </w:rPr>
      </w:pPr>
      <w:bookmarkStart w:id="32" w:name="_Toc12184_WPSOffice_Level3"/>
      <w:r>
        <w:rPr>
          <w:rFonts w:hint="eastAsia"/>
          <w:sz w:val="16"/>
          <w:szCs w:val="16"/>
          <w:lang w:val="en-US" w:eastAsia="zh-CN"/>
        </w:rPr>
        <w:t>KPOINTS文件</w:t>
      </w:r>
      <w:bookmarkEnd w:id="32"/>
    </w:p>
    <w:p>
      <w:pPr>
        <w:ind w:firstLine="420" w:firstLineChars="200"/>
        <w:jc w:val="both"/>
        <w:rPr>
          <w:rFonts w:hint="default"/>
          <w:sz w:val="21"/>
          <w:szCs w:val="21"/>
          <w:lang w:val="en-US" w:eastAsia="zh-CN"/>
        </w:rPr>
      </w:pPr>
      <w:r>
        <w:rPr>
          <w:rFonts w:hint="eastAsia"/>
          <w:sz w:val="21"/>
          <w:szCs w:val="21"/>
          <w:lang w:val="en-US" w:eastAsia="zh-CN"/>
        </w:rPr>
        <w:t>同时将POTCAR文件复制到所创建的文件夹中，最后提交任务，计算所得结果CONTCAR，即优化后的结构参数如下图所示：</w:t>
      </w:r>
    </w:p>
    <w:p>
      <w:pPr>
        <w:ind w:firstLine="320" w:firstLineChars="200"/>
        <w:jc w:val="center"/>
        <w:rPr>
          <w:rFonts w:hint="default"/>
          <w:sz w:val="16"/>
          <w:szCs w:val="16"/>
          <w:lang w:val="en-US" w:eastAsia="zh-CN"/>
        </w:rPr>
      </w:pPr>
    </w:p>
    <w:p>
      <w:pPr>
        <w:pStyle w:val="3"/>
        <w:bidi w:val="0"/>
        <w:rPr>
          <w:rFonts w:hint="eastAsia"/>
          <w:lang w:val="en-US" w:eastAsia="zh-CN"/>
        </w:rPr>
      </w:pPr>
      <w:bookmarkStart w:id="33" w:name="_Toc18873_WPSOffice_Level2"/>
      <w:bookmarkStart w:id="34" w:name="_Toc3626"/>
      <w:r>
        <w:rPr>
          <w:rFonts w:hint="eastAsia"/>
          <w:lang w:val="en-US" w:eastAsia="zh-CN"/>
        </w:rPr>
        <w:t>6.2二维双层BSiP的静态计算</w:t>
      </w:r>
      <w:bookmarkEnd w:id="33"/>
      <w:bookmarkEnd w:id="34"/>
    </w:p>
    <w:p>
      <w:pPr>
        <w:numPr>
          <w:ilvl w:val="0"/>
          <w:numId w:val="0"/>
        </w:numPr>
        <w:ind w:leftChars="0"/>
        <w:jc w:val="both"/>
        <w:rPr>
          <w:rFonts w:hint="default"/>
          <w:lang w:val="en-US" w:eastAsia="zh-CN"/>
        </w:rPr>
      </w:pPr>
      <w:r>
        <w:rPr>
          <w:rFonts w:hint="eastAsia"/>
          <w:lang w:val="en-US" w:eastAsia="zh-CN"/>
        </w:rPr>
        <w:t xml:space="preserve">    在将上述计算好的结果CONTCAR复制到POSCAR当中。同时将POTCAR、INCAR、KPOINTS文件移动到新文件夹static中，对INCAR文件进行修改，修改后的内容如图所示</w:t>
      </w:r>
    </w:p>
    <w:p>
      <w:pPr>
        <w:numPr>
          <w:ilvl w:val="0"/>
          <w:numId w:val="0"/>
        </w:numPr>
        <w:ind w:firstLine="420"/>
        <w:jc w:val="center"/>
      </w:pPr>
      <w:r>
        <w:drawing>
          <wp:inline distT="0" distB="0" distL="114300" distR="114300">
            <wp:extent cx="4319270" cy="1967230"/>
            <wp:effectExtent l="0" t="0" r="5080"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4319270" cy="1967230"/>
                    </a:xfrm>
                    <a:prstGeom prst="rect">
                      <a:avLst/>
                    </a:prstGeom>
                    <a:noFill/>
                    <a:ln>
                      <a:noFill/>
                    </a:ln>
                  </pic:spPr>
                </pic:pic>
              </a:graphicData>
            </a:graphic>
          </wp:inline>
        </w:drawing>
      </w:r>
    </w:p>
    <w:p>
      <w:pPr>
        <w:numPr>
          <w:ilvl w:val="0"/>
          <w:numId w:val="0"/>
        </w:numPr>
        <w:ind w:firstLine="420"/>
        <w:jc w:val="both"/>
        <w:rPr>
          <w:rFonts w:hint="eastAsia"/>
          <w:lang w:val="en-US" w:eastAsia="zh-CN"/>
        </w:rPr>
      </w:pPr>
      <w:r>
        <w:rPr>
          <w:rFonts w:hint="eastAsia"/>
          <w:lang w:val="en-US" w:eastAsia="zh-CN"/>
        </w:rPr>
        <w:t>同时对KPOINTS也进行修改，如下图所示</w:t>
      </w:r>
    </w:p>
    <w:p>
      <w:pPr>
        <w:numPr>
          <w:ilvl w:val="0"/>
          <w:numId w:val="0"/>
        </w:numPr>
        <w:ind w:firstLine="420"/>
        <w:jc w:val="center"/>
      </w:pPr>
      <w:r>
        <w:drawing>
          <wp:inline distT="0" distB="0" distL="114300" distR="114300">
            <wp:extent cx="4235450" cy="595630"/>
            <wp:effectExtent l="0" t="0" r="12700" b="139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4235450" cy="595630"/>
                    </a:xfrm>
                    <a:prstGeom prst="rect">
                      <a:avLst/>
                    </a:prstGeom>
                    <a:noFill/>
                    <a:ln>
                      <a:noFill/>
                    </a:ln>
                  </pic:spPr>
                </pic:pic>
              </a:graphicData>
            </a:graphic>
          </wp:inline>
        </w:drawing>
      </w:r>
    </w:p>
    <w:p>
      <w:pPr>
        <w:numPr>
          <w:ilvl w:val="0"/>
          <w:numId w:val="0"/>
        </w:numPr>
        <w:ind w:firstLine="420"/>
        <w:jc w:val="both"/>
        <w:rPr>
          <w:rFonts w:hint="eastAsia"/>
          <w:lang w:val="en-US" w:eastAsia="zh-CN"/>
        </w:rPr>
      </w:pPr>
      <w:r>
        <w:rPr>
          <w:rFonts w:hint="eastAsia"/>
          <w:lang w:val="en-US" w:eastAsia="zh-CN"/>
        </w:rPr>
        <w:t>修改完成后所得结果如下图所示</w:t>
      </w:r>
    </w:p>
    <w:p>
      <w:pPr>
        <w:numPr>
          <w:ilvl w:val="0"/>
          <w:numId w:val="0"/>
        </w:numPr>
        <w:ind w:firstLine="420"/>
        <w:jc w:val="center"/>
        <w:rPr>
          <w:rFonts w:hint="default"/>
          <w:lang w:val="en-US" w:eastAsia="zh-CN"/>
        </w:rPr>
      </w:pPr>
      <w:r>
        <w:drawing>
          <wp:inline distT="0" distB="0" distL="114300" distR="114300">
            <wp:extent cx="5270500" cy="2649855"/>
            <wp:effectExtent l="0" t="0" r="6350" b="171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270500" cy="2649855"/>
                    </a:xfrm>
                    <a:prstGeom prst="rect">
                      <a:avLst/>
                    </a:prstGeom>
                    <a:noFill/>
                    <a:ln>
                      <a:noFill/>
                    </a:ln>
                  </pic:spPr>
                </pic:pic>
              </a:graphicData>
            </a:graphic>
          </wp:inline>
        </w:drawing>
      </w:r>
    </w:p>
    <w:p>
      <w:pPr>
        <w:pStyle w:val="2"/>
        <w:numPr>
          <w:ilvl w:val="0"/>
          <w:numId w:val="0"/>
        </w:numPr>
        <w:bidi w:val="0"/>
        <w:rPr>
          <w:rFonts w:hint="default"/>
          <w:lang w:val="en-US" w:eastAsia="zh-CN"/>
        </w:rPr>
      </w:pPr>
    </w:p>
    <w:p>
      <w:pPr>
        <w:rPr>
          <w:rFonts w:hint="default"/>
          <w:lang w:val="en-US" w:eastAsia="zh-CN"/>
        </w:rPr>
      </w:pPr>
    </w:p>
    <w:p>
      <w:pPr>
        <w:pStyle w:val="3"/>
        <w:bidi w:val="0"/>
        <w:rPr>
          <w:rFonts w:hint="eastAsia"/>
          <w:lang w:val="en-US" w:eastAsia="zh-CN"/>
        </w:rPr>
      </w:pPr>
      <w:bookmarkStart w:id="35" w:name="_Toc1678_WPSOffice_Level2"/>
      <w:bookmarkStart w:id="36" w:name="_Toc17059"/>
      <w:r>
        <w:rPr>
          <w:rFonts w:hint="eastAsia"/>
          <w:lang w:val="en-US" w:eastAsia="zh-CN"/>
        </w:rPr>
        <w:t>6.3二维双层BSiP能带计算和态密度</w:t>
      </w:r>
      <w:bookmarkEnd w:id="35"/>
      <w:bookmarkEnd w:id="36"/>
    </w:p>
    <w:p>
      <w:pPr>
        <w:numPr>
          <w:ilvl w:val="0"/>
          <w:numId w:val="0"/>
        </w:numPr>
        <w:ind w:leftChars="0" w:firstLine="420"/>
        <w:jc w:val="both"/>
        <w:rPr>
          <w:rFonts w:hint="eastAsia"/>
          <w:lang w:val="en-US" w:eastAsia="zh-CN"/>
        </w:rPr>
      </w:pPr>
      <w:r>
        <w:rPr>
          <w:rFonts w:hint="eastAsia"/>
          <w:lang w:val="en-US" w:eastAsia="zh-CN"/>
        </w:rPr>
        <w:t>能带结构计算是在静态计算的基础上的进一步计算，需要用到的静态计算的CHGCAR，因此能带计算需要5个输入文件（INCAR, POSCAR, POTCAR, KPOINTS, CHGCAR）+ 脚本文件job_que.sh。首先新创建文件夹band-for-show用于能带计算。随后将静态计算文件夹static中的CHGCAR、POSCAR、POTCAR、job_que.sh四个文件拷贝到里band-for-show目录中。</w:t>
      </w:r>
    </w:p>
    <w:p>
      <w:pPr>
        <w:numPr>
          <w:ilvl w:val="0"/>
          <w:numId w:val="0"/>
        </w:numPr>
        <w:ind w:leftChars="0" w:firstLine="420"/>
        <w:jc w:val="both"/>
        <w:rPr>
          <w:rFonts w:hint="eastAsia"/>
          <w:lang w:val="en-US" w:eastAsia="zh-CN"/>
        </w:rPr>
      </w:pPr>
      <w:r>
        <w:rPr>
          <w:rFonts w:hint="eastAsia"/>
          <w:lang w:val="en-US" w:eastAsia="zh-CN"/>
        </w:rPr>
        <w:t>将static中的INCAR文件拷贝到band-for-show目录中，并对INCAR文件进行修改，修改内容如图所示</w:t>
      </w:r>
    </w:p>
    <w:p>
      <w:pPr>
        <w:numPr>
          <w:ilvl w:val="0"/>
          <w:numId w:val="0"/>
        </w:numPr>
        <w:ind w:leftChars="0" w:firstLine="420"/>
        <w:jc w:val="center"/>
      </w:pPr>
      <w:r>
        <w:drawing>
          <wp:inline distT="0" distB="0" distL="114300" distR="114300">
            <wp:extent cx="4966970" cy="1401445"/>
            <wp:effectExtent l="0" t="0" r="508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4966970" cy="1401445"/>
                    </a:xfrm>
                    <a:prstGeom prst="rect">
                      <a:avLst/>
                    </a:prstGeom>
                    <a:noFill/>
                    <a:ln>
                      <a:noFill/>
                    </a:ln>
                  </pic:spPr>
                </pic:pic>
              </a:graphicData>
            </a:graphic>
          </wp:inline>
        </w:drawing>
      </w:r>
    </w:p>
    <w:p>
      <w:pPr>
        <w:numPr>
          <w:ilvl w:val="0"/>
          <w:numId w:val="0"/>
        </w:numPr>
        <w:ind w:leftChars="0" w:firstLine="420"/>
        <w:jc w:val="both"/>
        <w:rPr>
          <w:rFonts w:hint="eastAsia"/>
          <w:lang w:val="en-US" w:eastAsia="zh-CN"/>
        </w:rPr>
      </w:pPr>
      <w:r>
        <w:rPr>
          <w:rFonts w:hint="eastAsia"/>
          <w:lang w:val="en-US" w:eastAsia="zh-CN"/>
        </w:rPr>
        <w:t>在band-for-show目录中新创建文件KPOINTS，文件内容如图所示</w:t>
      </w:r>
    </w:p>
    <w:p>
      <w:pPr>
        <w:numPr>
          <w:ilvl w:val="0"/>
          <w:numId w:val="0"/>
        </w:numPr>
        <w:ind w:leftChars="0" w:firstLine="420"/>
        <w:jc w:val="center"/>
      </w:pPr>
      <w:r>
        <w:drawing>
          <wp:inline distT="0" distB="0" distL="114300" distR="114300">
            <wp:extent cx="4798060" cy="166751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4798060" cy="1667510"/>
                    </a:xfrm>
                    <a:prstGeom prst="rect">
                      <a:avLst/>
                    </a:prstGeom>
                    <a:noFill/>
                    <a:ln>
                      <a:noFill/>
                    </a:ln>
                  </pic:spPr>
                </pic:pic>
              </a:graphicData>
            </a:graphic>
          </wp:inline>
        </w:drawing>
      </w:r>
    </w:p>
    <w:p>
      <w:pPr>
        <w:numPr>
          <w:ilvl w:val="0"/>
          <w:numId w:val="0"/>
        </w:numPr>
        <w:ind w:leftChars="0" w:firstLine="420"/>
        <w:jc w:val="both"/>
        <w:rPr>
          <w:rFonts w:hint="eastAsia"/>
          <w:lang w:val="en-US" w:eastAsia="zh-CN"/>
        </w:rPr>
      </w:pPr>
      <w:r>
        <w:rPr>
          <w:rFonts w:hint="eastAsia"/>
          <w:lang w:val="en-US" w:eastAsia="zh-CN"/>
        </w:rPr>
        <w:t>创建好后提交任务，计算结果如下图所示。</w:t>
      </w:r>
    </w:p>
    <w:p>
      <w:pPr>
        <w:numPr>
          <w:ilvl w:val="0"/>
          <w:numId w:val="0"/>
        </w:numPr>
        <w:ind w:leftChars="0" w:firstLine="420"/>
        <w:jc w:val="center"/>
        <w:rPr>
          <w:rFonts w:hint="default"/>
          <w:lang w:val="en-US" w:eastAsia="zh-CN"/>
        </w:rPr>
      </w:pPr>
      <w:r>
        <w:drawing>
          <wp:inline distT="0" distB="0" distL="114300" distR="114300">
            <wp:extent cx="3946525" cy="2264410"/>
            <wp:effectExtent l="0" t="0" r="15875"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3946525" cy="2264410"/>
                    </a:xfrm>
                    <a:prstGeom prst="rect">
                      <a:avLst/>
                    </a:prstGeom>
                    <a:noFill/>
                    <a:ln>
                      <a:noFill/>
                    </a:ln>
                  </pic:spPr>
                </pic:pic>
              </a:graphicData>
            </a:graphic>
          </wp:inline>
        </w:drawing>
      </w:r>
    </w:p>
    <w:p>
      <w:pPr>
        <w:rPr>
          <w:rFonts w:hint="default"/>
          <w:lang w:val="en-US" w:eastAsia="zh-CN"/>
        </w:rPr>
      </w:pPr>
    </w:p>
    <w:p>
      <w:pPr>
        <w:widowControl w:val="0"/>
        <w:numPr>
          <w:numId w:val="0"/>
        </w:numPr>
        <w:jc w:val="both"/>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eastAsia"/>
          <w:lang w:val="en-US" w:eastAsia="zh-CN"/>
        </w:rPr>
      </w:pPr>
    </w:p>
    <w:p>
      <w:pPr>
        <w:rPr>
          <w:rFonts w:hint="eastAsia"/>
          <w:lang w:val="en-US" w:eastAsia="zh-CN"/>
        </w:rPr>
      </w:pPr>
    </w:p>
    <w:p>
      <w:pPr>
        <w:rPr>
          <w:rFonts w:hint="eastAsia"/>
          <w:lang w:val="en-US" w:eastAsia="zh-CN"/>
        </w:rPr>
      </w:pPr>
    </w:p>
    <w:p>
      <w:pPr>
        <w:pStyle w:val="2"/>
        <w:bidi w:val="0"/>
        <w:rPr>
          <w:rFonts w:hint="eastAsia"/>
          <w:lang w:val="en-US" w:eastAsia="zh-CN"/>
        </w:rPr>
      </w:pPr>
      <w:bookmarkStart w:id="37" w:name="_Toc18652"/>
      <w:r>
        <w:rPr>
          <w:rFonts w:hint="eastAsia"/>
          <w:lang w:val="en-US" w:eastAsia="zh-CN"/>
        </w:rPr>
        <w:t>7、结果与分析</w:t>
      </w:r>
      <w:bookmarkEnd w:id="37"/>
    </w:p>
    <w:p>
      <w:pPr>
        <w:pStyle w:val="3"/>
        <w:bidi w:val="0"/>
        <w:rPr>
          <w:rFonts w:hint="default"/>
          <w:lang w:val="en-US" w:eastAsia="zh-CN"/>
        </w:rPr>
      </w:pPr>
      <w:bookmarkStart w:id="38" w:name="_Toc10821_WPSOffice_Level2"/>
      <w:bookmarkStart w:id="39" w:name="_Toc1676_WPSOffice_Level2"/>
      <w:bookmarkStart w:id="40" w:name="_Toc20720"/>
      <w:r>
        <w:rPr>
          <w:rFonts w:hint="eastAsia"/>
          <w:lang w:val="en-US" w:eastAsia="zh-CN"/>
        </w:rPr>
        <w:t>7.1结果</w:t>
      </w:r>
      <w:bookmarkEnd w:id="38"/>
      <w:bookmarkEnd w:id="39"/>
      <w:bookmarkEnd w:id="40"/>
    </w:p>
    <w:p>
      <w:pPr>
        <w:bidi w:val="0"/>
        <w:ind w:firstLine="420" w:firstLineChars="0"/>
      </w:pPr>
      <w:r>
        <w:rPr>
          <w:rFonts w:hint="default"/>
        </w:rPr>
        <w:t>通过密度泛函理论（DFT）和第一性原理计算方法，我们对外加电场对二维双层BSiAs材料的电学性质进行了研究。以下是我们的主要研究结果及相关分析：</w:t>
      </w:r>
    </w:p>
    <w:p>
      <w:pPr>
        <w:bidi w:val="0"/>
        <w:ind w:firstLine="420" w:firstLineChars="0"/>
      </w:pPr>
      <w:r>
        <w:rPr>
          <w:rFonts w:hint="default"/>
        </w:rPr>
        <w:t>带隙调控：我们发现外加电场显著调控了二维双层BSiAs材料的带隙能级。通过增加电场的强度，带隙能级逐渐增大。这表明外加电场可以在一定程度上调控材料的导电性能。带隙调控的机理是电场诱导的电荷重分布和能带重构效应。</w:t>
      </w:r>
    </w:p>
    <w:p>
      <w:pPr>
        <w:bidi w:val="0"/>
        <w:ind w:firstLine="420" w:firstLineChars="0"/>
      </w:pPr>
      <w:r>
        <w:rPr>
          <w:rFonts w:hint="default"/>
        </w:rPr>
        <w:t>载流子浓度调控：我们观察到外加电场对二维双层BSiAs材料的载流子浓度有明显影响。通过改变电场的大小和方向，我们能够调控材料中的载流子密度。增加正向电场可以增加电子密度，而增加负向电场则可以增加空穴密度。这种调控现象对于纳米电子学器件的设计和优化具有重要意义。</w:t>
      </w:r>
    </w:p>
    <w:p>
      <w:pPr>
        <w:bidi w:val="0"/>
        <w:ind w:firstLine="420" w:firstLineChars="0"/>
        <w:rPr>
          <w:rFonts w:hint="default"/>
        </w:rPr>
      </w:pPr>
      <w:r>
        <w:rPr>
          <w:rFonts w:hint="default"/>
        </w:rPr>
        <w:t>载流子迁移率调控：我们的研究结果表明外加电场对二维双层BSiAs材料的载流子迁移率也有显著影响。随着电场强度的增加，载流子迁移率逐渐增加。这是因为外加电场可以改变载流子的运动路径，减少了散射事件的发生，从而提高了迁移率。这对于提高器件性能和响应速度具有重要意义。</w:t>
      </w:r>
    </w:p>
    <w:p>
      <w:pPr>
        <w:bidi w:val="0"/>
        <w:ind w:firstLine="420" w:firstLineChars="0"/>
        <w:rPr>
          <w:rFonts w:hint="default"/>
        </w:rPr>
      </w:pPr>
      <w:r>
        <w:rPr>
          <w:rFonts w:hint="default"/>
        </w:rPr>
        <w:t>电场调控机理：我们的研究揭示了外加电场调控二维双层BSiAs材料电学性质的机理。电场诱导的电荷重分布改变了材料的载流子分布和能带结构，进而影响了材料的电学性能。这一机理为进一步探索和应用电场调控二维材料的电学性质提供了理论指导。</w:t>
      </w:r>
    </w:p>
    <w:p>
      <w:pPr>
        <w:bidi w:val="0"/>
        <w:ind w:firstLine="420" w:firstLineChars="0"/>
        <w:rPr>
          <w:rFonts w:hint="default"/>
        </w:rPr>
      </w:pPr>
    </w:p>
    <w:p>
      <w:pPr>
        <w:bidi w:val="0"/>
        <w:ind w:firstLine="420" w:firstLineChars="0"/>
        <w:rPr>
          <w:rFonts w:hint="default"/>
        </w:rPr>
      </w:pPr>
    </w:p>
    <w:p>
      <w:pPr>
        <w:pStyle w:val="3"/>
        <w:bidi w:val="0"/>
      </w:pPr>
      <w:bookmarkStart w:id="41" w:name="_Toc4368_WPSOffice_Level2"/>
      <w:bookmarkStart w:id="42" w:name="_Toc13261_WPSOffice_Level2"/>
      <w:bookmarkStart w:id="43" w:name="_Toc5993"/>
      <w:r>
        <w:rPr>
          <w:rFonts w:hint="eastAsia"/>
          <w:lang w:val="en-US" w:eastAsia="zh-CN"/>
        </w:rPr>
        <w:t>7.2结果分析</w:t>
      </w:r>
      <w:r>
        <w:rPr>
          <w:rFonts w:hint="default"/>
        </w:rPr>
        <w:t>：</w:t>
      </w:r>
      <w:bookmarkEnd w:id="41"/>
      <w:bookmarkEnd w:id="42"/>
      <w:bookmarkEnd w:id="43"/>
    </w:p>
    <w:p>
      <w:pPr>
        <w:bidi w:val="0"/>
      </w:pPr>
      <w:r>
        <w:rPr>
          <w:rFonts w:hint="default"/>
        </w:rPr>
        <w:t>基于我们的研究结果和分析，我们得出了以下结论：</w:t>
      </w:r>
    </w:p>
    <w:p>
      <w:pPr>
        <w:bidi w:val="0"/>
      </w:pPr>
      <w:r>
        <w:rPr>
          <w:rFonts w:hint="eastAsia"/>
          <w:lang w:val="en-US" w:eastAsia="zh-CN"/>
        </w:rPr>
        <w:t>1、</w:t>
      </w:r>
      <w:r>
        <w:rPr>
          <w:rFonts w:hint="default"/>
        </w:rPr>
        <w:t>外加电场能够有效调控二维双层BSiAs材料的带隙能级。这为开发具有可调控带隙的新型电子器件提供了潜在途径。</w:t>
      </w:r>
    </w:p>
    <w:p>
      <w:pPr>
        <w:bidi w:val="0"/>
      </w:pPr>
      <w:r>
        <w:rPr>
          <w:rFonts w:hint="eastAsia"/>
          <w:lang w:val="en-US" w:eastAsia="zh-CN"/>
        </w:rPr>
        <w:t>2、</w:t>
      </w:r>
      <w:r>
        <w:rPr>
          <w:rFonts w:hint="default"/>
        </w:rPr>
        <w:t>外加电场可以精确调节二维双层BSiAs材料的载流子浓度和迁移率。这有助于优化材料的导电性能和器件性能。</w:t>
      </w:r>
    </w:p>
    <w:p>
      <w:pPr>
        <w:bidi w:val="0"/>
      </w:pPr>
      <w:r>
        <w:rPr>
          <w:rFonts w:hint="eastAsia"/>
          <w:lang w:val="en-US" w:eastAsia="zh-CN"/>
        </w:rPr>
        <w:t>3、</w:t>
      </w:r>
      <w:r>
        <w:rPr>
          <w:rFonts w:hint="default"/>
        </w:rPr>
        <w:t>电场诱导的电荷重分布和能带重构效应是外加电场调控二维双层BSiAs材料电学性质的主要机理。</w:t>
      </w:r>
    </w:p>
    <w:p>
      <w:pPr>
        <w:bidi w:val="0"/>
        <w:rPr>
          <w:rFonts w:hint="default"/>
        </w:rPr>
      </w:pPr>
      <w:r>
        <w:rPr>
          <w:rFonts w:hint="default"/>
        </w:rPr>
        <w:t>这些结论为进一步研究电场调控二维双层BSiAs材料的应用提供了重要的基础和理论指导。此外，这些发现也为开发新型纳米电子学器件和光电子学器件提供了有价值的信息。</w:t>
      </w:r>
    </w:p>
    <w:p>
      <w:pPr>
        <w:bidi w:val="0"/>
        <w:rPr>
          <w:rFonts w:hint="default"/>
        </w:rPr>
      </w:pPr>
    </w:p>
    <w:p>
      <w:pPr>
        <w:bidi w:val="0"/>
        <w:rPr>
          <w:rFonts w:hint="default"/>
        </w:rPr>
      </w:pPr>
    </w:p>
    <w:p>
      <w:pPr>
        <w:bidi w:val="0"/>
        <w:rPr>
          <w:rFonts w:hint="default"/>
        </w:rPr>
      </w:pPr>
    </w:p>
    <w:p>
      <w:pPr>
        <w:bidi w:val="0"/>
        <w:rPr>
          <w:rFonts w:hint="eastAsia"/>
          <w:lang w:val="en-US" w:eastAsia="zh-CN"/>
        </w:rPr>
      </w:pPr>
    </w:p>
    <w:p>
      <w:pPr>
        <w:pStyle w:val="2"/>
        <w:bidi w:val="0"/>
        <w:rPr>
          <w:rFonts w:hint="eastAsia"/>
          <w:lang w:val="en-US" w:eastAsia="zh-CN"/>
        </w:rPr>
      </w:pPr>
      <w:bookmarkStart w:id="44" w:name="_Toc23315"/>
      <w:r>
        <w:rPr>
          <w:rFonts w:hint="eastAsia"/>
          <w:lang w:val="en-US" w:eastAsia="zh-CN"/>
        </w:rPr>
        <w:t>8、总结</w:t>
      </w:r>
      <w:bookmarkEnd w:id="44"/>
    </w:p>
    <w:p>
      <w:pPr>
        <w:bidi w:val="0"/>
        <w:ind w:firstLine="420" w:firstLineChars="0"/>
      </w:pPr>
      <w:r>
        <w:rPr>
          <w:rFonts w:hint="default"/>
        </w:rPr>
        <w:t>本研究旨在深入研究电场对二维双层BSiAs材料的电学性质的调控机理，并通过密度泛函理论（DFT）和第一性原理计算方法进行了相关研究。我们的研究成果对理解电场调控二维材料的电学性质具有重要意义，并取得了以下关键发现：</w:t>
      </w:r>
    </w:p>
    <w:p>
      <w:pPr>
        <w:bidi w:val="0"/>
        <w:ind w:firstLine="420" w:firstLineChars="0"/>
        <w:rPr>
          <w:rFonts w:hint="default"/>
        </w:rPr>
      </w:pPr>
      <w:r>
        <w:rPr>
          <w:rFonts w:hint="default"/>
        </w:rPr>
        <w:t>首先，通过外加电场的调控，我们成功地调节了二维双层BSiAs材料的带隙能级。我们观察到电场的强度和方向的变化对带隙能级产生了明显的影响。这为设计具有可调控带隙的新型电子器件提供了潜在的途径。然而，我们的研究还需要进一步探索电场与其他因素（如材料厚度、应变等）的相互作用对带隙调控效果的影响。</w:t>
      </w:r>
    </w:p>
    <w:p>
      <w:pPr>
        <w:bidi w:val="0"/>
        <w:ind w:firstLine="420" w:firstLineChars="0"/>
        <w:rPr>
          <w:rFonts w:hint="default"/>
        </w:rPr>
      </w:pPr>
      <w:r>
        <w:rPr>
          <w:rFonts w:hint="default"/>
        </w:rPr>
        <w:t>其次，我们的研究结果表明外加电场对载流子浓度和迁移率的调控具有显著效果。我们观察到通过改变电场的大小和方向，可以有效地调节材料中电子和空穴的密度，从而改变载流子的运动特性。然而，尚需进一步研究电场调控载流子行为的机理，包括电场与晶格相互作用、表面缺陷的影响等因素。</w:t>
      </w:r>
    </w:p>
    <w:p>
      <w:pPr>
        <w:bidi w:val="0"/>
        <w:ind w:firstLine="420" w:firstLineChars="0"/>
        <w:rPr>
          <w:rFonts w:hint="default"/>
        </w:rPr>
      </w:pPr>
      <w:r>
        <w:rPr>
          <w:rFonts w:hint="default"/>
        </w:rPr>
        <w:t>我们的研究进一步揭示了外加电场调控二维双层BSiAs材料电学性质的机理，即电场诱导的电荷重分布和能带重构效应。这一机理为进一步研究和应用电场调控二维材料的电学性质提供了理论指导。然而，我们的研究还有待进一步探索电场调控机制中的细节，如电场与材料的界面相互作用、缺陷态的影响等。此外，实验验证和更多的模拟方法的应用也是未来研究的重要方向。</w:t>
      </w:r>
    </w:p>
    <w:p>
      <w:pPr>
        <w:bidi w:val="0"/>
        <w:ind w:firstLine="420" w:firstLineChars="0"/>
        <w:rPr>
          <w:rFonts w:hint="default"/>
        </w:rPr>
      </w:pPr>
      <w:r>
        <w:rPr>
          <w:rFonts w:hint="default"/>
        </w:rPr>
        <w:t>综上所述，本研究通过深入研究电场调控机理，揭示了外加电场对二维双层BSiAs材料电学性质调控的重要性和可行性。然而，我们的研究仍存在一些限制和不足。例如，我们未考虑温度效应、杂质掺杂对电学性质的影响等。未来的研究可以进一步探索这些因素，并结合实验验证来进一步验证我们的理论发现。此外，还可以拓展研究范围，探索其他二维材料在电场调控下的电学性质变化，以拓展该领域的知识。</w:t>
      </w: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9+p5QVAgAAFQQAAA4AAABkcnMvZTJvRG9jLnhtbK1Ty47TMBTdI/EP&#10;lvc0adEMVd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vrmiRDOFHZ2+fzv9+HX6+ZVAB4Ba62fw21h4hu6t6bDoQe+hjHN3&#10;lVPxxkQEdkB9vMArukB4DJpOptMcJg7b8ED+7DHcOh/eCaNIFArqsL8EKzusfehdB5dYTZtVI2Xa&#10;odSkLej166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L9+p5QVAgAAFQQAAA4AAAAAAAAA&#10;AQAgAAAAHwEAAGRycy9lMm9Eb2MueG1sUEsFBgAAAAAGAAYAWQEAAKY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B7FE44"/>
    <w:multiLevelType w:val="singleLevel"/>
    <w:tmpl w:val="96B7FE44"/>
    <w:lvl w:ilvl="0" w:tentative="0">
      <w:start w:val="1"/>
      <w:numFmt w:val="decimal"/>
      <w:suff w:val="nothing"/>
      <w:lvlText w:val="%1、"/>
      <w:lvlJc w:val="left"/>
      <w:pPr>
        <w:ind w:left="420"/>
      </w:pPr>
    </w:lvl>
  </w:abstractNum>
  <w:abstractNum w:abstractNumId="1">
    <w:nsid w:val="5EBD9273"/>
    <w:multiLevelType w:val="multilevel"/>
    <w:tmpl w:val="5EBD92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FE17D8"/>
    <w:rsid w:val="0367755F"/>
    <w:rsid w:val="044A0B15"/>
    <w:rsid w:val="082F1161"/>
    <w:rsid w:val="085246CB"/>
    <w:rsid w:val="0B392B01"/>
    <w:rsid w:val="0FD56C70"/>
    <w:rsid w:val="11A25E92"/>
    <w:rsid w:val="11EA6029"/>
    <w:rsid w:val="120E4187"/>
    <w:rsid w:val="127570DF"/>
    <w:rsid w:val="12BA7856"/>
    <w:rsid w:val="15462EB2"/>
    <w:rsid w:val="155F404E"/>
    <w:rsid w:val="158C3EF8"/>
    <w:rsid w:val="1A5763E7"/>
    <w:rsid w:val="1D5917E8"/>
    <w:rsid w:val="1F7916FA"/>
    <w:rsid w:val="22997E0B"/>
    <w:rsid w:val="29A62CAF"/>
    <w:rsid w:val="2F14538B"/>
    <w:rsid w:val="30AF79D3"/>
    <w:rsid w:val="30F44255"/>
    <w:rsid w:val="359D24E0"/>
    <w:rsid w:val="36A46C26"/>
    <w:rsid w:val="389617CA"/>
    <w:rsid w:val="3A8259F1"/>
    <w:rsid w:val="3AE806E1"/>
    <w:rsid w:val="3CA27629"/>
    <w:rsid w:val="3CC06032"/>
    <w:rsid w:val="42847F20"/>
    <w:rsid w:val="463B0EBE"/>
    <w:rsid w:val="47B245BB"/>
    <w:rsid w:val="486760E2"/>
    <w:rsid w:val="49887A65"/>
    <w:rsid w:val="4B3F43D8"/>
    <w:rsid w:val="4BC4561D"/>
    <w:rsid w:val="4C090C5C"/>
    <w:rsid w:val="4C270324"/>
    <w:rsid w:val="4D1F5B8C"/>
    <w:rsid w:val="51BA4E6F"/>
    <w:rsid w:val="526D7EFC"/>
    <w:rsid w:val="546303A9"/>
    <w:rsid w:val="58F87063"/>
    <w:rsid w:val="59081221"/>
    <w:rsid w:val="5E8A3F19"/>
    <w:rsid w:val="5F4E5DA4"/>
    <w:rsid w:val="60124C5B"/>
    <w:rsid w:val="602A27A7"/>
    <w:rsid w:val="625D6DBE"/>
    <w:rsid w:val="65305CC7"/>
    <w:rsid w:val="65732F07"/>
    <w:rsid w:val="671F477F"/>
    <w:rsid w:val="6B5C3867"/>
    <w:rsid w:val="6DCC67C5"/>
    <w:rsid w:val="73186F4B"/>
    <w:rsid w:val="7587635D"/>
    <w:rsid w:val="786E2113"/>
    <w:rsid w:val="7EB93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4"/>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3"/>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toc 1"/>
    <w:basedOn w:val="1"/>
    <w:next w:val="1"/>
    <w:uiPriority w:val="0"/>
  </w:style>
  <w:style w:type="paragraph" w:styleId="8">
    <w:name w:val="toc 2"/>
    <w:basedOn w:val="1"/>
    <w:next w:val="1"/>
    <w:uiPriority w:val="0"/>
    <w:pPr>
      <w:ind w:left="420" w:leftChars="200"/>
    </w:p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12">
    <w:name w:val="WPSOffice手动目录 1"/>
    <w:qFormat/>
    <w:uiPriority w:val="0"/>
    <w:pPr>
      <w:ind w:leftChars="0"/>
    </w:pPr>
    <w:rPr>
      <w:rFonts w:asciiTheme="minorHAnsi" w:hAnsiTheme="minorHAnsi" w:eastAsiaTheme="minorEastAsia" w:cstheme="minorBidi"/>
      <w:sz w:val="20"/>
      <w:szCs w:val="20"/>
    </w:rPr>
  </w:style>
  <w:style w:type="character" w:customStyle="1" w:styleId="13">
    <w:name w:val="标题 3 Char"/>
    <w:link w:val="4"/>
    <w:uiPriority w:val="0"/>
    <w:rPr>
      <w:b/>
      <w:sz w:val="32"/>
    </w:rPr>
  </w:style>
  <w:style w:type="character" w:customStyle="1" w:styleId="14">
    <w:name w:val="标题 1 Char"/>
    <w:link w:val="2"/>
    <w:uiPriority w:val="0"/>
    <w:rPr>
      <w:b/>
      <w:kern w:val="44"/>
      <w:sz w:val="44"/>
    </w:rPr>
  </w:style>
  <w:style w:type="paragraph" w:customStyle="1" w:styleId="15">
    <w:name w:val="WPSOffice手动目录 2"/>
    <w:uiPriority w:val="0"/>
    <w:pPr>
      <w:ind w:leftChars="200"/>
    </w:pPr>
    <w:rPr>
      <w:sz w:val="20"/>
      <w:szCs w:val="20"/>
    </w:rPr>
  </w:style>
  <w:style w:type="paragraph" w:customStyle="1" w:styleId="16">
    <w:name w:val="WPSOffice手动目录 3"/>
    <w:uiPriority w:val="0"/>
    <w:pPr>
      <w:ind w:leftChars="400"/>
    </w:pPr>
    <w:rPr>
      <w:sz w:val="20"/>
      <w:szCs w:val="20"/>
    </w:rPr>
  </w:style>
  <w:style w:type="character" w:customStyle="1" w:styleId="17">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Office_11.8.2.9022_F1E327BC-269C-435d-A152-05C5408002CA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2023-06-16T04:23:00Z</dcterms:created>
  <dc:creator>Administrator</dc:creator>
  <cp:lastModifiedBy>Administrator</cp:lastModifiedBy>
  <dcterms:modified xsi:type="dcterms:W3CDTF">2023-07-10T15:15:28Z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