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er10.xml" ContentType="application/vnd.openxmlformats-officedocument.wordprocessingml.footer+xml"/>
  <Override PartName="/word/footer2.xml" ContentType="application/vnd.openxmlformats-officedocument.wordprocessingml.footer+xml"/>
  <Override PartName="/word/header12.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header11.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17.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embeddings/oleObject1.docx" ContentType="application/vnd.openxmlformats-officedocument.wordprocessingml.document"/>
  <Override PartName="/word/embeddings/oleObject2.docx" ContentType="application/vnd.openxmlformats-officedocument.wordprocessingml.document"/>
  <Override PartName="/word/embeddings/oleObject3.docx" ContentType="application/vnd.openxmlformats-officedocument.wordprocessingml.document"/>
  <Override PartName="/word/embeddings/oleObject4.xlsx" ContentType="application/vnd.openxmlformats-officedocument.spreadsheetml.sheet"/>
  <Override PartName="/word/header14.xml" ContentType="application/vnd.openxmlformats-officedocument.wordprocessingml.header+xml"/>
  <Override PartName="/word/media/image1.wmf" ContentType="image/x-wmf"/>
  <Override PartName="/word/media/image2.wmf" ContentType="image/x-wmf"/>
  <Override PartName="/word/media/image3.wmf" ContentType="image/x-wmf"/>
  <Override PartName="/word/media/image4.wmf" ContentType="image/x-wmf"/>
  <Override PartName="/word/header15.xml" ContentType="application/vnd.openxmlformats-officedocument.wordprocessingml.header+xml"/>
  <Override PartName="/word/header13.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footer1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_rels/document.xml.rels" ContentType="application/vnd.openxmlformats-package.relationships+xml"/>
  <Override PartName="/word/footer8.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4.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3.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header6.xml" ContentType="application/vnd.openxmlformats-officedocument.wordprocessingml.header+xml"/>
  <Override PartName="/word/header5.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5"/>
        <w:spacing w:before="120" w:after="0"/>
        <w:jc w:val="both"/>
        <w:rPr/>
      </w:pPr>
      <w:r>
        <w:rPr/>
      </w:r>
    </w:p>
    <w:p>
      <w:pPr>
        <w:pStyle w:val="Style25"/>
        <w:rPr/>
      </w:pPr>
      <w:r>
        <w:rPr/>
      </w:r>
    </w:p>
    <w:p>
      <w:pPr>
        <w:pStyle w:val="Style25"/>
        <w:rPr/>
      </w:pPr>
      <w:r>
        <w:rPr/>
      </w:r>
    </w:p>
    <w:p>
      <w:pPr>
        <w:pStyle w:val="Style25"/>
        <w:rPr/>
      </w:pPr>
      <w:r>
        <w:rPr/>
      </w:r>
    </w:p>
    <w:p>
      <w:pPr>
        <w:pStyle w:val="Style25"/>
        <w:rPr/>
      </w:pPr>
      <w:r>
        <w:rPr/>
      </w:r>
    </w:p>
    <w:p>
      <w:pPr>
        <w:pStyle w:val="Style25"/>
        <w:rPr/>
      </w:pPr>
      <w:r>
        <w:rPr/>
      </w:r>
    </w:p>
    <w:p>
      <w:pPr>
        <w:pStyle w:val="Style25"/>
        <w:rPr/>
      </w:pPr>
      <w:r>
        <w:rPr/>
      </w:r>
    </w:p>
    <w:p>
      <w:pPr>
        <w:pStyle w:val="Style25"/>
        <w:rPr/>
      </w:pPr>
      <w:r>
        <w:rPr/>
      </w:r>
    </w:p>
    <w:p>
      <w:pPr>
        <w:pStyle w:val="Style25"/>
        <w:rPr/>
      </w:pPr>
      <w:r>
        <w:rPr/>
      </w:r>
    </w:p>
    <w:p>
      <w:pPr>
        <w:pStyle w:val="Style25"/>
        <w:keepNext w:val="true"/>
        <w:numPr>
          <w:ilvl w:val="0"/>
          <w:numId w:val="0"/>
        </w:numPr>
        <w:ind w:left="0" w:hanging="0"/>
        <w:jc w:val="center"/>
        <w:outlineLvl w:val="2"/>
        <w:rPr>
          <w:b/>
          <w:bCs/>
          <w:caps/>
          <w:sz w:val="32"/>
          <w:szCs w:val="32"/>
        </w:rPr>
      </w:pPr>
      <w:r>
        <w:rPr>
          <w:b/>
          <w:bCs/>
          <w:caps/>
          <w:sz w:val="32"/>
          <w:szCs w:val="32"/>
        </w:rPr>
        <w:t>Документация о закупке</w:t>
      </w:r>
    </w:p>
    <w:p>
      <w:pPr>
        <w:pStyle w:val="Style25"/>
        <w:keepNext w:val="true"/>
        <w:spacing w:before="240" w:after="0"/>
        <w:jc w:val="center"/>
        <w:rPr>
          <w:b/>
          <w:szCs w:val="26"/>
        </w:rPr>
      </w:pPr>
      <w:r>
        <w:rPr>
          <w:b/>
        </w:rPr>
        <w:t>Аукцион в электронной форме,</w:t>
        <w:br/>
        <w:t>участниками которого могут быть только субъекты МСП,</w:t>
        <w:br/>
        <w:t xml:space="preserve">на право заключения договора поставки </w:t>
      </w:r>
      <w:r>
        <w:rPr>
          <w:rFonts w:eastAsia="Calibri" w:cs="" w:cstheme="minorBidi" w:eastAsiaTheme="minorHAnsi"/>
          <w:b/>
          <w:color w:val="auto"/>
          <w:kern w:val="0"/>
          <w:sz w:val="26"/>
          <w:szCs w:val="22"/>
          <w:lang w:val="ru-RU" w:eastAsia="en-US" w:bidi="ar-SA"/>
        </w:rPr>
        <w:t xml:space="preserve"> эксплуатационного масла для дизель-генераторных установок иностранного производства</w:t>
      </w:r>
    </w:p>
    <w:p>
      <w:pPr>
        <w:sectPr>
          <w:footerReference w:type="default" r:id="rId2"/>
          <w:type w:val="nextPage"/>
          <w:pgSz w:w="11906" w:h="16838"/>
          <w:pgMar w:left="1134" w:right="850" w:gutter="0" w:header="0" w:top="851" w:footer="567" w:bottom="851"/>
          <w:pgNumType w:fmt="decimal"/>
          <w:formProt w:val="false"/>
          <w:textDirection w:val="lrTb"/>
          <w:docGrid w:type="default" w:linePitch="360" w:charSpace="0"/>
        </w:sectPr>
        <w:pStyle w:val="Style25"/>
        <w:keepNext w:val="true"/>
        <w:spacing w:before="240" w:after="0"/>
        <w:jc w:val="center"/>
        <w:rPr>
          <w:b/>
        </w:rPr>
      </w:pPr>
      <w:r>
        <w:rPr>
          <w:b/>
        </w:rPr>
        <w:t xml:space="preserve"> </w:t>
      </w:r>
      <w:r>
        <w:rPr>
          <w:b/>
        </w:rPr>
        <w:t xml:space="preserve">(Лот № </w:t>
      </w:r>
      <w:r>
        <w:rPr>
          <w:rFonts w:eastAsia="Calibri" w:cs="" w:cstheme="minorBidi" w:eastAsiaTheme="minorHAnsi"/>
          <w:b/>
          <w:color w:val="auto"/>
          <w:kern w:val="0"/>
          <w:sz w:val="26"/>
          <w:szCs w:val="22"/>
          <w:lang w:val="ru-RU" w:eastAsia="en-US" w:bidi="ar-SA"/>
        </w:rPr>
        <w:t>17501-ЭКСП ПРОД-2026-ЮЭСК</w:t>
      </w:r>
      <w:r>
        <w:rPr>
          <w:b/>
        </w:rPr>
        <w:t>)</w:t>
      </w:r>
    </w:p>
    <w:p>
      <w:pPr>
        <w:pStyle w:val="Style24"/>
        <w:numPr>
          <w:ilvl w:val="0"/>
          <w:numId w:val="0"/>
        </w:numPr>
        <w:spacing w:before="0" w:after="120"/>
        <w:ind w:left="0" w:hanging="0"/>
        <w:outlineLvl w:val="2"/>
        <w:rPr/>
      </w:pPr>
      <w:r>
        <w:rPr/>
        <w:t>Содержание</w:t>
      </w:r>
    </w:p>
    <w:sdt>
      <w:sdtPr>
        <w:docPartObj>
          <w:docPartGallery w:val="Table of Contents"/>
          <w:docPartUnique w:val="true"/>
        </w:docPartObj>
      </w:sdtPr>
      <w:sdtContent>
        <w:p>
          <w:pPr>
            <w:pStyle w:val="TOC1"/>
            <w:rPr>
              <w:rFonts w:ascii="Calibri" w:hAnsi="Calibri" w:eastAsia="" w:asciiTheme="minorHAnsi" w:eastAsiaTheme="minorEastAsia" w:hAnsiTheme="minorHAnsi"/>
              <w:b w:val="false"/>
              <w:caps w:val="false"/>
              <w:smallCaps w:val="false"/>
              <w:sz w:val="24"/>
              <w:szCs w:val="24"/>
              <w:lang w:eastAsia="ru-RU"/>
            </w:rPr>
          </w:pPr>
          <w:r>
            <w:fldChar w:fldCharType="begin"/>
          </w:r>
          <w:r>
            <w:rPr>
              <w:webHidden/>
              <w:rStyle w:val="Style15"/>
              <w:sz w:val="24"/>
              <w:szCs w:val="24"/>
              <w:vanish w:val="false"/>
            </w:rPr>
            <w:instrText xml:space="preserve"> TOC \z \u \t "[РГ] Перечисление,5,[РГ] Подпункт,4,[РГ] Пункт,3,[РГ] Подраздел,2,[РГ] Раздел,1,[РГ] Раздел,1,[РГ] Раздел,1,[РГ] Раздел,1,[РГ] Раздел,1,[РГ] Раздел,1,[РГ] Раздел,1,[РГ] Раздел,1,[РГ] Раздел,1,[РГ] Подраздел,2,[РГ] Подраздел,2,[РГ] Подраздел,2,[РГ] Подраздел,2,[РГ] Подраздел,2,[РГ] Подраздел,2,[РГ] Подраздел,2,[РГ] Подраздел,2,[РГ] Пункт,3,[РГ] Пункт,3,[РГ] Пункт,3,[РГ] Пункт,3,[РГ] Пункт,3,[РГ] Пункт,3,[РГ] Пункт,3,[РГ] Подпункт,4,[РГ] Подпункт,4,[РГ] Подпункт,4,[РГ] Подпункт,4,[РГ] Подпункт,4,[РГ] Подпункт,4,[РГ] Подпункт,4,[РГ] Перечисление,5,[РГ] Перечисление,5,[РГ] Перечисление,5,[РГ] Перечисление,5,[РГ] Перечисление,5,[РГ] Перечисление,5,[РГ] Перечисление,5" \h</w:instrText>
          </w:r>
          <w:r>
            <w:rPr>
              <w:webHidden/>
              <w:rStyle w:val="Style15"/>
              <w:sz w:val="24"/>
              <w:szCs w:val="24"/>
              <w:vanish w:val="false"/>
            </w:rPr>
            <w:fldChar w:fldCharType="separate"/>
          </w:r>
          <w:hyperlink w:anchor="_Toc188946907">
            <w:r>
              <w:rPr>
                <w:webHidden/>
              </w:rPr>
              <w:fldChar w:fldCharType="begin"/>
            </w:r>
            <w:r>
              <w:rPr>
                <w:webHidden/>
              </w:rPr>
              <w:instrText xml:space="preserve">PAGEREF _Toc188946907 \h</w:instrText>
            </w:r>
            <w:r>
              <w:rPr>
                <w:webHidden/>
              </w:rPr>
              <w:fldChar w:fldCharType="separate"/>
            </w:r>
            <w:r>
              <w:rPr>
                <w:webHidden/>
                <w:rStyle w:val="Style15"/>
                <w:vanish w:val="false"/>
                <w:sz w:val="24"/>
                <w:szCs w:val="24"/>
              </w:rPr>
              <w:t>Сокращения</w:t>
              <w:tab/>
              <w:t>5</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08">
            <w:r>
              <w:rPr>
                <w:webHidden/>
              </w:rPr>
              <w:fldChar w:fldCharType="begin"/>
            </w:r>
            <w:r>
              <w:rPr>
                <w:webHidden/>
              </w:rPr>
              <w:instrText xml:space="preserve">PAGEREF _Toc188946908 \h</w:instrText>
            </w:r>
            <w:r>
              <w:rPr>
                <w:webHidden/>
              </w:rPr>
              <w:fldChar w:fldCharType="separate"/>
            </w:r>
            <w:r>
              <w:rPr>
                <w:webHidden/>
                <w:rStyle w:val="Style15"/>
                <w:vanish w:val="false"/>
                <w:sz w:val="24"/>
                <w:szCs w:val="24"/>
              </w:rPr>
              <w:t>Термины и определения</w:t>
              <w:tab/>
              <w:t>6</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09">
            <w:r>
              <w:rPr>
                <w:webHidden/>
                <w:rStyle w:val="Style15"/>
                <w:vanish w:val="false"/>
                <w:sz w:val="24"/>
                <w:szCs w:val="24"/>
              </w:rPr>
              <w:t>1.</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Основные сведения о закупке</w:t>
            </w:r>
            <w:r>
              <w:rPr>
                <w:webHidden/>
              </w:rPr>
              <w:fldChar w:fldCharType="begin"/>
            </w:r>
            <w:r>
              <w:rPr>
                <w:webHidden/>
              </w:rPr>
              <w:instrText xml:space="preserve">PAGEREF _Toc188946909 \h</w:instrText>
            </w:r>
            <w:r>
              <w:rPr>
                <w:webHidden/>
              </w:rPr>
              <w:fldChar w:fldCharType="separate"/>
            </w:r>
            <w:r>
              <w:rPr>
                <w:rStyle w:val="Style15"/>
                <w:vanish w:val="false"/>
                <w:sz w:val="24"/>
                <w:szCs w:val="24"/>
              </w:rPr>
              <w:tab/>
              <w:t>9</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0">
            <w:r>
              <w:rPr>
                <w:webHidden/>
                <w:rStyle w:val="Style15"/>
                <w:vanish w:val="false"/>
                <w:sz w:val="24"/>
                <w:szCs w:val="24"/>
              </w:rPr>
              <w:t>1.1</w:t>
            </w:r>
            <w:r>
              <w:rPr>
                <w:rStyle w:val="Style15"/>
                <w:rFonts w:eastAsia="" w:ascii="Calibri" w:hAnsi="Calibri" w:asciiTheme="minorHAnsi" w:eastAsiaTheme="minorEastAsia" w:hAnsiTheme="minorHAnsi"/>
                <w:sz w:val="24"/>
                <w:szCs w:val="24"/>
                <w:lang w:eastAsia="ru-RU"/>
              </w:rPr>
              <w:tab/>
            </w:r>
            <w:r>
              <w:rPr>
                <w:rStyle w:val="Style15"/>
                <w:sz w:val="24"/>
                <w:szCs w:val="24"/>
              </w:rPr>
              <w:t>Статус настоящего раздела</w:t>
            </w:r>
            <w:r>
              <w:rPr>
                <w:webHidden/>
              </w:rPr>
              <w:fldChar w:fldCharType="begin"/>
            </w:r>
            <w:r>
              <w:rPr>
                <w:webHidden/>
              </w:rPr>
              <w:instrText xml:space="preserve">PAGEREF _Toc188946910 \h</w:instrText>
            </w:r>
            <w:r>
              <w:rPr>
                <w:webHidden/>
              </w:rPr>
              <w:fldChar w:fldCharType="separate"/>
            </w:r>
            <w:r>
              <w:rPr>
                <w:rStyle w:val="Style15"/>
                <w:vanish w:val="false"/>
                <w:sz w:val="24"/>
                <w:szCs w:val="24"/>
              </w:rPr>
              <w:tab/>
              <w:t>9</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1">
            <w:r>
              <w:rPr>
                <w:webHidden/>
                <w:rStyle w:val="Style15"/>
                <w:vanish w:val="false"/>
                <w:sz w:val="24"/>
                <w:szCs w:val="24"/>
              </w:rPr>
              <w:t>1.2</w:t>
            </w:r>
            <w:r>
              <w:rPr>
                <w:rStyle w:val="Style15"/>
                <w:rFonts w:eastAsia="" w:ascii="Calibri" w:hAnsi="Calibri" w:asciiTheme="minorHAnsi" w:eastAsiaTheme="minorEastAsia" w:hAnsiTheme="minorHAnsi"/>
                <w:sz w:val="24"/>
                <w:szCs w:val="24"/>
                <w:lang w:eastAsia="ru-RU"/>
              </w:rPr>
              <w:tab/>
            </w:r>
            <w:r>
              <w:rPr>
                <w:rStyle w:val="Style15"/>
                <w:sz w:val="24"/>
                <w:szCs w:val="24"/>
              </w:rPr>
              <w:t>Информация о проводимой закупке</w:t>
            </w:r>
            <w:r>
              <w:rPr>
                <w:webHidden/>
              </w:rPr>
              <w:fldChar w:fldCharType="begin"/>
            </w:r>
            <w:r>
              <w:rPr>
                <w:webHidden/>
              </w:rPr>
              <w:instrText xml:space="preserve">PAGEREF _Toc188946911 \h</w:instrText>
            </w:r>
            <w:r>
              <w:rPr>
                <w:webHidden/>
              </w:rPr>
              <w:fldChar w:fldCharType="separate"/>
            </w:r>
            <w:r>
              <w:rPr>
                <w:rStyle w:val="Style15"/>
                <w:vanish w:val="false"/>
                <w:sz w:val="24"/>
                <w:szCs w:val="24"/>
              </w:rPr>
              <w:tab/>
              <w:t>9</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12">
            <w:r>
              <w:rPr>
                <w:webHidden/>
                <w:rStyle w:val="Style15"/>
                <w:vanish w:val="false"/>
                <w:sz w:val="24"/>
                <w:szCs w:val="24"/>
              </w:rPr>
              <w:t>2.</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Общие положения</w:t>
            </w:r>
            <w:r>
              <w:rPr>
                <w:webHidden/>
              </w:rPr>
              <w:fldChar w:fldCharType="begin"/>
            </w:r>
            <w:r>
              <w:rPr>
                <w:webHidden/>
              </w:rPr>
              <w:instrText xml:space="preserve">PAGEREF _Toc188946912 \h</w:instrText>
            </w:r>
            <w:r>
              <w:rPr>
                <w:webHidden/>
              </w:rPr>
              <w:fldChar w:fldCharType="separate"/>
            </w:r>
            <w:r>
              <w:rPr>
                <w:rStyle w:val="Style15"/>
                <w:vanish w:val="false"/>
                <w:sz w:val="24"/>
                <w:szCs w:val="24"/>
              </w:rPr>
              <w:tab/>
              <w:t>13</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3">
            <w:r>
              <w:rPr>
                <w:webHidden/>
                <w:rStyle w:val="Style15"/>
                <w:vanish w:val="false"/>
                <w:sz w:val="24"/>
                <w:szCs w:val="24"/>
              </w:rPr>
              <w:t>2.1</w:t>
            </w:r>
            <w:r>
              <w:rPr>
                <w:rStyle w:val="Style15"/>
                <w:rFonts w:eastAsia="" w:ascii="Calibri" w:hAnsi="Calibri" w:asciiTheme="minorHAnsi" w:eastAsiaTheme="minorEastAsia" w:hAnsiTheme="minorHAnsi"/>
                <w:sz w:val="24"/>
                <w:szCs w:val="24"/>
                <w:lang w:eastAsia="ru-RU"/>
              </w:rPr>
              <w:tab/>
            </w:r>
            <w:r>
              <w:rPr>
                <w:rStyle w:val="Style15"/>
                <w:sz w:val="24"/>
                <w:szCs w:val="24"/>
              </w:rPr>
              <w:t>Общие сведения о закупке</w:t>
            </w:r>
            <w:r>
              <w:rPr>
                <w:webHidden/>
              </w:rPr>
              <w:fldChar w:fldCharType="begin"/>
            </w:r>
            <w:r>
              <w:rPr>
                <w:webHidden/>
              </w:rPr>
              <w:instrText xml:space="preserve">PAGEREF _Toc188946913 \h</w:instrText>
            </w:r>
            <w:r>
              <w:rPr>
                <w:webHidden/>
              </w:rPr>
              <w:fldChar w:fldCharType="separate"/>
            </w:r>
            <w:r>
              <w:rPr>
                <w:rStyle w:val="Style15"/>
                <w:vanish w:val="false"/>
                <w:sz w:val="24"/>
                <w:szCs w:val="24"/>
              </w:rPr>
              <w:tab/>
              <w:t>13</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4">
            <w:r>
              <w:rPr>
                <w:webHidden/>
                <w:rStyle w:val="Style15"/>
                <w:vanish w:val="false"/>
                <w:sz w:val="24"/>
                <w:szCs w:val="24"/>
              </w:rPr>
              <w:t>2.2</w:t>
            </w:r>
            <w:r>
              <w:rPr>
                <w:rStyle w:val="Style15"/>
                <w:rFonts w:eastAsia="" w:ascii="Calibri" w:hAnsi="Calibri" w:asciiTheme="minorHAnsi" w:eastAsiaTheme="minorEastAsia" w:hAnsiTheme="minorHAnsi"/>
                <w:sz w:val="24"/>
                <w:szCs w:val="24"/>
                <w:lang w:eastAsia="ru-RU"/>
              </w:rPr>
              <w:tab/>
            </w:r>
            <w:r>
              <w:rPr>
                <w:rStyle w:val="Style15"/>
                <w:sz w:val="24"/>
                <w:szCs w:val="24"/>
              </w:rPr>
              <w:t>Правовой статус документов</w:t>
            </w:r>
            <w:r>
              <w:rPr>
                <w:webHidden/>
              </w:rPr>
              <w:fldChar w:fldCharType="begin"/>
            </w:r>
            <w:r>
              <w:rPr>
                <w:webHidden/>
              </w:rPr>
              <w:instrText xml:space="preserve">PAGEREF _Toc188946914 \h</w:instrText>
            </w:r>
            <w:r>
              <w:rPr>
                <w:webHidden/>
              </w:rPr>
              <w:fldChar w:fldCharType="separate"/>
            </w:r>
            <w:r>
              <w:rPr>
                <w:rStyle w:val="Style15"/>
                <w:vanish w:val="false"/>
                <w:sz w:val="24"/>
                <w:szCs w:val="24"/>
              </w:rPr>
              <w:tab/>
              <w:t>13</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5">
            <w:r>
              <w:rPr>
                <w:webHidden/>
                <w:rStyle w:val="Style15"/>
                <w:vanish w:val="false"/>
                <w:sz w:val="24"/>
                <w:szCs w:val="24"/>
              </w:rPr>
              <w:t>2.3</w:t>
            </w:r>
            <w:r>
              <w:rPr>
                <w:rStyle w:val="Style15"/>
                <w:rFonts w:eastAsia="" w:ascii="Calibri" w:hAnsi="Calibri" w:asciiTheme="minorHAnsi" w:eastAsiaTheme="minorEastAsia" w:hAnsiTheme="minorHAnsi"/>
                <w:sz w:val="24"/>
                <w:szCs w:val="24"/>
                <w:lang w:eastAsia="ru-RU"/>
              </w:rPr>
              <w:tab/>
            </w:r>
            <w:r>
              <w:rPr>
                <w:rStyle w:val="Style15"/>
                <w:sz w:val="24"/>
                <w:szCs w:val="24"/>
              </w:rPr>
              <w:t>Обжалование</w:t>
            </w:r>
            <w:r>
              <w:rPr>
                <w:webHidden/>
              </w:rPr>
              <w:fldChar w:fldCharType="begin"/>
            </w:r>
            <w:r>
              <w:rPr>
                <w:webHidden/>
              </w:rPr>
              <w:instrText xml:space="preserve">PAGEREF _Toc188946915 \h</w:instrText>
            </w:r>
            <w:r>
              <w:rPr>
                <w:webHidden/>
              </w:rPr>
              <w:fldChar w:fldCharType="separate"/>
            </w:r>
            <w:r>
              <w:rPr>
                <w:rStyle w:val="Style15"/>
                <w:vanish w:val="false"/>
                <w:sz w:val="24"/>
                <w:szCs w:val="24"/>
              </w:rPr>
              <w:tab/>
              <w:t>14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6">
            <w:r>
              <w:rPr>
                <w:webHidden/>
                <w:rStyle w:val="Style15"/>
                <w:vanish w:val="false"/>
                <w:sz w:val="24"/>
                <w:szCs w:val="24"/>
              </w:rPr>
              <w:t>2.4</w:t>
            </w:r>
            <w:r>
              <w:rPr>
                <w:rStyle w:val="Style15"/>
                <w:rFonts w:eastAsia="" w:ascii="Calibri" w:hAnsi="Calibri" w:asciiTheme="minorHAnsi" w:eastAsiaTheme="minorEastAsia" w:hAnsiTheme="minorHAnsi"/>
                <w:sz w:val="24"/>
                <w:szCs w:val="24"/>
                <w:lang w:eastAsia="ru-RU"/>
              </w:rPr>
              <w:tab/>
            </w:r>
            <w:r>
              <w:rPr>
                <w:rStyle w:val="Style15"/>
                <w:sz w:val="24"/>
                <w:szCs w:val="24"/>
              </w:rPr>
              <w:t>Особые положения при проведении закупки с использованием ЭП</w:t>
            </w:r>
            <w:r>
              <w:rPr>
                <w:webHidden/>
              </w:rPr>
              <w:fldChar w:fldCharType="begin"/>
            </w:r>
            <w:r>
              <w:rPr>
                <w:webHidden/>
              </w:rPr>
              <w:instrText xml:space="preserve">PAGEREF _Toc188946916 \h</w:instrText>
            </w:r>
            <w:r>
              <w:rPr>
                <w:webHidden/>
              </w:rPr>
              <w:fldChar w:fldCharType="separate"/>
            </w:r>
            <w:r>
              <w:rPr>
                <w:rStyle w:val="Style15"/>
                <w:vanish w:val="false"/>
                <w:sz w:val="24"/>
                <w:szCs w:val="24"/>
              </w:rPr>
              <w:tab/>
              <w:t>15</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7">
            <w:r>
              <w:rPr>
                <w:webHidden/>
                <w:rStyle w:val="Style15"/>
                <w:vanish w:val="false"/>
                <w:sz w:val="24"/>
                <w:szCs w:val="24"/>
              </w:rPr>
              <w:t>2.5</w:t>
            </w:r>
            <w:r>
              <w:rPr>
                <w:rStyle w:val="Style15"/>
                <w:rFonts w:eastAsia="" w:ascii="Calibri" w:hAnsi="Calibri" w:asciiTheme="minorHAnsi" w:eastAsiaTheme="minorEastAsia" w:hAnsiTheme="minorHAnsi"/>
                <w:sz w:val="24"/>
                <w:szCs w:val="24"/>
                <w:lang w:eastAsia="ru-RU"/>
              </w:rPr>
              <w:tab/>
            </w:r>
            <w:r>
              <w:rPr>
                <w:rStyle w:val="Style15"/>
                <w:sz w:val="24"/>
                <w:szCs w:val="24"/>
              </w:rPr>
              <w:t>Прочие положения</w:t>
            </w:r>
            <w:r>
              <w:rPr>
                <w:webHidden/>
              </w:rPr>
              <w:fldChar w:fldCharType="begin"/>
            </w:r>
            <w:r>
              <w:rPr>
                <w:webHidden/>
              </w:rPr>
              <w:instrText xml:space="preserve">PAGEREF _Toc188946917 \h</w:instrText>
            </w:r>
            <w:r>
              <w:rPr>
                <w:webHidden/>
              </w:rPr>
              <w:fldChar w:fldCharType="separate"/>
            </w:r>
            <w:r>
              <w:rPr>
                <w:rStyle w:val="Style15"/>
                <w:vanish w:val="false"/>
                <w:sz w:val="24"/>
                <w:szCs w:val="24"/>
              </w:rPr>
              <w:tab/>
              <w:t>15</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18">
            <w:r>
              <w:rPr>
                <w:webHidden/>
                <w:rStyle w:val="Style15"/>
                <w:vanish w:val="false"/>
                <w:sz w:val="24"/>
                <w:szCs w:val="24"/>
              </w:rPr>
              <w:t>3.</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Требования к Участникам</w:t>
            </w:r>
            <w:r>
              <w:rPr>
                <w:webHidden/>
              </w:rPr>
              <w:fldChar w:fldCharType="begin"/>
            </w:r>
            <w:r>
              <w:rPr>
                <w:webHidden/>
              </w:rPr>
              <w:instrText xml:space="preserve">PAGEREF _Toc188946918 \h</w:instrText>
            </w:r>
            <w:r>
              <w:rPr>
                <w:webHidden/>
              </w:rPr>
              <w:fldChar w:fldCharType="separate"/>
            </w:r>
            <w:r>
              <w:rPr>
                <w:rStyle w:val="Style15"/>
                <w:vanish w:val="false"/>
                <w:sz w:val="24"/>
                <w:szCs w:val="24"/>
              </w:rPr>
              <w:tab/>
              <w:t>16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19">
            <w:r>
              <w:rPr>
                <w:webHidden/>
                <w:rStyle w:val="Style15"/>
                <w:vanish w:val="false"/>
                <w:sz w:val="24"/>
                <w:szCs w:val="24"/>
              </w:rPr>
              <w:t>3.1</w:t>
            </w:r>
            <w:r>
              <w:rPr>
                <w:rStyle w:val="Style15"/>
                <w:rFonts w:eastAsia="" w:ascii="Calibri" w:hAnsi="Calibri" w:asciiTheme="minorHAnsi" w:eastAsiaTheme="minorEastAsia" w:hAnsiTheme="minorHAnsi"/>
                <w:sz w:val="24"/>
                <w:szCs w:val="24"/>
                <w:lang w:eastAsia="ru-RU"/>
              </w:rPr>
              <w:tab/>
            </w:r>
            <w:r>
              <w:rPr>
                <w:rStyle w:val="Style15"/>
                <w:sz w:val="24"/>
                <w:szCs w:val="24"/>
              </w:rPr>
              <w:t>Общие требования к Участникам</w:t>
            </w:r>
            <w:r>
              <w:rPr>
                <w:webHidden/>
              </w:rPr>
              <w:fldChar w:fldCharType="begin"/>
            </w:r>
            <w:r>
              <w:rPr>
                <w:webHidden/>
              </w:rPr>
              <w:instrText xml:space="preserve">PAGEREF _Toc188946919 \h</w:instrText>
            </w:r>
            <w:r>
              <w:rPr>
                <w:webHidden/>
              </w:rPr>
              <w:fldChar w:fldCharType="separate"/>
            </w:r>
            <w:r>
              <w:rPr>
                <w:rStyle w:val="Style15"/>
                <w:vanish w:val="false"/>
                <w:sz w:val="24"/>
                <w:szCs w:val="24"/>
              </w:rPr>
              <w:tab/>
              <w:t>16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0">
            <w:r>
              <w:rPr>
                <w:webHidden/>
                <w:rStyle w:val="Style15"/>
                <w:vanish w:val="false"/>
                <w:sz w:val="24"/>
                <w:szCs w:val="24"/>
              </w:rPr>
              <w:t>3.2</w:t>
            </w:r>
            <w:r>
              <w:rPr>
                <w:rStyle w:val="Style15"/>
                <w:rFonts w:eastAsia="" w:ascii="Calibri" w:hAnsi="Calibri" w:asciiTheme="minorHAnsi" w:eastAsiaTheme="minorEastAsia" w:hAnsiTheme="minorHAnsi"/>
                <w:sz w:val="24"/>
                <w:szCs w:val="24"/>
                <w:lang w:eastAsia="ru-RU"/>
              </w:rPr>
              <w:tab/>
            </w:r>
            <w:r>
              <w:rPr>
                <w:rStyle w:val="Style15"/>
                <w:sz w:val="24"/>
                <w:szCs w:val="24"/>
              </w:rPr>
              <w:t>Коллективные участники</w:t>
            </w:r>
            <w:r>
              <w:rPr>
                <w:webHidden/>
              </w:rPr>
              <w:fldChar w:fldCharType="begin"/>
            </w:r>
            <w:r>
              <w:rPr>
                <w:webHidden/>
              </w:rPr>
              <w:instrText xml:space="preserve">PAGEREF _Toc188946920 \h</w:instrText>
            </w:r>
            <w:r>
              <w:rPr>
                <w:webHidden/>
              </w:rPr>
              <w:fldChar w:fldCharType="separate"/>
            </w:r>
            <w:r>
              <w:rPr>
                <w:rStyle w:val="Style15"/>
                <w:vanish w:val="false"/>
                <w:sz w:val="24"/>
                <w:szCs w:val="24"/>
              </w:rPr>
              <w:tab/>
              <w:t>16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1">
            <w:r>
              <w:rPr>
                <w:webHidden/>
                <w:rStyle w:val="Style15"/>
                <w:vanish w:val="false"/>
                <w:sz w:val="24"/>
                <w:szCs w:val="24"/>
              </w:rPr>
              <w:t>3.3</w:t>
            </w:r>
            <w:r>
              <w:rPr>
                <w:rStyle w:val="Style15"/>
                <w:rFonts w:eastAsia="" w:ascii="Calibri" w:hAnsi="Calibri" w:asciiTheme="minorHAnsi" w:eastAsiaTheme="minorEastAsia" w:hAnsiTheme="minorHAnsi"/>
                <w:sz w:val="24"/>
                <w:szCs w:val="24"/>
                <w:lang w:eastAsia="ru-RU"/>
              </w:rPr>
              <w:tab/>
            </w:r>
            <w:r>
              <w:rPr>
                <w:rStyle w:val="Style15"/>
                <w:sz w:val="24"/>
                <w:szCs w:val="24"/>
              </w:rPr>
              <w:t>Генеральные подрядчики</w:t>
            </w:r>
            <w:r>
              <w:rPr>
                <w:webHidden/>
              </w:rPr>
              <w:fldChar w:fldCharType="begin"/>
            </w:r>
            <w:r>
              <w:rPr>
                <w:webHidden/>
              </w:rPr>
              <w:instrText xml:space="preserve">PAGEREF _Toc188946921 \h</w:instrText>
            </w:r>
            <w:r>
              <w:rPr>
                <w:webHidden/>
              </w:rPr>
              <w:fldChar w:fldCharType="separate"/>
            </w:r>
            <w:r>
              <w:rPr>
                <w:rStyle w:val="Style15"/>
                <w:vanish w:val="false"/>
                <w:sz w:val="24"/>
                <w:szCs w:val="24"/>
              </w:rPr>
              <w:tab/>
              <w:t>18</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22">
            <w:r>
              <w:rPr>
                <w:webHidden/>
                <w:rStyle w:val="Style15"/>
                <w:vanish w:val="false"/>
                <w:sz w:val="24"/>
                <w:szCs w:val="24"/>
              </w:rPr>
              <w:t>4.</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Порядок проведения закупки</w:t>
            </w:r>
            <w:r>
              <w:rPr>
                <w:webHidden/>
              </w:rPr>
              <w:fldChar w:fldCharType="begin"/>
            </w:r>
            <w:r>
              <w:rPr>
                <w:webHidden/>
              </w:rPr>
              <w:instrText xml:space="preserve">PAGEREF _Toc188946922 \h</w:instrText>
            </w:r>
            <w:r>
              <w:rPr>
                <w:webHidden/>
              </w:rPr>
              <w:fldChar w:fldCharType="separate"/>
            </w:r>
            <w:r>
              <w:rPr>
                <w:rStyle w:val="Style15"/>
                <w:vanish w:val="false"/>
                <w:sz w:val="24"/>
                <w:szCs w:val="24"/>
              </w:rPr>
              <w:tab/>
              <w:t>20</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3">
            <w:r>
              <w:rPr>
                <w:webHidden/>
                <w:rStyle w:val="Style15"/>
                <w:vanish w:val="false"/>
                <w:sz w:val="24"/>
                <w:szCs w:val="24"/>
              </w:rPr>
              <w:t>4.1</w:t>
            </w:r>
            <w:r>
              <w:rPr>
                <w:rStyle w:val="Style15"/>
                <w:rFonts w:eastAsia="" w:ascii="Calibri" w:hAnsi="Calibri" w:asciiTheme="minorHAnsi" w:eastAsiaTheme="minorEastAsia" w:hAnsiTheme="minorHAnsi"/>
                <w:sz w:val="24"/>
                <w:szCs w:val="24"/>
                <w:lang w:eastAsia="ru-RU"/>
              </w:rPr>
              <w:tab/>
            </w:r>
            <w:r>
              <w:rPr>
                <w:rStyle w:val="Style15"/>
                <w:sz w:val="24"/>
                <w:szCs w:val="24"/>
              </w:rPr>
              <w:t>Общий порядок проведения закупки</w:t>
            </w:r>
            <w:r>
              <w:rPr>
                <w:webHidden/>
              </w:rPr>
              <w:fldChar w:fldCharType="begin"/>
            </w:r>
            <w:r>
              <w:rPr>
                <w:webHidden/>
              </w:rPr>
              <w:instrText xml:space="preserve">PAGEREF _Toc188946923 \h</w:instrText>
            </w:r>
            <w:r>
              <w:rPr>
                <w:webHidden/>
              </w:rPr>
              <w:fldChar w:fldCharType="separate"/>
            </w:r>
            <w:r>
              <w:rPr>
                <w:rStyle w:val="Style15"/>
                <w:vanish w:val="false"/>
                <w:sz w:val="24"/>
                <w:szCs w:val="24"/>
              </w:rPr>
              <w:tab/>
              <w:t>20</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4">
            <w:r>
              <w:rPr>
                <w:webHidden/>
                <w:rStyle w:val="Style15"/>
                <w:vanish w:val="false"/>
                <w:sz w:val="24"/>
                <w:szCs w:val="24"/>
              </w:rPr>
              <w:t>4.2</w:t>
            </w:r>
            <w:r>
              <w:rPr>
                <w:rStyle w:val="Style15"/>
                <w:rFonts w:eastAsia="" w:ascii="Calibri" w:hAnsi="Calibri" w:asciiTheme="minorHAnsi" w:eastAsiaTheme="minorEastAsia" w:hAnsiTheme="minorHAnsi"/>
                <w:sz w:val="24"/>
                <w:szCs w:val="24"/>
                <w:lang w:eastAsia="ru-RU"/>
              </w:rPr>
              <w:tab/>
            </w:r>
            <w:r>
              <w:rPr>
                <w:rStyle w:val="Style15"/>
                <w:sz w:val="24"/>
                <w:szCs w:val="24"/>
              </w:rPr>
              <w:t>Официальное размещение Извещения и Документации о закупке</w:t>
            </w:r>
            <w:r>
              <w:rPr>
                <w:webHidden/>
              </w:rPr>
              <w:fldChar w:fldCharType="begin"/>
            </w:r>
            <w:r>
              <w:rPr>
                <w:webHidden/>
              </w:rPr>
              <w:instrText xml:space="preserve">PAGEREF _Toc188946924 \h</w:instrText>
            </w:r>
            <w:r>
              <w:rPr>
                <w:webHidden/>
              </w:rPr>
              <w:fldChar w:fldCharType="separate"/>
            </w:r>
            <w:r>
              <w:rPr>
                <w:rStyle w:val="Style15"/>
                <w:vanish w:val="false"/>
                <w:sz w:val="24"/>
                <w:szCs w:val="24"/>
              </w:rPr>
              <w:tab/>
              <w:t>22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5">
            <w:r>
              <w:rPr>
                <w:webHidden/>
                <w:rStyle w:val="Style15"/>
                <w:vanish w:val="false"/>
                <w:sz w:val="24"/>
                <w:szCs w:val="24"/>
              </w:rPr>
              <w:t>4.3</w:t>
            </w:r>
            <w:r>
              <w:rPr>
                <w:rStyle w:val="Style15"/>
                <w:rFonts w:eastAsia="" w:ascii="Calibri" w:hAnsi="Calibri" w:asciiTheme="minorHAnsi" w:eastAsiaTheme="minorEastAsia" w:hAnsiTheme="minorHAnsi"/>
                <w:sz w:val="24"/>
                <w:szCs w:val="24"/>
                <w:lang w:eastAsia="ru-RU"/>
              </w:rPr>
              <w:tab/>
            </w:r>
            <w:r>
              <w:rPr>
                <w:rStyle w:val="Style15"/>
                <w:sz w:val="24"/>
                <w:szCs w:val="24"/>
              </w:rPr>
              <w:t>Подготовка заявки</w:t>
            </w:r>
            <w:r>
              <w:rPr>
                <w:webHidden/>
              </w:rPr>
              <w:fldChar w:fldCharType="begin"/>
            </w:r>
            <w:r>
              <w:rPr>
                <w:webHidden/>
              </w:rPr>
              <w:instrText xml:space="preserve">PAGEREF _Toc188946925 \h</w:instrText>
            </w:r>
            <w:r>
              <w:rPr>
                <w:webHidden/>
              </w:rPr>
              <w:fldChar w:fldCharType="separate"/>
            </w:r>
            <w:r>
              <w:rPr>
                <w:rStyle w:val="Style15"/>
                <w:vanish w:val="false"/>
                <w:sz w:val="24"/>
                <w:szCs w:val="24"/>
              </w:rPr>
              <w:tab/>
              <w:t>22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6">
            <w:r>
              <w:rPr>
                <w:webHidden/>
                <w:rStyle w:val="Style15"/>
                <w:vanish w:val="false"/>
                <w:sz w:val="24"/>
                <w:szCs w:val="24"/>
              </w:rPr>
              <w:t>4.4</w:t>
            </w:r>
            <w:r>
              <w:rPr>
                <w:rStyle w:val="Style15"/>
                <w:rFonts w:eastAsia="" w:ascii="Calibri" w:hAnsi="Calibri" w:asciiTheme="minorHAnsi" w:eastAsiaTheme="minorEastAsia" w:hAnsiTheme="minorHAnsi"/>
                <w:sz w:val="24"/>
                <w:szCs w:val="24"/>
                <w:lang w:eastAsia="ru-RU"/>
              </w:rPr>
              <w:tab/>
            </w:r>
            <w:r>
              <w:rPr>
                <w:rStyle w:val="Style15"/>
                <w:sz w:val="24"/>
                <w:szCs w:val="24"/>
              </w:rPr>
              <w:t>Разъяснение Документации о закупке</w:t>
            </w:r>
            <w:r>
              <w:rPr>
                <w:webHidden/>
              </w:rPr>
              <w:fldChar w:fldCharType="begin"/>
            </w:r>
            <w:r>
              <w:rPr>
                <w:webHidden/>
              </w:rPr>
              <w:instrText xml:space="preserve">PAGEREF _Toc188946926 \h</w:instrText>
            </w:r>
            <w:r>
              <w:rPr>
                <w:webHidden/>
              </w:rPr>
              <w:fldChar w:fldCharType="separate"/>
            </w:r>
            <w:r>
              <w:rPr>
                <w:rStyle w:val="Style15"/>
                <w:vanish w:val="false"/>
                <w:sz w:val="24"/>
                <w:szCs w:val="24"/>
              </w:rPr>
              <w:tab/>
              <w:t>25</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7">
            <w:r>
              <w:rPr>
                <w:webHidden/>
                <w:rStyle w:val="Style15"/>
                <w:vanish w:val="false"/>
                <w:sz w:val="24"/>
                <w:szCs w:val="24"/>
              </w:rPr>
              <w:t>4.5</w:t>
            </w:r>
            <w:r>
              <w:rPr>
                <w:rStyle w:val="Style15"/>
                <w:rFonts w:eastAsia="" w:ascii="Calibri" w:hAnsi="Calibri" w:asciiTheme="minorHAnsi" w:eastAsiaTheme="minorEastAsia" w:hAnsiTheme="minorHAnsi"/>
                <w:sz w:val="24"/>
                <w:szCs w:val="24"/>
                <w:lang w:eastAsia="ru-RU"/>
              </w:rPr>
              <w:tab/>
            </w:r>
            <w:r>
              <w:rPr>
                <w:rStyle w:val="Style15"/>
                <w:sz w:val="24"/>
                <w:szCs w:val="24"/>
              </w:rPr>
              <w:t>Изменения Извещения и (или) Документации о закупке</w:t>
            </w:r>
            <w:r>
              <w:rPr>
                <w:webHidden/>
              </w:rPr>
              <w:fldChar w:fldCharType="begin"/>
            </w:r>
            <w:r>
              <w:rPr>
                <w:webHidden/>
              </w:rPr>
              <w:instrText xml:space="preserve">PAGEREF _Toc188946927 \h</w:instrText>
            </w:r>
            <w:r>
              <w:rPr>
                <w:webHidden/>
              </w:rPr>
              <w:fldChar w:fldCharType="separate"/>
            </w:r>
            <w:r>
              <w:rPr>
                <w:rStyle w:val="Style15"/>
                <w:vanish w:val="false"/>
                <w:sz w:val="24"/>
                <w:szCs w:val="24"/>
              </w:rPr>
              <w:tab/>
              <w:t>26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8">
            <w:r>
              <w:rPr>
                <w:webHidden/>
                <w:rStyle w:val="Style15"/>
                <w:vanish w:val="false"/>
                <w:sz w:val="24"/>
                <w:szCs w:val="24"/>
              </w:rPr>
              <w:t>4.6</w:t>
            </w:r>
            <w:r>
              <w:rPr>
                <w:rStyle w:val="Style15"/>
                <w:rFonts w:eastAsia="" w:ascii="Calibri" w:hAnsi="Calibri" w:asciiTheme="minorHAnsi" w:eastAsiaTheme="minorEastAsia" w:hAnsiTheme="minorHAnsi"/>
                <w:sz w:val="24"/>
                <w:szCs w:val="24"/>
                <w:lang w:eastAsia="ru-RU"/>
              </w:rPr>
              <w:tab/>
            </w:r>
            <w:r>
              <w:rPr>
                <w:rStyle w:val="Style15"/>
                <w:sz w:val="24"/>
                <w:szCs w:val="24"/>
              </w:rPr>
              <w:t>Подача заявок и их прием</w:t>
            </w:r>
            <w:r>
              <w:rPr>
                <w:webHidden/>
              </w:rPr>
              <w:fldChar w:fldCharType="begin"/>
            </w:r>
            <w:r>
              <w:rPr>
                <w:webHidden/>
              </w:rPr>
              <w:instrText xml:space="preserve">PAGEREF _Toc188946928 \h</w:instrText>
            </w:r>
            <w:r>
              <w:rPr>
                <w:webHidden/>
              </w:rPr>
              <w:fldChar w:fldCharType="separate"/>
            </w:r>
            <w:r>
              <w:rPr>
                <w:rStyle w:val="Style15"/>
                <w:vanish w:val="false"/>
                <w:sz w:val="24"/>
                <w:szCs w:val="24"/>
              </w:rPr>
              <w:tab/>
              <w:t>26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29">
            <w:r>
              <w:rPr>
                <w:webHidden/>
                <w:rStyle w:val="Style15"/>
                <w:vanish w:val="false"/>
                <w:sz w:val="24"/>
                <w:szCs w:val="24"/>
              </w:rPr>
              <w:t>4.7</w:t>
            </w:r>
            <w:r>
              <w:rPr>
                <w:rStyle w:val="Style15"/>
                <w:rFonts w:eastAsia="" w:ascii="Calibri" w:hAnsi="Calibri" w:asciiTheme="minorHAnsi" w:eastAsiaTheme="minorEastAsia" w:hAnsiTheme="minorHAnsi"/>
                <w:sz w:val="24"/>
                <w:szCs w:val="24"/>
                <w:lang w:eastAsia="ru-RU"/>
              </w:rPr>
              <w:tab/>
            </w:r>
            <w:r>
              <w:rPr>
                <w:rStyle w:val="Style15"/>
                <w:sz w:val="24"/>
                <w:szCs w:val="24"/>
              </w:rPr>
              <w:t>Изменение и отзыв заявок</w:t>
            </w:r>
            <w:r>
              <w:rPr>
                <w:webHidden/>
              </w:rPr>
              <w:fldChar w:fldCharType="begin"/>
            </w:r>
            <w:r>
              <w:rPr>
                <w:webHidden/>
              </w:rPr>
              <w:instrText xml:space="preserve">PAGEREF _Toc188946929 \h</w:instrText>
            </w:r>
            <w:r>
              <w:rPr>
                <w:webHidden/>
              </w:rPr>
              <w:fldChar w:fldCharType="separate"/>
            </w:r>
            <w:r>
              <w:rPr>
                <w:rStyle w:val="Style15"/>
                <w:vanish w:val="false"/>
                <w:sz w:val="24"/>
                <w:szCs w:val="24"/>
              </w:rPr>
              <w:tab/>
              <w:t>27</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0">
            <w:r>
              <w:rPr>
                <w:webHidden/>
                <w:rStyle w:val="Style15"/>
                <w:vanish w:val="false"/>
                <w:sz w:val="24"/>
                <w:szCs w:val="24"/>
              </w:rPr>
              <w:t>4.8</w:t>
            </w:r>
            <w:r>
              <w:rPr>
                <w:rStyle w:val="Style15"/>
                <w:rFonts w:eastAsia="" w:ascii="Calibri" w:hAnsi="Calibri" w:asciiTheme="minorHAnsi" w:eastAsiaTheme="minorEastAsia" w:hAnsiTheme="minorHAnsi"/>
                <w:sz w:val="24"/>
                <w:szCs w:val="24"/>
                <w:lang w:eastAsia="ru-RU"/>
              </w:rPr>
              <w:tab/>
            </w:r>
            <w:r>
              <w:rPr>
                <w:rStyle w:val="Style15"/>
                <w:sz w:val="24"/>
                <w:szCs w:val="24"/>
              </w:rPr>
              <w:t>Открытие доступа к первым частям заявок</w:t>
            </w:r>
            <w:r>
              <w:rPr>
                <w:webHidden/>
              </w:rPr>
              <w:fldChar w:fldCharType="begin"/>
            </w:r>
            <w:r>
              <w:rPr>
                <w:webHidden/>
              </w:rPr>
              <w:instrText xml:space="preserve">PAGEREF _Toc188946930 \h</w:instrText>
            </w:r>
            <w:r>
              <w:rPr>
                <w:webHidden/>
              </w:rPr>
              <w:fldChar w:fldCharType="separate"/>
            </w:r>
            <w:r>
              <w:rPr>
                <w:rStyle w:val="Style15"/>
                <w:vanish w:val="false"/>
                <w:sz w:val="24"/>
                <w:szCs w:val="24"/>
              </w:rPr>
              <w:tab/>
              <w:t>27</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1">
            <w:r>
              <w:rPr>
                <w:webHidden/>
                <w:rStyle w:val="Style15"/>
                <w:vanish w:val="false"/>
                <w:sz w:val="24"/>
                <w:szCs w:val="24"/>
              </w:rPr>
              <w:t>4.9</w:t>
            </w:r>
            <w:r>
              <w:rPr>
                <w:rStyle w:val="Style15"/>
                <w:rFonts w:eastAsia="" w:ascii="Calibri" w:hAnsi="Calibri" w:asciiTheme="minorHAnsi" w:eastAsiaTheme="minorEastAsia" w:hAnsiTheme="minorHAnsi"/>
                <w:sz w:val="24"/>
                <w:szCs w:val="24"/>
                <w:lang w:eastAsia="ru-RU"/>
              </w:rPr>
              <w:tab/>
            </w:r>
            <w:r>
              <w:rPr>
                <w:rStyle w:val="Style15"/>
                <w:sz w:val="24"/>
                <w:szCs w:val="24"/>
              </w:rPr>
              <w:t>Рассмотрение первых частей заявок (отборочная стадия)</w:t>
            </w:r>
            <w:r>
              <w:rPr>
                <w:webHidden/>
              </w:rPr>
              <w:fldChar w:fldCharType="begin"/>
            </w:r>
            <w:r>
              <w:rPr>
                <w:webHidden/>
              </w:rPr>
              <w:instrText xml:space="preserve">PAGEREF _Toc188946931 \h</w:instrText>
            </w:r>
            <w:r>
              <w:rPr>
                <w:webHidden/>
              </w:rPr>
              <w:fldChar w:fldCharType="separate"/>
            </w:r>
            <w:r>
              <w:rPr>
                <w:rStyle w:val="Style15"/>
                <w:vanish w:val="false"/>
                <w:sz w:val="24"/>
                <w:szCs w:val="24"/>
              </w:rPr>
              <w:tab/>
              <w:t>28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2">
            <w:r>
              <w:rPr>
                <w:webHidden/>
                <w:rStyle w:val="Style15"/>
                <w:vanish w:val="false"/>
                <w:sz w:val="24"/>
                <w:szCs w:val="24"/>
              </w:rPr>
              <w:t>4.10</w:t>
            </w:r>
            <w:r>
              <w:rPr>
                <w:rStyle w:val="Style15"/>
                <w:rFonts w:eastAsia="" w:ascii="Calibri" w:hAnsi="Calibri" w:asciiTheme="minorHAnsi" w:eastAsiaTheme="minorEastAsia" w:hAnsiTheme="minorHAnsi"/>
                <w:sz w:val="24"/>
                <w:szCs w:val="24"/>
                <w:lang w:eastAsia="ru-RU"/>
              </w:rPr>
              <w:tab/>
            </w:r>
            <w:r>
              <w:rPr>
                <w:rStyle w:val="Style15"/>
                <w:sz w:val="24"/>
                <w:szCs w:val="24"/>
              </w:rPr>
              <w:t>Проведение аукциона</w:t>
            </w:r>
            <w:r>
              <w:rPr>
                <w:webHidden/>
              </w:rPr>
              <w:fldChar w:fldCharType="begin"/>
            </w:r>
            <w:r>
              <w:rPr>
                <w:webHidden/>
              </w:rPr>
              <w:instrText xml:space="preserve">PAGEREF _Toc188946932 \h</w:instrText>
            </w:r>
            <w:r>
              <w:rPr>
                <w:webHidden/>
              </w:rPr>
              <w:fldChar w:fldCharType="separate"/>
            </w:r>
            <w:r>
              <w:rPr>
                <w:rStyle w:val="Style15"/>
                <w:vanish w:val="false"/>
                <w:sz w:val="24"/>
                <w:szCs w:val="24"/>
              </w:rPr>
              <w:tab/>
              <w:t>29</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3">
            <w:r>
              <w:rPr>
                <w:webHidden/>
                <w:rStyle w:val="Style15"/>
                <w:vanish w:val="false"/>
                <w:sz w:val="24"/>
                <w:szCs w:val="24"/>
              </w:rPr>
              <w:t>4.11</w:t>
            </w:r>
            <w:r>
              <w:rPr>
                <w:rStyle w:val="Style15"/>
                <w:rFonts w:eastAsia="" w:ascii="Calibri" w:hAnsi="Calibri" w:asciiTheme="minorHAnsi" w:eastAsiaTheme="minorEastAsia" w:hAnsiTheme="minorHAnsi"/>
                <w:sz w:val="24"/>
                <w:szCs w:val="24"/>
                <w:lang w:eastAsia="ru-RU"/>
              </w:rPr>
              <w:tab/>
            </w:r>
            <w:r>
              <w:rPr>
                <w:rStyle w:val="Style15"/>
                <w:sz w:val="24"/>
                <w:szCs w:val="24"/>
              </w:rPr>
              <w:t>Открытие доступа ко вторым частям заявок</w:t>
            </w:r>
            <w:r>
              <w:rPr>
                <w:webHidden/>
              </w:rPr>
              <w:fldChar w:fldCharType="begin"/>
            </w:r>
            <w:r>
              <w:rPr>
                <w:webHidden/>
              </w:rPr>
              <w:instrText xml:space="preserve">PAGEREF _Toc188946933 \h</w:instrText>
            </w:r>
            <w:r>
              <w:rPr>
                <w:webHidden/>
              </w:rPr>
              <w:fldChar w:fldCharType="separate"/>
            </w:r>
            <w:r>
              <w:rPr>
                <w:rStyle w:val="Style15"/>
                <w:vanish w:val="false"/>
                <w:sz w:val="24"/>
                <w:szCs w:val="24"/>
              </w:rPr>
              <w:tab/>
              <w:t>30</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4">
            <w:r>
              <w:rPr>
                <w:webHidden/>
                <w:rStyle w:val="Style15"/>
                <w:vanish w:val="false"/>
                <w:sz w:val="24"/>
                <w:szCs w:val="24"/>
              </w:rPr>
              <w:t>4.12</w:t>
            </w:r>
            <w:r>
              <w:rPr>
                <w:rStyle w:val="Style15"/>
                <w:rFonts w:eastAsia="" w:ascii="Calibri" w:hAnsi="Calibri" w:asciiTheme="minorHAnsi" w:eastAsiaTheme="minorEastAsia" w:hAnsiTheme="minorHAnsi"/>
                <w:sz w:val="24"/>
                <w:szCs w:val="24"/>
                <w:lang w:eastAsia="ru-RU"/>
              </w:rPr>
              <w:tab/>
            </w:r>
            <w:r>
              <w:rPr>
                <w:rStyle w:val="Style15"/>
                <w:sz w:val="24"/>
                <w:szCs w:val="24"/>
              </w:rPr>
              <w:t>Рассмотрение вторых частей заявок (отборочная стадия), в том числе (при необходимости) проведение аккредитации</w:t>
            </w:r>
            <w:r>
              <w:rPr>
                <w:webHidden/>
              </w:rPr>
              <w:fldChar w:fldCharType="begin"/>
            </w:r>
            <w:r>
              <w:rPr>
                <w:webHidden/>
              </w:rPr>
              <w:instrText xml:space="preserve">PAGEREF _Toc188946934 \h</w:instrText>
            </w:r>
            <w:r>
              <w:rPr>
                <w:webHidden/>
              </w:rPr>
              <w:fldChar w:fldCharType="separate"/>
            </w:r>
            <w:r>
              <w:rPr>
                <w:rStyle w:val="Style15"/>
                <w:vanish w:val="false"/>
                <w:sz w:val="24"/>
                <w:szCs w:val="24"/>
              </w:rPr>
              <w:tab/>
              <w:t>30</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5">
            <w:r>
              <w:rPr>
                <w:webHidden/>
                <w:rStyle w:val="Style15"/>
                <w:vanish w:val="false"/>
                <w:sz w:val="24"/>
                <w:szCs w:val="24"/>
              </w:rPr>
              <w:t>4.13</w:t>
            </w:r>
            <w:r>
              <w:rPr>
                <w:rStyle w:val="Style15"/>
                <w:rFonts w:eastAsia="" w:ascii="Calibri" w:hAnsi="Calibri" w:asciiTheme="minorHAnsi" w:eastAsiaTheme="minorEastAsia" w:hAnsiTheme="minorHAnsi"/>
                <w:sz w:val="24"/>
                <w:szCs w:val="24"/>
                <w:lang w:eastAsia="ru-RU"/>
              </w:rPr>
              <w:tab/>
            </w:r>
            <w:r>
              <w:rPr>
                <w:rStyle w:val="Style15"/>
                <w:sz w:val="24"/>
                <w:szCs w:val="24"/>
              </w:rPr>
              <w:t>Открытие доступа к ценовым предложениям</w:t>
            </w:r>
            <w:r>
              <w:rPr>
                <w:webHidden/>
              </w:rPr>
              <w:fldChar w:fldCharType="begin"/>
            </w:r>
            <w:r>
              <w:rPr>
                <w:webHidden/>
              </w:rPr>
              <w:instrText xml:space="preserve">PAGEREF _Toc188946935 \h</w:instrText>
            </w:r>
            <w:r>
              <w:rPr>
                <w:webHidden/>
              </w:rPr>
              <w:fldChar w:fldCharType="separate"/>
            </w:r>
            <w:r>
              <w:rPr>
                <w:rStyle w:val="Style15"/>
                <w:vanish w:val="false"/>
                <w:sz w:val="24"/>
                <w:szCs w:val="24"/>
              </w:rPr>
              <w:tab/>
              <w:t>32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6">
            <w:r>
              <w:rPr>
                <w:webHidden/>
                <w:rStyle w:val="Style15"/>
                <w:vanish w:val="false"/>
                <w:sz w:val="24"/>
                <w:szCs w:val="24"/>
              </w:rPr>
              <w:t>4.14</w:t>
            </w:r>
            <w:r>
              <w:rPr>
                <w:rStyle w:val="Style15"/>
                <w:rFonts w:eastAsia="" w:ascii="Calibri" w:hAnsi="Calibri" w:asciiTheme="minorHAnsi" w:eastAsiaTheme="minorEastAsia" w:hAnsiTheme="minorHAnsi"/>
                <w:sz w:val="24"/>
                <w:szCs w:val="24"/>
                <w:lang w:eastAsia="ru-RU"/>
              </w:rPr>
              <w:tab/>
            </w:r>
            <w:r>
              <w:rPr>
                <w:rStyle w:val="Style15"/>
                <w:sz w:val="24"/>
                <w:szCs w:val="24"/>
              </w:rPr>
              <w:t>Рассмотрение ценовых предложений (отборочная стадия)</w:t>
            </w:r>
            <w:r>
              <w:rPr>
                <w:webHidden/>
              </w:rPr>
              <w:fldChar w:fldCharType="begin"/>
            </w:r>
            <w:r>
              <w:rPr>
                <w:webHidden/>
              </w:rPr>
              <w:instrText xml:space="preserve">PAGEREF _Toc188946936 \h</w:instrText>
            </w:r>
            <w:r>
              <w:rPr>
                <w:webHidden/>
              </w:rPr>
              <w:fldChar w:fldCharType="separate"/>
            </w:r>
            <w:r>
              <w:rPr>
                <w:rStyle w:val="Style15"/>
                <w:vanish w:val="false"/>
                <w:sz w:val="24"/>
                <w:szCs w:val="24"/>
              </w:rPr>
              <w:tab/>
              <w:t>32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7">
            <w:r>
              <w:rPr>
                <w:webHidden/>
                <w:rStyle w:val="Style15"/>
                <w:vanish w:val="false"/>
                <w:sz w:val="24"/>
                <w:szCs w:val="24"/>
              </w:rPr>
              <w:t>4.15</w:t>
            </w:r>
            <w:r>
              <w:rPr>
                <w:rStyle w:val="Style15"/>
                <w:rFonts w:eastAsia="" w:ascii="Calibri" w:hAnsi="Calibri" w:asciiTheme="minorHAnsi" w:eastAsiaTheme="minorEastAsia" w:hAnsiTheme="minorHAnsi"/>
                <w:sz w:val="24"/>
                <w:szCs w:val="24"/>
                <w:lang w:eastAsia="ru-RU"/>
              </w:rPr>
              <w:tab/>
            </w:r>
            <w:r>
              <w:rPr>
                <w:rStyle w:val="Style15"/>
                <w:sz w:val="24"/>
                <w:szCs w:val="24"/>
              </w:rPr>
              <w:t>Дополнительные запросы разъяснений заявок</w:t>
            </w:r>
            <w:r>
              <w:rPr>
                <w:webHidden/>
              </w:rPr>
              <w:fldChar w:fldCharType="begin"/>
            </w:r>
            <w:r>
              <w:rPr>
                <w:webHidden/>
              </w:rPr>
              <w:instrText xml:space="preserve">PAGEREF _Toc188946937 \h</w:instrText>
            </w:r>
            <w:r>
              <w:rPr>
                <w:webHidden/>
              </w:rPr>
              <w:fldChar w:fldCharType="separate"/>
            </w:r>
            <w:r>
              <w:rPr>
                <w:rStyle w:val="Style15"/>
                <w:vanish w:val="false"/>
                <w:sz w:val="24"/>
                <w:szCs w:val="24"/>
              </w:rPr>
              <w:tab/>
              <w:t>33</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8">
            <w:r>
              <w:rPr>
                <w:webHidden/>
                <w:rStyle w:val="Style15"/>
                <w:vanish w:val="false"/>
                <w:sz w:val="24"/>
                <w:szCs w:val="24"/>
              </w:rPr>
              <w:t>4.16</w:t>
            </w:r>
            <w:r>
              <w:rPr>
                <w:rStyle w:val="Style15"/>
                <w:rFonts w:eastAsia="" w:ascii="Calibri" w:hAnsi="Calibri" w:asciiTheme="minorHAnsi" w:eastAsiaTheme="minorEastAsia" w:hAnsiTheme="minorHAnsi"/>
                <w:sz w:val="24"/>
                <w:szCs w:val="24"/>
                <w:lang w:eastAsia="ru-RU"/>
              </w:rPr>
              <w:tab/>
            </w:r>
            <w:r>
              <w:rPr>
                <w:rStyle w:val="Style15"/>
                <w:sz w:val="24"/>
                <w:szCs w:val="24"/>
              </w:rPr>
              <w:t>Оценка и сопоставление заявок</w:t>
            </w:r>
            <w:r>
              <w:rPr>
                <w:webHidden/>
              </w:rPr>
              <w:fldChar w:fldCharType="begin"/>
            </w:r>
            <w:r>
              <w:rPr>
                <w:webHidden/>
              </w:rPr>
              <w:instrText xml:space="preserve">PAGEREF _Toc188946938 \h</w:instrText>
            </w:r>
            <w:r>
              <w:rPr>
                <w:webHidden/>
              </w:rPr>
              <w:fldChar w:fldCharType="separate"/>
            </w:r>
            <w:r>
              <w:rPr>
                <w:rStyle w:val="Style15"/>
                <w:vanish w:val="false"/>
                <w:sz w:val="24"/>
                <w:szCs w:val="24"/>
              </w:rPr>
              <w:tab/>
              <w:t>34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39">
            <w:r>
              <w:rPr>
                <w:webHidden/>
                <w:rStyle w:val="Style15"/>
                <w:vanish w:val="false"/>
                <w:sz w:val="24"/>
                <w:szCs w:val="24"/>
              </w:rPr>
              <w:t>4.17</w:t>
            </w:r>
            <w:r>
              <w:rPr>
                <w:rStyle w:val="Style15"/>
                <w:rFonts w:eastAsia="" w:ascii="Calibri" w:hAnsi="Calibri" w:asciiTheme="minorHAnsi" w:eastAsiaTheme="minorEastAsia" w:hAnsiTheme="minorHAnsi"/>
                <w:sz w:val="24"/>
                <w:szCs w:val="24"/>
                <w:lang w:eastAsia="ru-RU"/>
              </w:rPr>
              <w:tab/>
            </w:r>
            <w:r>
              <w:rPr>
                <w:rStyle w:val="Style15"/>
                <w:sz w:val="24"/>
                <w:szCs w:val="24"/>
              </w:rPr>
              <w:t>Подведение итогов закупки (определение Победителя)</w:t>
            </w:r>
            <w:r>
              <w:rPr>
                <w:webHidden/>
              </w:rPr>
              <w:fldChar w:fldCharType="begin"/>
            </w:r>
            <w:r>
              <w:rPr>
                <w:webHidden/>
              </w:rPr>
              <w:instrText xml:space="preserve">PAGEREF _Toc188946939 \h</w:instrText>
            </w:r>
            <w:r>
              <w:rPr>
                <w:webHidden/>
              </w:rPr>
              <w:fldChar w:fldCharType="separate"/>
            </w:r>
            <w:r>
              <w:rPr>
                <w:rStyle w:val="Style15"/>
                <w:vanish w:val="false"/>
                <w:sz w:val="24"/>
                <w:szCs w:val="24"/>
              </w:rPr>
              <w:tab/>
              <w:t>35</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0">
            <w:r>
              <w:rPr>
                <w:webHidden/>
                <w:rStyle w:val="Style15"/>
                <w:vanish w:val="false"/>
                <w:sz w:val="24"/>
                <w:szCs w:val="24"/>
              </w:rPr>
              <w:t>4.18</w:t>
            </w:r>
            <w:r>
              <w:rPr>
                <w:rStyle w:val="Style15"/>
                <w:rFonts w:eastAsia="" w:ascii="Calibri" w:hAnsi="Calibri" w:asciiTheme="minorHAnsi" w:eastAsiaTheme="minorEastAsia" w:hAnsiTheme="minorHAnsi"/>
                <w:sz w:val="24"/>
                <w:szCs w:val="24"/>
                <w:lang w:eastAsia="ru-RU"/>
              </w:rPr>
              <w:tab/>
            </w:r>
            <w:r>
              <w:rPr>
                <w:rStyle w:val="Style15"/>
                <w:sz w:val="24"/>
                <w:szCs w:val="24"/>
              </w:rPr>
              <w:t>Признание закупки несостоявшейся</w:t>
            </w:r>
            <w:r>
              <w:rPr>
                <w:webHidden/>
              </w:rPr>
              <w:fldChar w:fldCharType="begin"/>
            </w:r>
            <w:r>
              <w:rPr>
                <w:webHidden/>
              </w:rPr>
              <w:instrText xml:space="preserve">PAGEREF _Toc188946940 \h</w:instrText>
            </w:r>
            <w:r>
              <w:rPr>
                <w:webHidden/>
              </w:rPr>
              <w:fldChar w:fldCharType="separate"/>
            </w:r>
            <w:r>
              <w:rPr>
                <w:rStyle w:val="Style15"/>
                <w:vanish w:val="false"/>
                <w:sz w:val="24"/>
                <w:szCs w:val="24"/>
              </w:rPr>
              <w:tab/>
              <w:t>36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1">
            <w:r>
              <w:rPr>
                <w:webHidden/>
                <w:rStyle w:val="Style15"/>
                <w:vanish w:val="false"/>
                <w:sz w:val="24"/>
                <w:szCs w:val="24"/>
              </w:rPr>
              <w:t>4.19</w:t>
            </w:r>
            <w:r>
              <w:rPr>
                <w:rStyle w:val="Style15"/>
                <w:rFonts w:eastAsia="" w:ascii="Calibri" w:hAnsi="Calibri" w:asciiTheme="minorHAnsi" w:eastAsiaTheme="minorEastAsia" w:hAnsiTheme="minorHAnsi"/>
                <w:sz w:val="24"/>
                <w:szCs w:val="24"/>
                <w:lang w:eastAsia="ru-RU"/>
              </w:rPr>
              <w:tab/>
            </w:r>
            <w:r>
              <w:rPr>
                <w:rStyle w:val="Style15"/>
                <w:sz w:val="24"/>
                <w:szCs w:val="24"/>
              </w:rPr>
              <w:t>Отказ от проведения закупки (отмена закупки)</w:t>
            </w:r>
            <w:r>
              <w:rPr>
                <w:webHidden/>
              </w:rPr>
              <w:fldChar w:fldCharType="begin"/>
            </w:r>
            <w:r>
              <w:rPr>
                <w:webHidden/>
              </w:rPr>
              <w:instrText xml:space="preserve">PAGEREF _Toc188946941 \h</w:instrText>
            </w:r>
            <w:r>
              <w:rPr>
                <w:webHidden/>
              </w:rPr>
              <w:fldChar w:fldCharType="separate"/>
            </w:r>
            <w:r>
              <w:rPr>
                <w:rStyle w:val="Style15"/>
                <w:vanish w:val="false"/>
                <w:sz w:val="24"/>
                <w:szCs w:val="24"/>
              </w:rPr>
              <w:tab/>
              <w:t>37</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2">
            <w:r>
              <w:rPr>
                <w:webHidden/>
                <w:rStyle w:val="Style15"/>
                <w:vanish w:val="false"/>
                <w:sz w:val="24"/>
                <w:szCs w:val="24"/>
              </w:rPr>
              <w:t>4.20</w:t>
            </w:r>
            <w:r>
              <w:rPr>
                <w:rStyle w:val="Style15"/>
                <w:rFonts w:eastAsia="" w:ascii="Calibri" w:hAnsi="Calibri" w:asciiTheme="minorHAnsi" w:eastAsiaTheme="minorEastAsia" w:hAnsiTheme="minorHAnsi"/>
                <w:sz w:val="24"/>
                <w:szCs w:val="24"/>
                <w:lang w:eastAsia="ru-RU"/>
              </w:rPr>
              <w:tab/>
            </w:r>
            <w:r>
              <w:rPr>
                <w:rStyle w:val="Style15"/>
                <w:sz w:val="24"/>
                <w:szCs w:val="24"/>
              </w:rPr>
              <w:t>Особенности проведения закупки с необходимостью обеспечения заявки</w:t>
            </w:r>
            <w:r>
              <w:rPr>
                <w:webHidden/>
              </w:rPr>
              <w:fldChar w:fldCharType="begin"/>
            </w:r>
            <w:r>
              <w:rPr>
                <w:webHidden/>
              </w:rPr>
              <w:instrText xml:space="preserve">PAGEREF _Toc188946942 \h</w:instrText>
            </w:r>
            <w:r>
              <w:rPr>
                <w:webHidden/>
              </w:rPr>
              <w:fldChar w:fldCharType="separate"/>
            </w:r>
            <w:r>
              <w:rPr>
                <w:rStyle w:val="Style15"/>
                <w:vanish w:val="false"/>
                <w:sz w:val="24"/>
                <w:szCs w:val="24"/>
              </w:rPr>
              <w:tab/>
              <w:t>37</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3">
            <w:r>
              <w:rPr>
                <w:webHidden/>
                <w:rStyle w:val="Style15"/>
                <w:vanish w:val="false"/>
                <w:sz w:val="24"/>
                <w:szCs w:val="24"/>
              </w:rPr>
              <w:t>4.21</w:t>
            </w:r>
            <w:r>
              <w:rPr>
                <w:rStyle w:val="Style15"/>
                <w:rFonts w:eastAsia="" w:ascii="Calibri" w:hAnsi="Calibri" w:asciiTheme="minorHAnsi" w:eastAsiaTheme="minorEastAsia" w:hAnsiTheme="minorHAnsi"/>
                <w:sz w:val="24"/>
                <w:szCs w:val="24"/>
                <w:lang w:eastAsia="ru-RU"/>
              </w:rPr>
              <w:tab/>
            </w:r>
            <w:r>
              <w:rPr>
                <w:rStyle w:val="Style15"/>
                <w:sz w:val="24"/>
                <w:szCs w:val="24"/>
              </w:rPr>
              <w:t>Особенности проведения многолотовой закупки</w:t>
            </w:r>
            <w:r>
              <w:rPr>
                <w:webHidden/>
              </w:rPr>
              <w:fldChar w:fldCharType="begin"/>
            </w:r>
            <w:r>
              <w:rPr>
                <w:webHidden/>
              </w:rPr>
              <w:instrText xml:space="preserve">PAGEREF _Toc188946943 \h</w:instrText>
            </w:r>
            <w:r>
              <w:rPr>
                <w:webHidden/>
              </w:rPr>
              <w:fldChar w:fldCharType="separate"/>
            </w:r>
            <w:r>
              <w:rPr>
                <w:rStyle w:val="Style15"/>
                <w:vanish w:val="false"/>
                <w:sz w:val="24"/>
                <w:szCs w:val="24"/>
              </w:rPr>
              <w:tab/>
              <w:t>41</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44">
            <w:r>
              <w:rPr>
                <w:webHidden/>
                <w:rStyle w:val="Style15"/>
                <w:vanish w:val="false"/>
                <w:sz w:val="24"/>
                <w:szCs w:val="24"/>
              </w:rPr>
              <w:t>5.</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Порядок заключения Договора</w:t>
            </w:r>
            <w:r>
              <w:rPr>
                <w:webHidden/>
              </w:rPr>
              <w:fldChar w:fldCharType="begin"/>
            </w:r>
            <w:r>
              <w:rPr>
                <w:webHidden/>
              </w:rPr>
              <w:instrText xml:space="preserve">PAGEREF _Toc188946944 \h</w:instrText>
            </w:r>
            <w:r>
              <w:rPr>
                <w:webHidden/>
              </w:rPr>
              <w:fldChar w:fldCharType="separate"/>
            </w:r>
            <w:r>
              <w:rPr>
                <w:rStyle w:val="Style15"/>
                <w:vanish w:val="false"/>
                <w:sz w:val="24"/>
                <w:szCs w:val="24"/>
              </w:rPr>
              <w:tab/>
              <w:t>42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5">
            <w:r>
              <w:rPr>
                <w:webHidden/>
                <w:rStyle w:val="Style15"/>
                <w:vanish w:val="false"/>
                <w:sz w:val="24"/>
                <w:szCs w:val="24"/>
              </w:rPr>
              <w:t>5.1</w:t>
            </w:r>
            <w:r>
              <w:rPr>
                <w:rStyle w:val="Style15"/>
                <w:rFonts w:eastAsia="" w:ascii="Calibri" w:hAnsi="Calibri" w:asciiTheme="minorHAnsi" w:eastAsiaTheme="minorEastAsia" w:hAnsiTheme="minorHAnsi"/>
                <w:sz w:val="24"/>
                <w:szCs w:val="24"/>
                <w:lang w:eastAsia="ru-RU"/>
              </w:rPr>
              <w:tab/>
            </w:r>
            <w:r>
              <w:rPr>
                <w:rStyle w:val="Style15"/>
                <w:sz w:val="24"/>
                <w:szCs w:val="24"/>
              </w:rPr>
              <w:t>Общие положения</w:t>
            </w:r>
            <w:r>
              <w:rPr>
                <w:webHidden/>
              </w:rPr>
              <w:fldChar w:fldCharType="begin"/>
            </w:r>
            <w:r>
              <w:rPr>
                <w:webHidden/>
              </w:rPr>
              <w:instrText xml:space="preserve">PAGEREF _Toc188946945 \h</w:instrText>
            </w:r>
            <w:r>
              <w:rPr>
                <w:webHidden/>
              </w:rPr>
              <w:fldChar w:fldCharType="separate"/>
            </w:r>
            <w:r>
              <w:rPr>
                <w:rStyle w:val="Style15"/>
                <w:vanish w:val="false"/>
                <w:sz w:val="24"/>
                <w:szCs w:val="24"/>
              </w:rPr>
              <w:tab/>
              <w:t>42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6">
            <w:r>
              <w:rPr>
                <w:webHidden/>
                <w:rStyle w:val="Style15"/>
                <w:vanish w:val="false"/>
                <w:sz w:val="24"/>
                <w:szCs w:val="24"/>
              </w:rPr>
              <w:t>5.2</w:t>
            </w:r>
            <w:r>
              <w:rPr>
                <w:rStyle w:val="Style15"/>
                <w:rFonts w:eastAsia="" w:ascii="Calibri" w:hAnsi="Calibri" w:asciiTheme="minorHAnsi" w:eastAsiaTheme="minorEastAsia" w:hAnsiTheme="minorHAnsi"/>
                <w:sz w:val="24"/>
                <w:szCs w:val="24"/>
                <w:lang w:eastAsia="ru-RU"/>
              </w:rPr>
              <w:tab/>
            </w:r>
            <w:r>
              <w:rPr>
                <w:rStyle w:val="Style15"/>
                <w:sz w:val="24"/>
                <w:szCs w:val="24"/>
              </w:rPr>
              <w:t>Заключение Договора</w:t>
            </w:r>
            <w:r>
              <w:rPr>
                <w:webHidden/>
              </w:rPr>
              <w:fldChar w:fldCharType="begin"/>
            </w:r>
            <w:r>
              <w:rPr>
                <w:webHidden/>
              </w:rPr>
              <w:instrText xml:space="preserve">PAGEREF _Toc188946946 \h</w:instrText>
            </w:r>
            <w:r>
              <w:rPr>
                <w:webHidden/>
              </w:rPr>
              <w:fldChar w:fldCharType="separate"/>
            </w:r>
            <w:r>
              <w:rPr>
                <w:rStyle w:val="Style15"/>
                <w:vanish w:val="false"/>
                <w:sz w:val="24"/>
                <w:szCs w:val="24"/>
              </w:rPr>
              <w:tab/>
              <w:t>42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7">
            <w:r>
              <w:rPr>
                <w:webHidden/>
                <w:rStyle w:val="Style15"/>
                <w:vanish w:val="false"/>
                <w:sz w:val="24"/>
                <w:szCs w:val="24"/>
              </w:rPr>
              <w:t>5.3</w:t>
            </w:r>
            <w:r>
              <w:rPr>
                <w:rStyle w:val="Style15"/>
                <w:rFonts w:eastAsia="" w:ascii="Calibri" w:hAnsi="Calibri" w:asciiTheme="minorHAnsi" w:eastAsiaTheme="minorEastAsia" w:hAnsiTheme="minorHAnsi"/>
                <w:sz w:val="24"/>
                <w:szCs w:val="24"/>
                <w:lang w:eastAsia="ru-RU"/>
              </w:rPr>
              <w:tab/>
            </w:r>
            <w:r>
              <w:rPr>
                <w:rStyle w:val="Style15"/>
                <w:sz w:val="24"/>
                <w:szCs w:val="24"/>
              </w:rPr>
              <w:t>Уклонение Победителя от заключения Договора</w:t>
            </w:r>
            <w:r>
              <w:rPr>
                <w:webHidden/>
              </w:rPr>
              <w:fldChar w:fldCharType="begin"/>
            </w:r>
            <w:r>
              <w:rPr>
                <w:webHidden/>
              </w:rPr>
              <w:instrText xml:space="preserve">PAGEREF _Toc188946947 \h</w:instrText>
            </w:r>
            <w:r>
              <w:rPr>
                <w:webHidden/>
              </w:rPr>
              <w:fldChar w:fldCharType="separate"/>
            </w:r>
            <w:r>
              <w:rPr>
                <w:rStyle w:val="Style15"/>
                <w:vanish w:val="false"/>
                <w:sz w:val="24"/>
                <w:szCs w:val="24"/>
              </w:rPr>
              <w:tab/>
              <w:t>44</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48">
            <w:r>
              <w:rPr>
                <w:webHidden/>
                <w:rStyle w:val="Style15"/>
                <w:vanish w:val="false"/>
                <w:sz w:val="24"/>
                <w:szCs w:val="24"/>
              </w:rPr>
              <w:t>6.</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1 – Технические требования</w:t>
            </w:r>
            <w:r>
              <w:rPr>
                <w:webHidden/>
              </w:rPr>
              <w:fldChar w:fldCharType="begin"/>
            </w:r>
            <w:r>
              <w:rPr>
                <w:webHidden/>
              </w:rPr>
              <w:instrText xml:space="preserve">PAGEREF _Toc188946948 \h</w:instrText>
            </w:r>
            <w:r>
              <w:rPr>
                <w:webHidden/>
              </w:rPr>
              <w:fldChar w:fldCharType="separate"/>
            </w:r>
            <w:r>
              <w:rPr>
                <w:rStyle w:val="Style15"/>
                <w:vanish w:val="false"/>
                <w:sz w:val="24"/>
                <w:szCs w:val="24"/>
              </w:rPr>
              <w:tab/>
              <w:t>46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49">
            <w:r>
              <w:rPr>
                <w:webHidden/>
                <w:rStyle w:val="Style15"/>
                <w:vanish w:val="false"/>
                <w:sz w:val="24"/>
                <w:szCs w:val="24"/>
              </w:rPr>
              <w:t>6.1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Техническим требованиям</w:t>
            </w:r>
            <w:r>
              <w:rPr>
                <w:webHidden/>
              </w:rPr>
              <w:fldChar w:fldCharType="begin"/>
            </w:r>
            <w:r>
              <w:rPr>
                <w:webHidden/>
              </w:rPr>
              <w:instrText xml:space="preserve">PAGEREF _Toc188946949 \h</w:instrText>
            </w:r>
            <w:r>
              <w:rPr>
                <w:webHidden/>
              </w:rPr>
              <w:fldChar w:fldCharType="separate"/>
            </w:r>
            <w:r>
              <w:rPr>
                <w:rStyle w:val="Style15"/>
                <w:vanish w:val="false"/>
                <w:sz w:val="24"/>
                <w:szCs w:val="24"/>
              </w:rPr>
              <w:tab/>
              <w:t>46</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50">
            <w:r>
              <w:rPr>
                <w:webHidden/>
                <w:rStyle w:val="Style15"/>
                <w:vanish w:val="false"/>
                <w:sz w:val="24"/>
                <w:szCs w:val="24"/>
              </w:rPr>
              <w:t>7.</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2 – Проект договора</w:t>
            </w:r>
            <w:r>
              <w:rPr>
                <w:webHidden/>
              </w:rPr>
              <w:fldChar w:fldCharType="begin"/>
            </w:r>
            <w:r>
              <w:rPr>
                <w:webHidden/>
              </w:rPr>
              <w:instrText xml:space="preserve">PAGEREF _Toc188946950 \h</w:instrText>
            </w:r>
            <w:r>
              <w:rPr>
                <w:webHidden/>
              </w:rPr>
              <w:fldChar w:fldCharType="separate"/>
            </w:r>
            <w:r>
              <w:rPr>
                <w:rStyle w:val="Style15"/>
                <w:vanish w:val="false"/>
                <w:sz w:val="24"/>
                <w:szCs w:val="24"/>
              </w:rPr>
              <w:tab/>
              <w:t>47</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1">
            <w:r>
              <w:rPr>
                <w:webHidden/>
                <w:rStyle w:val="Style15"/>
                <w:vanish w:val="false"/>
                <w:sz w:val="24"/>
                <w:szCs w:val="24"/>
              </w:rPr>
              <w:t>7.1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Проекту договора</w:t>
            </w:r>
            <w:r>
              <w:rPr>
                <w:webHidden/>
              </w:rPr>
              <w:fldChar w:fldCharType="begin"/>
            </w:r>
            <w:r>
              <w:rPr>
                <w:webHidden/>
              </w:rPr>
              <w:instrText xml:space="preserve">PAGEREF _Toc188946951 \h</w:instrText>
            </w:r>
            <w:r>
              <w:rPr>
                <w:webHidden/>
              </w:rPr>
              <w:fldChar w:fldCharType="separate"/>
            </w:r>
            <w:r>
              <w:rPr>
                <w:rStyle w:val="Style15"/>
                <w:vanish w:val="false"/>
                <w:sz w:val="24"/>
                <w:szCs w:val="24"/>
              </w:rPr>
              <w:tab/>
              <w:t>47</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52">
            <w:r>
              <w:rPr>
                <w:webHidden/>
                <w:rStyle w:val="Style15"/>
                <w:vanish w:val="false"/>
                <w:sz w:val="24"/>
                <w:szCs w:val="24"/>
              </w:rPr>
              <w:t>8.</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3 – Требования к Участникам</w:t>
            </w:r>
            <w:r>
              <w:rPr>
                <w:webHidden/>
              </w:rPr>
              <w:fldChar w:fldCharType="begin"/>
            </w:r>
            <w:r>
              <w:rPr>
                <w:webHidden/>
              </w:rPr>
              <w:instrText xml:space="preserve">PAGEREF _Toc188946952 \h</w:instrText>
            </w:r>
            <w:r>
              <w:rPr>
                <w:webHidden/>
              </w:rPr>
              <w:fldChar w:fldCharType="separate"/>
            </w:r>
            <w:r>
              <w:rPr>
                <w:rStyle w:val="Style15"/>
                <w:vanish w:val="false"/>
                <w:sz w:val="24"/>
                <w:szCs w:val="24"/>
              </w:rPr>
              <w:tab/>
              <w:t>48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3">
            <w:r>
              <w:rPr>
                <w:webHidden/>
                <w:rStyle w:val="Style15"/>
                <w:vanish w:val="false"/>
                <w:sz w:val="24"/>
                <w:szCs w:val="24"/>
              </w:rPr>
              <w:t>8.1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требованиям к Участникам</w:t>
            </w:r>
            <w:r>
              <w:rPr>
                <w:webHidden/>
              </w:rPr>
              <w:fldChar w:fldCharType="begin"/>
            </w:r>
            <w:r>
              <w:rPr>
                <w:webHidden/>
              </w:rPr>
              <w:instrText xml:space="preserve">PAGEREF _Toc188946953 \h</w:instrText>
            </w:r>
            <w:r>
              <w:rPr>
                <w:webHidden/>
              </w:rPr>
              <w:fldChar w:fldCharType="separate"/>
            </w:r>
            <w:r>
              <w:rPr>
                <w:rStyle w:val="Style15"/>
                <w:vanish w:val="false"/>
                <w:sz w:val="24"/>
                <w:szCs w:val="24"/>
              </w:rPr>
              <w:tab/>
              <w:t>48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4">
            <w:r>
              <w:rPr>
                <w:webHidden/>
                <w:rStyle w:val="Style15"/>
                <w:vanish w:val="false"/>
                <w:sz w:val="24"/>
                <w:szCs w:val="24"/>
              </w:rPr>
              <w:t>8.2</w:t>
            </w:r>
            <w:r>
              <w:rPr>
                <w:rStyle w:val="Style15"/>
                <w:rFonts w:eastAsia="" w:ascii="Calibri" w:hAnsi="Calibri" w:asciiTheme="minorHAnsi" w:eastAsiaTheme="minorEastAsia" w:hAnsiTheme="minorHAnsi"/>
                <w:sz w:val="24"/>
                <w:szCs w:val="24"/>
                <w:lang w:eastAsia="ru-RU"/>
              </w:rPr>
              <w:tab/>
            </w:r>
            <w:r>
              <w:rPr>
                <w:rStyle w:val="Style15"/>
                <w:sz w:val="24"/>
                <w:szCs w:val="24"/>
              </w:rPr>
              <w:t>Обязательные требования</w:t>
            </w:r>
            <w:r>
              <w:rPr>
                <w:webHidden/>
              </w:rPr>
              <w:fldChar w:fldCharType="begin"/>
            </w:r>
            <w:r>
              <w:rPr>
                <w:webHidden/>
              </w:rPr>
              <w:instrText xml:space="preserve">PAGEREF _Toc188946954 \h</w:instrText>
            </w:r>
            <w:r>
              <w:rPr>
                <w:webHidden/>
              </w:rPr>
              <w:fldChar w:fldCharType="separate"/>
            </w:r>
            <w:r>
              <w:rPr>
                <w:rStyle w:val="Style15"/>
                <w:vanish w:val="false"/>
                <w:sz w:val="24"/>
                <w:szCs w:val="24"/>
              </w:rPr>
              <w:tab/>
              <w:t>48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5">
            <w:r>
              <w:rPr>
                <w:webHidden/>
                <w:rStyle w:val="Style15"/>
                <w:vanish w:val="false"/>
                <w:sz w:val="24"/>
                <w:szCs w:val="24"/>
              </w:rPr>
              <w:t>8.3</w:t>
            </w:r>
            <w:r>
              <w:rPr>
                <w:rStyle w:val="Style15"/>
                <w:rFonts w:eastAsia="" w:ascii="Calibri" w:hAnsi="Calibri" w:asciiTheme="minorHAnsi" w:eastAsiaTheme="minorEastAsia" w:hAnsiTheme="minorHAnsi"/>
                <w:sz w:val="24"/>
                <w:szCs w:val="24"/>
                <w:lang w:eastAsia="ru-RU"/>
              </w:rPr>
              <w:tab/>
            </w:r>
            <w:r>
              <w:rPr>
                <w:rStyle w:val="Style15"/>
                <w:sz w:val="24"/>
                <w:szCs w:val="24"/>
              </w:rPr>
              <w:t>Специальные требования</w:t>
            </w:r>
            <w:r>
              <w:rPr>
                <w:webHidden/>
              </w:rPr>
              <w:fldChar w:fldCharType="begin"/>
            </w:r>
            <w:r>
              <w:rPr>
                <w:webHidden/>
              </w:rPr>
              <w:instrText xml:space="preserve">PAGEREF _Toc188946955 \h</w:instrText>
            </w:r>
            <w:r>
              <w:rPr>
                <w:webHidden/>
              </w:rPr>
              <w:fldChar w:fldCharType="separate"/>
            </w:r>
            <w:r>
              <w:rPr>
                <w:rStyle w:val="Style15"/>
                <w:vanish w:val="false"/>
                <w:sz w:val="24"/>
                <w:szCs w:val="24"/>
              </w:rPr>
              <w:tab/>
              <w:t>51</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6">
            <w:r>
              <w:rPr>
                <w:webHidden/>
                <w:rStyle w:val="Style15"/>
                <w:vanish w:val="false"/>
                <w:sz w:val="24"/>
                <w:szCs w:val="24"/>
              </w:rPr>
              <w:t>8.4</w:t>
            </w:r>
            <w:r>
              <w:rPr>
                <w:rStyle w:val="Style15"/>
                <w:rFonts w:eastAsia="" w:ascii="Calibri" w:hAnsi="Calibri" w:asciiTheme="minorHAnsi" w:eastAsiaTheme="minorEastAsia" w:hAnsiTheme="minorHAnsi"/>
                <w:sz w:val="24"/>
                <w:szCs w:val="24"/>
                <w:lang w:eastAsia="ru-RU"/>
              </w:rPr>
              <w:tab/>
            </w:r>
            <w:r>
              <w:rPr>
                <w:rStyle w:val="Style15"/>
                <w:sz w:val="24"/>
                <w:szCs w:val="24"/>
              </w:rPr>
              <w:t>Дополнительные требования к Коллективным участникам</w:t>
            </w:r>
            <w:r>
              <w:rPr>
                <w:webHidden/>
              </w:rPr>
              <w:fldChar w:fldCharType="begin"/>
            </w:r>
            <w:r>
              <w:rPr>
                <w:webHidden/>
              </w:rPr>
              <w:instrText xml:space="preserve">PAGEREF _Toc188946956 \h</w:instrText>
            </w:r>
            <w:r>
              <w:rPr>
                <w:webHidden/>
              </w:rPr>
              <w:fldChar w:fldCharType="separate"/>
            </w:r>
            <w:r>
              <w:rPr>
                <w:rStyle w:val="Style15"/>
                <w:vanish w:val="false"/>
                <w:sz w:val="24"/>
                <w:szCs w:val="24"/>
              </w:rPr>
              <w:tab/>
              <w:t>52</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7">
            <w:r>
              <w:rPr>
                <w:webHidden/>
                <w:rStyle w:val="Style15"/>
                <w:vanish w:val="false"/>
                <w:sz w:val="24"/>
                <w:szCs w:val="24"/>
              </w:rPr>
              <w:t>8.5</w:t>
            </w:r>
            <w:r>
              <w:rPr>
                <w:rStyle w:val="Style15"/>
                <w:rFonts w:eastAsia="" w:ascii="Calibri" w:hAnsi="Calibri" w:asciiTheme="minorHAnsi" w:eastAsiaTheme="minorEastAsia" w:hAnsiTheme="minorHAnsi"/>
                <w:sz w:val="24"/>
                <w:szCs w:val="24"/>
                <w:lang w:eastAsia="ru-RU"/>
              </w:rPr>
              <w:tab/>
            </w:r>
            <w:r>
              <w:rPr>
                <w:rStyle w:val="Style15"/>
                <w:sz w:val="24"/>
                <w:szCs w:val="24"/>
              </w:rPr>
              <w:t>Дополнительные требования к Генеральным подрядчикам</w:t>
            </w:r>
            <w:r>
              <w:rPr>
                <w:webHidden/>
              </w:rPr>
              <w:fldChar w:fldCharType="begin"/>
            </w:r>
            <w:r>
              <w:rPr>
                <w:webHidden/>
              </w:rPr>
              <w:instrText xml:space="preserve">PAGEREF _Toc188946957 \h</w:instrText>
            </w:r>
            <w:r>
              <w:rPr>
                <w:webHidden/>
              </w:rPr>
              <w:fldChar w:fldCharType="separate"/>
            </w:r>
            <w:r>
              <w:rPr>
                <w:rStyle w:val="Style15"/>
                <w:vanish w:val="false"/>
                <w:sz w:val="24"/>
                <w:szCs w:val="24"/>
              </w:rPr>
              <w:tab/>
              <w:t>52</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58">
            <w:r>
              <w:rPr>
                <w:webHidden/>
                <w:rStyle w:val="Style15"/>
                <w:vanish w:val="false"/>
                <w:sz w:val="24"/>
                <w:szCs w:val="24"/>
              </w:rPr>
              <w:t>9.</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4 – Образцы форм документов, включаемых в состав заявки</w:t>
            </w:r>
            <w:r>
              <w:rPr>
                <w:webHidden/>
              </w:rPr>
              <w:fldChar w:fldCharType="begin"/>
            </w:r>
            <w:r>
              <w:rPr>
                <w:webHidden/>
              </w:rPr>
              <w:instrText xml:space="preserve">PAGEREF _Toc188946958 \h</w:instrText>
            </w:r>
            <w:r>
              <w:rPr>
                <w:webHidden/>
              </w:rPr>
              <w:fldChar w:fldCharType="separate"/>
            </w:r>
            <w:r>
              <w:rPr>
                <w:rStyle w:val="Style15"/>
                <w:vanish w:val="false"/>
                <w:sz w:val="24"/>
                <w:szCs w:val="24"/>
              </w:rPr>
              <w:tab/>
              <w:t>53</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59">
            <w:r>
              <w:rPr>
                <w:webHidden/>
                <w:rStyle w:val="Style15"/>
                <w:vanish w:val="false"/>
                <w:sz w:val="24"/>
                <w:szCs w:val="24"/>
              </w:rPr>
              <w:t>9.1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Образцам форм документов, включаемых в состав заявки</w:t>
            </w:r>
            <w:r>
              <w:rPr>
                <w:webHidden/>
              </w:rPr>
              <w:fldChar w:fldCharType="begin"/>
            </w:r>
            <w:r>
              <w:rPr>
                <w:webHidden/>
              </w:rPr>
              <w:instrText xml:space="preserve">PAGEREF _Toc188946959 \h</w:instrText>
            </w:r>
            <w:r>
              <w:rPr>
                <w:webHidden/>
              </w:rPr>
              <w:fldChar w:fldCharType="separate"/>
            </w:r>
            <w:r>
              <w:rPr>
                <w:rStyle w:val="Style15"/>
                <w:vanish w:val="false"/>
                <w:sz w:val="24"/>
                <w:szCs w:val="24"/>
              </w:rPr>
              <w:tab/>
              <w:t>53</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60">
            <w:r>
              <w:rPr>
                <w:webHidden/>
                <w:rStyle w:val="Style15"/>
                <w:vanish w:val="false"/>
                <w:sz w:val="24"/>
                <w:szCs w:val="24"/>
              </w:rPr>
              <w:t>10.</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5 – Образцы форм документов, предоставляемых Победителем</w:t>
            </w:r>
            <w:r>
              <w:rPr>
                <w:webHidden/>
              </w:rPr>
              <w:fldChar w:fldCharType="begin"/>
            </w:r>
            <w:r>
              <w:rPr>
                <w:webHidden/>
              </w:rPr>
              <w:instrText xml:space="preserve">PAGEREF _Toc188946960 \h</w:instrText>
            </w:r>
            <w:r>
              <w:rPr>
                <w:webHidden/>
              </w:rPr>
              <w:fldChar w:fldCharType="separate"/>
            </w:r>
            <w:r>
              <w:rPr>
                <w:rStyle w:val="Style15"/>
                <w:vanish w:val="false"/>
                <w:sz w:val="24"/>
                <w:szCs w:val="24"/>
              </w:rPr>
              <w:tab/>
              <w:t>54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1">
            <w:r>
              <w:rPr>
                <w:webHidden/>
                <w:rStyle w:val="Style15"/>
                <w:vanish w:val="false"/>
                <w:sz w:val="24"/>
                <w:szCs w:val="24"/>
              </w:rPr>
              <w:t>10.1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Образцам форм документов, предоставляемых Победителем</w:t>
            </w:r>
            <w:r>
              <w:rPr>
                <w:webHidden/>
              </w:rPr>
              <w:fldChar w:fldCharType="begin"/>
            </w:r>
            <w:r>
              <w:rPr>
                <w:webHidden/>
              </w:rPr>
              <w:instrText xml:space="preserve">PAGEREF _Toc188946961 \h</w:instrText>
            </w:r>
            <w:r>
              <w:rPr>
                <w:webHidden/>
              </w:rPr>
              <w:fldChar w:fldCharType="separate"/>
            </w:r>
            <w:r>
              <w:rPr>
                <w:rStyle w:val="Style15"/>
                <w:vanish w:val="false"/>
                <w:sz w:val="24"/>
                <w:szCs w:val="24"/>
              </w:rPr>
              <w:tab/>
              <w:t>54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2">
            <w:r>
              <w:rPr>
                <w:webHidden/>
                <w:rStyle w:val="Style15"/>
                <w:vanish w:val="false"/>
                <w:sz w:val="24"/>
                <w:szCs w:val="24"/>
              </w:rPr>
              <w:t>10.2</w:t>
            </w:r>
            <w:r>
              <w:rPr>
                <w:rStyle w:val="Style15"/>
                <w:rFonts w:eastAsia="" w:ascii="Calibri" w:hAnsi="Calibri" w:asciiTheme="minorHAnsi" w:eastAsiaTheme="minorEastAsia" w:hAnsiTheme="minorHAnsi"/>
                <w:sz w:val="24"/>
                <w:szCs w:val="24"/>
                <w:lang w:eastAsia="ru-RU"/>
              </w:rPr>
              <w:tab/>
            </w:r>
            <w:r>
              <w:rPr>
                <w:rStyle w:val="Style15"/>
                <w:sz w:val="24"/>
                <w:szCs w:val="24"/>
              </w:rPr>
              <w:t>Форма справки «Сведения о цепочке собственников, включая бенефициаров (в том числе конечных)»</w:t>
            </w:r>
            <w:r>
              <w:rPr>
                <w:webHidden/>
              </w:rPr>
              <w:fldChar w:fldCharType="begin"/>
            </w:r>
            <w:r>
              <w:rPr>
                <w:webHidden/>
              </w:rPr>
              <w:instrText xml:space="preserve">PAGEREF _Toc188946962 \h</w:instrText>
            </w:r>
            <w:r>
              <w:rPr>
                <w:webHidden/>
              </w:rPr>
              <w:fldChar w:fldCharType="separate"/>
            </w:r>
            <w:r>
              <w:rPr>
                <w:rStyle w:val="Style15"/>
                <w:vanish w:val="false"/>
                <w:sz w:val="24"/>
                <w:szCs w:val="24"/>
              </w:rPr>
              <w:tab/>
              <w:t>54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3">
            <w:r>
              <w:rPr>
                <w:webHidden/>
                <w:rStyle w:val="Style15"/>
                <w:vanish w:val="false"/>
                <w:sz w:val="24"/>
                <w:szCs w:val="24"/>
              </w:rPr>
              <w:t>10.3</w:t>
            </w:r>
            <w:r>
              <w:rPr>
                <w:rStyle w:val="Style15"/>
                <w:rFonts w:eastAsia="" w:ascii="Calibri" w:hAnsi="Calibri" w:asciiTheme="minorHAnsi" w:eastAsiaTheme="minorEastAsia" w:hAnsiTheme="minorHAnsi"/>
                <w:sz w:val="24"/>
                <w:szCs w:val="24"/>
                <w:lang w:eastAsia="ru-RU"/>
              </w:rPr>
              <w:tab/>
            </w:r>
            <w:r>
              <w:rPr>
                <w:rStyle w:val="Style15"/>
                <w:sz w:val="24"/>
                <w:szCs w:val="24"/>
              </w:rPr>
              <w:t>Форма «Заверение об обстоятельствах»</w:t>
            </w:r>
            <w:r>
              <w:rPr>
                <w:webHidden/>
              </w:rPr>
              <w:fldChar w:fldCharType="begin"/>
            </w:r>
            <w:r>
              <w:rPr>
                <w:webHidden/>
              </w:rPr>
              <w:instrText xml:space="preserve">PAGEREF _Toc188946963 \h</w:instrText>
            </w:r>
            <w:r>
              <w:rPr>
                <w:webHidden/>
              </w:rPr>
              <w:fldChar w:fldCharType="separate"/>
            </w:r>
            <w:r>
              <w:rPr>
                <w:rStyle w:val="Style15"/>
                <w:vanish w:val="false"/>
                <w:sz w:val="24"/>
                <w:szCs w:val="24"/>
              </w:rPr>
              <w:tab/>
              <w:t>54</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64">
            <w:r>
              <w:rPr>
                <w:webHidden/>
                <w:rStyle w:val="Style15"/>
                <w:vanish w:val="false"/>
                <w:sz w:val="24"/>
                <w:szCs w:val="24"/>
              </w:rPr>
              <w:t>11.</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6 – Состав заявки</w:t>
            </w:r>
            <w:r>
              <w:rPr>
                <w:webHidden/>
              </w:rPr>
              <w:fldChar w:fldCharType="begin"/>
            </w:r>
            <w:r>
              <w:rPr>
                <w:webHidden/>
              </w:rPr>
              <w:instrText xml:space="preserve">PAGEREF _Toc188946964 \h</w:instrText>
            </w:r>
            <w:r>
              <w:rPr>
                <w:webHidden/>
              </w:rPr>
              <w:fldChar w:fldCharType="separate"/>
            </w:r>
            <w:r>
              <w:rPr>
                <w:rStyle w:val="Style15"/>
                <w:vanish w:val="false"/>
                <w:sz w:val="24"/>
                <w:szCs w:val="24"/>
              </w:rPr>
              <w:tab/>
              <w:t>56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5">
            <w:r>
              <w:rPr>
                <w:webHidden/>
                <w:rStyle w:val="Style15"/>
                <w:vanish w:val="false"/>
                <w:sz w:val="24"/>
                <w:szCs w:val="24"/>
              </w:rPr>
              <w:t>11.1</w:t>
            </w:r>
            <w:r>
              <w:rPr>
                <w:rStyle w:val="Style15"/>
                <w:rFonts w:eastAsia="" w:ascii="Calibri" w:hAnsi="Calibri" w:asciiTheme="minorHAnsi" w:eastAsiaTheme="minorEastAsia" w:hAnsiTheme="minorHAnsi"/>
                <w:sz w:val="24"/>
                <w:szCs w:val="24"/>
                <w:lang w:eastAsia="ru-RU"/>
              </w:rPr>
              <w:tab/>
            </w:r>
            <w:r>
              <w:rPr>
                <w:rStyle w:val="Style15"/>
                <w:sz w:val="24"/>
                <w:szCs w:val="24"/>
              </w:rPr>
              <w:t>Состав заявки</w:t>
            </w:r>
            <w:r>
              <w:rPr>
                <w:webHidden/>
              </w:rPr>
              <w:fldChar w:fldCharType="begin"/>
            </w:r>
            <w:r>
              <w:rPr>
                <w:webHidden/>
              </w:rPr>
              <w:instrText xml:space="preserve">PAGEREF _Toc188946965 \h</w:instrText>
            </w:r>
            <w:r>
              <w:rPr>
                <w:webHidden/>
              </w:rPr>
              <w:fldChar w:fldCharType="separate"/>
            </w:r>
            <w:r>
              <w:rPr>
                <w:rStyle w:val="Style15"/>
                <w:vanish w:val="false"/>
                <w:sz w:val="24"/>
                <w:szCs w:val="24"/>
              </w:rPr>
              <w:tab/>
              <w:t>56</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66">
            <w:r>
              <w:rPr>
                <w:webHidden/>
                <w:rStyle w:val="Style15"/>
                <w:vanish w:val="false"/>
                <w:sz w:val="24"/>
                <w:szCs w:val="24"/>
              </w:rPr>
              <w:t>12.</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7 – Отборочные критерии рассмотрения заявок</w:t>
            </w:r>
            <w:r>
              <w:rPr>
                <w:webHidden/>
              </w:rPr>
              <w:fldChar w:fldCharType="begin"/>
            </w:r>
            <w:r>
              <w:rPr>
                <w:webHidden/>
              </w:rPr>
              <w:instrText xml:space="preserve">PAGEREF _Toc188946966 \h</w:instrText>
            </w:r>
            <w:r>
              <w:rPr>
                <w:webHidden/>
              </w:rPr>
              <w:fldChar w:fldCharType="separate"/>
            </w:r>
            <w:r>
              <w:rPr>
                <w:rStyle w:val="Style15"/>
                <w:vanish w:val="false"/>
                <w:sz w:val="24"/>
                <w:szCs w:val="24"/>
              </w:rPr>
              <w:tab/>
              <w:t>58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7">
            <w:r>
              <w:rPr>
                <w:webHidden/>
                <w:rStyle w:val="Style15"/>
                <w:vanish w:val="false"/>
                <w:sz w:val="24"/>
                <w:szCs w:val="24"/>
              </w:rPr>
              <w:t>12.1</w:t>
            </w:r>
            <w:r>
              <w:rPr>
                <w:rStyle w:val="Style15"/>
                <w:rFonts w:eastAsia="" w:ascii="Calibri" w:hAnsi="Calibri" w:asciiTheme="minorHAnsi" w:eastAsiaTheme="minorEastAsia" w:hAnsiTheme="minorHAnsi"/>
                <w:sz w:val="24"/>
                <w:szCs w:val="24"/>
                <w:lang w:eastAsia="ru-RU"/>
              </w:rPr>
              <w:tab/>
            </w:r>
            <w:r>
              <w:rPr>
                <w:rStyle w:val="Style15"/>
                <w:sz w:val="24"/>
                <w:szCs w:val="24"/>
              </w:rPr>
              <w:t>Отборочные критерии рассмотрения первых частей заявок</w:t>
            </w:r>
            <w:r>
              <w:rPr>
                <w:webHidden/>
              </w:rPr>
              <w:fldChar w:fldCharType="begin"/>
            </w:r>
            <w:r>
              <w:rPr>
                <w:webHidden/>
              </w:rPr>
              <w:instrText xml:space="preserve">PAGEREF _Toc188946967 \h</w:instrText>
            </w:r>
            <w:r>
              <w:rPr>
                <w:webHidden/>
              </w:rPr>
              <w:fldChar w:fldCharType="separate"/>
            </w:r>
            <w:r>
              <w:rPr>
                <w:rStyle w:val="Style15"/>
                <w:vanish w:val="false"/>
                <w:sz w:val="24"/>
                <w:szCs w:val="24"/>
              </w:rPr>
              <w:tab/>
              <w:t>58</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8">
            <w:r>
              <w:rPr>
                <w:webHidden/>
                <w:rStyle w:val="Style15"/>
                <w:vanish w:val="false"/>
                <w:sz w:val="24"/>
                <w:szCs w:val="24"/>
              </w:rPr>
              <w:t>12.2</w:t>
            </w:r>
            <w:r>
              <w:rPr>
                <w:rStyle w:val="Style15"/>
                <w:rFonts w:eastAsia="" w:ascii="Calibri" w:hAnsi="Calibri" w:asciiTheme="minorHAnsi" w:eastAsiaTheme="minorEastAsia" w:hAnsiTheme="minorHAnsi"/>
                <w:sz w:val="24"/>
                <w:szCs w:val="24"/>
                <w:lang w:eastAsia="ru-RU"/>
              </w:rPr>
              <w:tab/>
            </w:r>
            <w:r>
              <w:rPr>
                <w:rStyle w:val="Style15"/>
                <w:sz w:val="24"/>
                <w:szCs w:val="24"/>
              </w:rPr>
              <w:t>Отборочные критерии рассмотрения вторых частей заявок</w:t>
            </w:r>
            <w:r>
              <w:rPr>
                <w:webHidden/>
              </w:rPr>
              <w:fldChar w:fldCharType="begin"/>
            </w:r>
            <w:r>
              <w:rPr>
                <w:webHidden/>
              </w:rPr>
              <w:instrText xml:space="preserve">PAGEREF _Toc188946968 \h</w:instrText>
            </w:r>
            <w:r>
              <w:rPr>
                <w:webHidden/>
              </w:rPr>
              <w:fldChar w:fldCharType="separate"/>
            </w:r>
            <w:r>
              <w:rPr>
                <w:rStyle w:val="Style15"/>
                <w:vanish w:val="false"/>
                <w:sz w:val="24"/>
                <w:szCs w:val="24"/>
              </w:rPr>
              <w:tab/>
              <w:t>59</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69">
            <w:r>
              <w:rPr>
                <w:webHidden/>
                <w:rStyle w:val="Style15"/>
                <w:vanish w:val="false"/>
                <w:sz w:val="24"/>
                <w:szCs w:val="24"/>
              </w:rPr>
              <w:t>12.3</w:t>
            </w:r>
            <w:r>
              <w:rPr>
                <w:rStyle w:val="Style15"/>
                <w:rFonts w:eastAsia="" w:ascii="Calibri" w:hAnsi="Calibri" w:asciiTheme="minorHAnsi" w:eastAsiaTheme="minorEastAsia" w:hAnsiTheme="minorHAnsi"/>
                <w:sz w:val="24"/>
                <w:szCs w:val="24"/>
                <w:lang w:eastAsia="ru-RU"/>
              </w:rPr>
              <w:tab/>
            </w:r>
            <w:r>
              <w:rPr>
                <w:rStyle w:val="Style15"/>
                <w:sz w:val="24"/>
                <w:szCs w:val="24"/>
              </w:rPr>
              <w:t>Отборочные критерии рассмотрения ценовых предложений</w:t>
            </w:r>
            <w:r>
              <w:rPr>
                <w:webHidden/>
              </w:rPr>
              <w:fldChar w:fldCharType="begin"/>
            </w:r>
            <w:r>
              <w:rPr>
                <w:webHidden/>
              </w:rPr>
              <w:instrText xml:space="preserve">PAGEREF _Toc188946969 \h</w:instrText>
            </w:r>
            <w:r>
              <w:rPr>
                <w:webHidden/>
              </w:rPr>
              <w:fldChar w:fldCharType="separate"/>
            </w:r>
            <w:r>
              <w:rPr>
                <w:rStyle w:val="Style15"/>
                <w:vanish w:val="false"/>
                <w:sz w:val="24"/>
                <w:szCs w:val="24"/>
              </w:rPr>
              <w:tab/>
              <w:t>61</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70">
            <w:r>
              <w:rPr>
                <w:webHidden/>
                <w:rStyle w:val="Style15"/>
                <w:vanish w:val="false"/>
                <w:sz w:val="24"/>
                <w:szCs w:val="24"/>
              </w:rPr>
              <w:t>12.4</w:t>
            </w:r>
            <w:r>
              <w:rPr>
                <w:rStyle w:val="Style15"/>
                <w:rFonts w:eastAsia="" w:ascii="Calibri" w:hAnsi="Calibri" w:asciiTheme="minorHAnsi" w:eastAsiaTheme="minorEastAsia" w:hAnsiTheme="minorHAnsi"/>
                <w:sz w:val="24"/>
                <w:szCs w:val="24"/>
                <w:lang w:eastAsia="ru-RU"/>
              </w:rPr>
              <w:tab/>
            </w:r>
            <w:r>
              <w:rPr>
                <w:rStyle w:val="Style15"/>
                <w:sz w:val="24"/>
                <w:szCs w:val="24"/>
              </w:rPr>
              <w:t>Дополнительные критерии проверки заявок на соответствие условиям Документации о закупке</w:t>
            </w:r>
            <w:r>
              <w:rPr>
                <w:webHidden/>
              </w:rPr>
              <w:fldChar w:fldCharType="begin"/>
            </w:r>
            <w:r>
              <w:rPr>
                <w:webHidden/>
              </w:rPr>
              <w:instrText xml:space="preserve">PAGEREF _Toc188946970 \h</w:instrText>
            </w:r>
            <w:r>
              <w:rPr>
                <w:webHidden/>
              </w:rPr>
              <w:fldChar w:fldCharType="separate"/>
            </w:r>
            <w:r>
              <w:rPr>
                <w:rStyle w:val="Style15"/>
                <w:vanish w:val="false"/>
                <w:sz w:val="24"/>
                <w:szCs w:val="24"/>
              </w:rPr>
              <w:tab/>
              <w:t>62</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71">
            <w:r>
              <w:rPr>
                <w:webHidden/>
                <w:rStyle w:val="Style15"/>
                <w:vanish w:val="false"/>
                <w:sz w:val="24"/>
                <w:szCs w:val="24"/>
              </w:rPr>
              <w:t>13.</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8 – Порядок и критерии оценки и сопоставления заявок</w:t>
            </w:r>
            <w:r>
              <w:rPr>
                <w:webHidden/>
              </w:rPr>
              <w:fldChar w:fldCharType="begin"/>
            </w:r>
            <w:r>
              <w:rPr>
                <w:webHidden/>
              </w:rPr>
              <w:instrText xml:space="preserve">PAGEREF _Toc188946971 \h</w:instrText>
            </w:r>
            <w:r>
              <w:rPr>
                <w:webHidden/>
              </w:rPr>
              <w:fldChar w:fldCharType="separate"/>
            </w:r>
            <w:r>
              <w:rPr>
                <w:rStyle w:val="Style15"/>
                <w:vanish w:val="false"/>
                <w:sz w:val="24"/>
                <w:szCs w:val="24"/>
              </w:rPr>
              <w:tab/>
              <w:t>64</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72">
            <w:r>
              <w:rPr>
                <w:webHidden/>
                <w:rStyle w:val="Style15"/>
                <w:vanish w:val="false"/>
                <w:sz w:val="24"/>
                <w:szCs w:val="24"/>
              </w:rPr>
              <w:t>13.1</w:t>
            </w:r>
            <w:r>
              <w:rPr>
                <w:rStyle w:val="Style15"/>
                <w:rFonts w:eastAsia="" w:ascii="Calibri" w:hAnsi="Calibri" w:asciiTheme="minorHAnsi" w:eastAsiaTheme="minorEastAsia" w:hAnsiTheme="minorHAnsi"/>
                <w:sz w:val="24"/>
                <w:szCs w:val="24"/>
                <w:lang w:eastAsia="ru-RU"/>
              </w:rPr>
              <w:tab/>
            </w:r>
            <w:r>
              <w:rPr>
                <w:rStyle w:val="Style15"/>
                <w:sz w:val="24"/>
                <w:szCs w:val="24"/>
              </w:rPr>
              <w:t>Порядок и критерии оценки и сопоставления заявок</w:t>
            </w:r>
            <w:r>
              <w:rPr>
                <w:webHidden/>
              </w:rPr>
              <w:fldChar w:fldCharType="begin"/>
            </w:r>
            <w:r>
              <w:rPr>
                <w:webHidden/>
              </w:rPr>
              <w:instrText xml:space="preserve">PAGEREF _Toc188946972 \h</w:instrText>
            </w:r>
            <w:r>
              <w:rPr>
                <w:webHidden/>
              </w:rPr>
              <w:fldChar w:fldCharType="separate"/>
            </w:r>
            <w:r>
              <w:rPr>
                <w:rStyle w:val="Style15"/>
                <w:vanish w:val="false"/>
                <w:sz w:val="24"/>
                <w:szCs w:val="24"/>
              </w:rPr>
              <w:tab/>
              <w:t>64</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73">
            <w:r>
              <w:rPr>
                <w:webHidden/>
                <w:rStyle w:val="Style15"/>
                <w:vanish w:val="false"/>
                <w:sz w:val="24"/>
                <w:szCs w:val="24"/>
              </w:rPr>
              <w:t>14.</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9 – Обоснование НМЦ</w:t>
            </w:r>
            <w:r>
              <w:rPr>
                <w:webHidden/>
              </w:rPr>
              <w:fldChar w:fldCharType="begin"/>
            </w:r>
            <w:r>
              <w:rPr>
                <w:webHidden/>
              </w:rPr>
              <w:instrText xml:space="preserve">PAGEREF _Toc188946973 \h</w:instrText>
            </w:r>
            <w:r>
              <w:rPr>
                <w:webHidden/>
              </w:rPr>
              <w:fldChar w:fldCharType="separate"/>
            </w:r>
            <w:r>
              <w:rPr>
                <w:rStyle w:val="Style15"/>
                <w:vanish w:val="false"/>
                <w:sz w:val="24"/>
                <w:szCs w:val="24"/>
              </w:rPr>
              <w:tab/>
              <w:t>65</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74">
            <w:r>
              <w:rPr>
                <w:webHidden/>
                <w:rStyle w:val="Style15"/>
                <w:vanish w:val="false"/>
                <w:sz w:val="24"/>
                <w:szCs w:val="24"/>
              </w:rPr>
              <w:t>14.1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Обоснованию НМЦ</w:t>
            </w:r>
            <w:r>
              <w:rPr>
                <w:webHidden/>
              </w:rPr>
              <w:fldChar w:fldCharType="begin"/>
            </w:r>
            <w:r>
              <w:rPr>
                <w:webHidden/>
              </w:rPr>
              <w:instrText xml:space="preserve">PAGEREF _Toc188946974 \h</w:instrText>
            </w:r>
            <w:r>
              <w:rPr>
                <w:webHidden/>
              </w:rPr>
              <w:fldChar w:fldCharType="separate"/>
            </w:r>
            <w:r>
              <w:rPr>
                <w:rStyle w:val="Style15"/>
                <w:vanish w:val="false"/>
                <w:sz w:val="24"/>
                <w:szCs w:val="24"/>
              </w:rPr>
              <w:tab/>
              <w:t>65</w:t>
            </w:r>
            <w:r>
              <w:rPr>
                <w:webHidden/>
              </w:rPr>
              <w:fldChar w:fldCharType="end"/>
            </w:r>
          </w:hyperlink>
        </w:p>
        <w:p>
          <w:pPr>
            <w:pStyle w:val="TOC1"/>
            <w:rPr>
              <w:rFonts w:ascii="Calibri" w:hAnsi="Calibri" w:eastAsia="" w:asciiTheme="minorHAnsi" w:eastAsiaTheme="minorEastAsia" w:hAnsiTheme="minorHAnsi"/>
              <w:b w:val="false"/>
              <w:caps w:val="false"/>
              <w:smallCaps w:val="false"/>
              <w:sz w:val="24"/>
              <w:szCs w:val="24"/>
              <w:lang w:eastAsia="ru-RU"/>
            </w:rPr>
          </w:pPr>
          <w:hyperlink w:anchor="_Toc188946975">
            <w:r>
              <w:rPr>
                <w:webHidden/>
                <w:rStyle w:val="Style15"/>
                <w:vanish w:val="false"/>
                <w:sz w:val="24"/>
                <w:szCs w:val="24"/>
              </w:rPr>
              <w:t>15.</w:t>
            </w:r>
            <w:r>
              <w:rPr>
                <w:rStyle w:val="Style15"/>
                <w:rFonts w:eastAsia="" w:ascii="Calibri" w:hAnsi="Calibri" w:asciiTheme="minorHAnsi" w:eastAsiaTheme="minorEastAsia" w:hAnsiTheme="minorHAnsi"/>
                <w:b w:val="false"/>
                <w:caps w:val="false"/>
                <w:smallCaps w:val="false"/>
                <w:sz w:val="24"/>
                <w:szCs w:val="24"/>
                <w:lang w:eastAsia="ru-RU"/>
              </w:rPr>
              <w:tab/>
            </w:r>
            <w:r>
              <w:rPr>
                <w:rStyle w:val="Style15"/>
                <w:sz w:val="24"/>
                <w:szCs w:val="24"/>
              </w:rPr>
              <w:t>Приложение № 10 – Форма Заявки на аккредитацию</w:t>
            </w:r>
            <w:r>
              <w:rPr>
                <w:webHidden/>
              </w:rPr>
              <w:fldChar w:fldCharType="begin"/>
            </w:r>
            <w:r>
              <w:rPr>
                <w:webHidden/>
              </w:rPr>
              <w:instrText xml:space="preserve">PAGEREF _Toc188946975 \h</w:instrText>
            </w:r>
            <w:r>
              <w:rPr>
                <w:webHidden/>
              </w:rPr>
              <w:fldChar w:fldCharType="separate"/>
            </w:r>
            <w:r>
              <w:rPr>
                <w:rStyle w:val="Style15"/>
                <w:vanish w:val="false"/>
                <w:sz w:val="24"/>
                <w:szCs w:val="24"/>
              </w:rPr>
              <w:tab/>
              <w:t>66</w:t>
            </w:r>
            <w:r>
              <w:rPr>
                <w:webHidden/>
              </w:rPr>
              <w:fldChar w:fldCharType="end"/>
            </w:r>
          </w:hyperlink>
        </w:p>
        <w:p>
          <w:pPr>
            <w:pStyle w:val="TOC2"/>
            <w:rPr>
              <w:rFonts w:ascii="Calibri" w:hAnsi="Calibri" w:eastAsia="" w:asciiTheme="minorHAnsi" w:eastAsiaTheme="minorEastAsia" w:hAnsiTheme="minorHAnsi"/>
              <w:sz w:val="24"/>
              <w:szCs w:val="24"/>
              <w:lang w:eastAsia="ru-RU"/>
            </w:rPr>
          </w:pPr>
          <w:hyperlink w:anchor="_Toc188946976">
            <w:r>
              <w:rPr>
                <w:webHidden/>
                <w:rStyle w:val="Style15"/>
                <w:vanish w:val="false"/>
                <w:sz w:val="24"/>
                <w:szCs w:val="24"/>
              </w:rPr>
              <w:t>15.1</w:t>
            </w:r>
            <w:r>
              <w:rPr>
                <w:rStyle w:val="Style15"/>
                <w:rFonts w:eastAsia="" w:ascii="Calibri" w:hAnsi="Calibri" w:asciiTheme="minorHAnsi" w:eastAsiaTheme="minorEastAsia" w:hAnsiTheme="minorHAnsi"/>
                <w:sz w:val="24"/>
                <w:szCs w:val="24"/>
                <w:lang w:eastAsia="ru-RU"/>
              </w:rPr>
              <w:tab/>
            </w:r>
            <w:r>
              <w:rPr>
                <w:rStyle w:val="Style15"/>
                <w:sz w:val="24"/>
                <w:szCs w:val="24"/>
              </w:rPr>
              <w:t>Пояснения к форме Заявки на аккредитацию</w:t>
            </w:r>
            <w:r>
              <w:rPr>
                <w:webHidden/>
              </w:rPr>
              <w:fldChar w:fldCharType="begin"/>
            </w:r>
            <w:r>
              <w:rPr>
                <w:webHidden/>
              </w:rPr>
              <w:instrText xml:space="preserve">PAGEREF _Toc188946976 \h</w:instrText>
            </w:r>
            <w:r>
              <w:rPr>
                <w:webHidden/>
              </w:rPr>
              <w:fldChar w:fldCharType="separate"/>
            </w:r>
            <w:r>
              <w:rPr>
                <w:rStyle w:val="Style15"/>
                <w:vanish w:val="false"/>
                <w:sz w:val="24"/>
                <w:szCs w:val="24"/>
              </w:rPr>
              <w:tab/>
              <w:t>66</w:t>
            </w:r>
            <w:r>
              <w:rPr>
                <w:webHidden/>
              </w:rPr>
              <w:fldChar w:fldCharType="end"/>
            </w:r>
          </w:hyperlink>
          <w:r>
            <w:rPr>
              <w:rStyle w:val="Style15"/>
              <w:sz w:val="24"/>
              <w:szCs w:val="24"/>
              <w:vanish w:val="false"/>
            </w:rPr>
            <w:fldChar w:fldCharType="end"/>
          </w:r>
        </w:p>
      </w:sdtContent>
    </w:sdt>
    <w:p>
      <w:pPr>
        <w:pStyle w:val="Style25"/>
        <w:rPr>
          <w:sz w:val="24"/>
          <w:szCs w:val="24"/>
        </w:rPr>
      </w:pPr>
      <w:r>
        <w:rPr>
          <w:sz w:val="24"/>
          <w:szCs w:val="24"/>
        </w:rPr>
      </w:r>
    </w:p>
    <w:p>
      <w:pPr>
        <w:pStyle w:val="Style24"/>
        <w:numPr>
          <w:ilvl w:val="0"/>
          <w:numId w:val="0"/>
        </w:numPr>
        <w:ind w:left="0" w:hanging="0"/>
        <w:outlineLvl w:val="0"/>
        <w:rPr>
          <w:sz w:val="20"/>
          <w:szCs w:val="20"/>
        </w:rPr>
      </w:pPr>
      <w:bookmarkStart w:id="0" w:name="_Toc188946907"/>
      <w:r>
        <w:rPr>
          <w:sz w:val="20"/>
          <w:szCs w:val="20"/>
        </w:rPr>
        <w:t>Сокращения</w:t>
      </w:r>
      <w:bookmarkEnd w:id="0"/>
    </w:p>
    <w:p>
      <w:pPr>
        <w:pStyle w:val="Style25"/>
        <w:ind w:firstLine="567"/>
        <w:rPr>
          <w:sz w:val="20"/>
          <w:szCs w:val="20"/>
        </w:rPr>
      </w:pPr>
      <w:r>
        <w:rPr>
          <w:b/>
          <w:bCs/>
          <w:sz w:val="20"/>
          <w:szCs w:val="20"/>
        </w:rPr>
        <w:t>ГК РФ</w:t>
      </w:r>
      <w:r>
        <w:rPr>
          <w:sz w:val="20"/>
          <w:szCs w:val="20"/>
        </w:rPr>
        <w:t xml:space="preserve"> – Гражданской кодекс Российской Федерации.</w:t>
      </w:r>
    </w:p>
    <w:p>
      <w:pPr>
        <w:pStyle w:val="Style25"/>
        <w:ind w:firstLine="567"/>
        <w:rPr>
          <w:sz w:val="20"/>
          <w:szCs w:val="20"/>
        </w:rPr>
      </w:pPr>
      <w:r>
        <w:rPr>
          <w:b/>
          <w:bCs/>
          <w:sz w:val="20"/>
          <w:szCs w:val="20"/>
        </w:rPr>
        <w:t>Декларация ПИРААП</w:t>
      </w:r>
      <w:r>
        <w:rPr>
          <w:sz w:val="20"/>
          <w:szCs w:val="20"/>
        </w:rPr>
        <w:t xml:space="preserve"> – декларация о подтверждении использования при изготовлении продукции российского алюминия и (или) его полуфабрикатов с указанием их доли в общем объеме используемого алюминия и (или) его полуфабрикатов в натуральном выражении.</w:t>
      </w:r>
    </w:p>
    <w:p>
      <w:pPr>
        <w:pStyle w:val="Style25"/>
        <w:ind w:firstLine="567"/>
        <w:rPr>
          <w:sz w:val="20"/>
          <w:szCs w:val="20"/>
        </w:rPr>
      </w:pPr>
      <w:r>
        <w:rPr>
          <w:b/>
          <w:bCs/>
          <w:sz w:val="20"/>
          <w:szCs w:val="20"/>
        </w:rPr>
        <w:t>ЕГРИП</w:t>
      </w:r>
      <w:r>
        <w:rPr>
          <w:sz w:val="20"/>
          <w:szCs w:val="20"/>
        </w:rPr>
        <w:t xml:space="preserve"> – Единый государственный реестр индивидуальных предпринимателей.</w:t>
      </w:r>
    </w:p>
    <w:p>
      <w:pPr>
        <w:pStyle w:val="Style25"/>
        <w:ind w:firstLine="567"/>
        <w:rPr>
          <w:sz w:val="20"/>
          <w:szCs w:val="20"/>
        </w:rPr>
      </w:pPr>
      <w:r>
        <w:rPr>
          <w:b/>
          <w:bCs/>
          <w:sz w:val="20"/>
          <w:szCs w:val="20"/>
        </w:rPr>
        <w:t>ЕГРЮЛ</w:t>
      </w:r>
      <w:r>
        <w:rPr>
          <w:sz w:val="20"/>
          <w:szCs w:val="20"/>
        </w:rPr>
        <w:t xml:space="preserve"> – Единый государственный реестр юридических лиц.</w:t>
      </w:r>
    </w:p>
    <w:p>
      <w:pPr>
        <w:pStyle w:val="Style25"/>
        <w:ind w:firstLine="567"/>
        <w:rPr>
          <w:sz w:val="20"/>
          <w:szCs w:val="20"/>
        </w:rPr>
      </w:pPr>
      <w:r>
        <w:rPr>
          <w:b/>
          <w:bCs/>
          <w:sz w:val="20"/>
          <w:szCs w:val="20"/>
        </w:rPr>
        <w:t>ЕИС</w:t>
      </w:r>
      <w:r>
        <w:rPr>
          <w:sz w:val="20"/>
          <w:szCs w:val="20"/>
        </w:rPr>
        <w:t xml:space="preserve"> – Единая информационная система в сфере закупок.</w:t>
      </w:r>
    </w:p>
    <w:p>
      <w:pPr>
        <w:pStyle w:val="Style25"/>
        <w:ind w:firstLine="567"/>
        <w:rPr>
          <w:sz w:val="20"/>
          <w:szCs w:val="20"/>
        </w:rPr>
      </w:pPr>
      <w:r>
        <w:rPr>
          <w:b/>
          <w:bCs/>
          <w:sz w:val="20"/>
          <w:szCs w:val="20"/>
        </w:rPr>
        <w:t>Закон 44-ФЗ</w:t>
      </w:r>
      <w:r>
        <w:rPr>
          <w:sz w:val="20"/>
          <w:szCs w:val="20"/>
        </w:rPr>
        <w:t xml:space="preserve"> – Федеральный закон от 05.04.2013 № 44-ФЗ «О контрактной системе в</w:t>
      </w:r>
      <w:r>
        <w:rPr>
          <w:sz w:val="20"/>
          <w:szCs w:val="20"/>
          <w:lang w:val="en-US"/>
        </w:rPr>
        <w:t> </w:t>
      </w:r>
      <w:r>
        <w:rPr>
          <w:sz w:val="20"/>
          <w:szCs w:val="20"/>
        </w:rPr>
        <w:t>сфере закупок товаров, работ, услуг для обеспечения государственных и муниципальных нужд».</w:t>
      </w:r>
    </w:p>
    <w:p>
      <w:pPr>
        <w:pStyle w:val="Style25"/>
        <w:ind w:firstLine="567"/>
        <w:rPr>
          <w:sz w:val="20"/>
          <w:szCs w:val="20"/>
        </w:rPr>
      </w:pPr>
      <w:r>
        <w:rPr>
          <w:b/>
          <w:bCs/>
          <w:sz w:val="20"/>
          <w:szCs w:val="20"/>
        </w:rPr>
        <w:t>Закон 209-ФЗ</w:t>
      </w:r>
      <w:r>
        <w:rPr>
          <w:sz w:val="20"/>
          <w:szCs w:val="20"/>
        </w:rPr>
        <w:t xml:space="preserve"> – Федеральный закон от 24.07.2007 № 209-ФЗ «О развитии малого и среднего предпринимательства в Российской Федерации».</w:t>
      </w:r>
    </w:p>
    <w:p>
      <w:pPr>
        <w:pStyle w:val="Style25"/>
        <w:ind w:firstLine="567"/>
        <w:rPr>
          <w:sz w:val="20"/>
          <w:szCs w:val="20"/>
        </w:rPr>
      </w:pPr>
      <w:r>
        <w:rPr>
          <w:b/>
          <w:bCs/>
          <w:sz w:val="20"/>
          <w:szCs w:val="20"/>
        </w:rPr>
        <w:t>Закон 223-ФЗ</w:t>
      </w:r>
      <w:r>
        <w:rPr>
          <w:sz w:val="20"/>
          <w:szCs w:val="20"/>
        </w:rPr>
        <w:t xml:space="preserve"> – Федеральный закон от 18.07.2011 № 223-ФЗ «О закупках товаров, работ, услуг отдельными видами юридических лиц».</w:t>
      </w:r>
    </w:p>
    <w:p>
      <w:pPr>
        <w:pStyle w:val="Style25"/>
        <w:ind w:firstLine="567"/>
        <w:rPr>
          <w:sz w:val="20"/>
          <w:szCs w:val="20"/>
        </w:rPr>
      </w:pPr>
      <w:r>
        <w:rPr>
          <w:b/>
          <w:bCs/>
          <w:sz w:val="20"/>
          <w:szCs w:val="20"/>
        </w:rPr>
        <w:t>Закон 255-ФЗ</w:t>
      </w:r>
      <w:r>
        <w:rPr>
          <w:sz w:val="20"/>
          <w:szCs w:val="20"/>
        </w:rPr>
        <w:t xml:space="preserve"> – Федеральный закон от 14.07.2022 № 255-ФЗ «О контроле за деятельностью лиц, находящихся под иностранным влиянием».</w:t>
      </w:r>
    </w:p>
    <w:p>
      <w:pPr>
        <w:pStyle w:val="Style25"/>
        <w:ind w:firstLine="567"/>
        <w:rPr>
          <w:sz w:val="20"/>
          <w:szCs w:val="20"/>
        </w:rPr>
      </w:pPr>
      <w:r>
        <w:rPr>
          <w:b/>
          <w:bCs/>
          <w:sz w:val="20"/>
          <w:szCs w:val="20"/>
        </w:rPr>
        <w:t>Закон 422-ФЗ</w:t>
      </w:r>
      <w:r>
        <w:rPr>
          <w:sz w:val="20"/>
          <w:szCs w:val="20"/>
        </w:rPr>
        <w:t xml:space="preserve"> – Федеральный закон от 27.11.2018 № 422-ФЗ «О проведении эксперимента по установлению специального налогового режима «Налог на профессиональный доход».</w:t>
      </w:r>
    </w:p>
    <w:p>
      <w:pPr>
        <w:pStyle w:val="Style25"/>
        <w:ind w:firstLine="567"/>
        <w:rPr>
          <w:sz w:val="20"/>
          <w:szCs w:val="20"/>
        </w:rPr>
      </w:pPr>
      <w:r>
        <w:rPr>
          <w:b/>
          <w:bCs/>
          <w:sz w:val="20"/>
          <w:szCs w:val="20"/>
        </w:rPr>
        <w:t>Законодательство</w:t>
      </w:r>
      <w:r>
        <w:rPr>
          <w:sz w:val="20"/>
          <w:szCs w:val="20"/>
        </w:rPr>
        <w:t xml:space="preserve"> – законодательство Российской Федерации (если в тексте настоящей Документации о закупке прямо не указано иное).</w:t>
      </w:r>
    </w:p>
    <w:p>
      <w:pPr>
        <w:pStyle w:val="Style25"/>
        <w:ind w:firstLine="567"/>
        <w:rPr>
          <w:sz w:val="20"/>
          <w:szCs w:val="20"/>
        </w:rPr>
      </w:pPr>
      <w:r>
        <w:rPr>
          <w:b/>
          <w:bCs/>
          <w:sz w:val="20"/>
          <w:szCs w:val="20"/>
        </w:rPr>
        <w:t>Извещение</w:t>
      </w:r>
      <w:r>
        <w:rPr>
          <w:sz w:val="20"/>
          <w:szCs w:val="20"/>
        </w:rPr>
        <w:t xml:space="preserve"> – извещение о проведении настоящей закупки.</w:t>
      </w:r>
    </w:p>
    <w:p>
      <w:pPr>
        <w:pStyle w:val="Style25"/>
        <w:ind w:firstLine="567"/>
        <w:rPr>
          <w:sz w:val="20"/>
          <w:szCs w:val="20"/>
        </w:rPr>
      </w:pPr>
      <w:r>
        <w:rPr>
          <w:b/>
          <w:bCs/>
          <w:sz w:val="20"/>
          <w:szCs w:val="20"/>
        </w:rPr>
        <w:t>ИНН</w:t>
      </w:r>
      <w:r>
        <w:rPr>
          <w:sz w:val="20"/>
          <w:szCs w:val="20"/>
        </w:rPr>
        <w:t xml:space="preserve"> – идентификационный номер налогоплательщика.</w:t>
      </w:r>
    </w:p>
    <w:p>
      <w:pPr>
        <w:pStyle w:val="Style25"/>
        <w:ind w:firstLine="567"/>
        <w:rPr>
          <w:sz w:val="20"/>
          <w:szCs w:val="20"/>
        </w:rPr>
      </w:pPr>
      <w:r>
        <w:rPr>
          <w:b/>
          <w:bCs/>
          <w:sz w:val="20"/>
          <w:szCs w:val="20"/>
        </w:rPr>
        <w:t>ИФНС</w:t>
      </w:r>
      <w:r>
        <w:rPr>
          <w:sz w:val="20"/>
          <w:szCs w:val="20"/>
        </w:rPr>
        <w:t xml:space="preserve"> – инспекция Федеральной налоговой службы Российской Федерации.</w:t>
      </w:r>
    </w:p>
    <w:p>
      <w:pPr>
        <w:pStyle w:val="Style25"/>
        <w:ind w:firstLine="567"/>
        <w:rPr>
          <w:sz w:val="20"/>
          <w:szCs w:val="20"/>
        </w:rPr>
      </w:pPr>
      <w:r>
        <w:rPr>
          <w:b/>
          <w:bCs/>
          <w:sz w:val="20"/>
          <w:szCs w:val="20"/>
        </w:rPr>
        <w:t>МТР</w:t>
      </w:r>
      <w:r>
        <w:rPr>
          <w:sz w:val="20"/>
          <w:szCs w:val="20"/>
        </w:rPr>
        <w:t xml:space="preserve"> – материально-технические ресурсы.</w:t>
      </w:r>
    </w:p>
    <w:p>
      <w:pPr>
        <w:pStyle w:val="Style25"/>
        <w:ind w:firstLine="567"/>
        <w:rPr>
          <w:sz w:val="20"/>
          <w:szCs w:val="20"/>
        </w:rPr>
      </w:pPr>
      <w:r>
        <w:rPr>
          <w:b/>
          <w:bCs/>
          <w:sz w:val="20"/>
          <w:szCs w:val="20"/>
        </w:rPr>
        <w:t>НДС</w:t>
      </w:r>
      <w:r>
        <w:rPr>
          <w:sz w:val="20"/>
          <w:szCs w:val="20"/>
        </w:rPr>
        <w:t xml:space="preserve"> – налог на добавленную стоимость.</w:t>
      </w:r>
    </w:p>
    <w:p>
      <w:pPr>
        <w:pStyle w:val="Style25"/>
        <w:ind w:firstLine="567"/>
        <w:rPr>
          <w:sz w:val="20"/>
          <w:szCs w:val="20"/>
        </w:rPr>
      </w:pPr>
      <w:r>
        <w:rPr>
          <w:b/>
          <w:bCs/>
          <w:sz w:val="20"/>
          <w:szCs w:val="20"/>
        </w:rPr>
        <w:t>НМЦ</w:t>
      </w:r>
      <w:r>
        <w:rPr>
          <w:sz w:val="20"/>
          <w:szCs w:val="20"/>
        </w:rPr>
        <w:t xml:space="preserve"> – начальная (максимальная) цена договора.</w:t>
      </w:r>
    </w:p>
    <w:p>
      <w:pPr>
        <w:pStyle w:val="Style25"/>
        <w:ind w:firstLine="567"/>
        <w:rPr>
          <w:sz w:val="20"/>
          <w:szCs w:val="20"/>
        </w:rPr>
      </w:pPr>
      <w:r>
        <w:rPr>
          <w:b/>
          <w:bCs/>
          <w:sz w:val="20"/>
          <w:szCs w:val="20"/>
        </w:rPr>
        <w:t>Оператор ЭП</w:t>
      </w:r>
      <w:r>
        <w:rPr>
          <w:sz w:val="20"/>
          <w:szCs w:val="20"/>
        </w:rPr>
        <w:t xml:space="preserve"> – оператор электронной площадки.</w:t>
      </w:r>
    </w:p>
    <w:p>
      <w:pPr>
        <w:pStyle w:val="Style25"/>
        <w:ind w:firstLine="567"/>
        <w:rPr>
          <w:sz w:val="20"/>
          <w:szCs w:val="20"/>
        </w:rPr>
      </w:pPr>
      <w:r>
        <w:rPr>
          <w:b/>
          <w:bCs/>
          <w:sz w:val="20"/>
          <w:szCs w:val="20"/>
        </w:rPr>
        <w:t>Официальный сайт</w:t>
      </w:r>
      <w:r>
        <w:rPr>
          <w:sz w:val="20"/>
          <w:szCs w:val="20"/>
        </w:rPr>
        <w:t xml:space="preserve"> – официальный сайт Единой информационной системы в сфере закупок, расположенный в сети Интернет по </w:t>
      </w:r>
      <w:r>
        <w:rPr>
          <w:sz w:val="20"/>
          <w:szCs w:val="20"/>
          <w:lang w:val="en-US"/>
        </w:rPr>
        <w:t>URL</w:t>
      </w:r>
      <w:r>
        <w:rPr>
          <w:sz w:val="20"/>
          <w:szCs w:val="20"/>
        </w:rPr>
        <w:t>-адресу https://zakupki.gov.ru/.</w:t>
      </w:r>
    </w:p>
    <w:p>
      <w:pPr>
        <w:pStyle w:val="Style25"/>
        <w:ind w:firstLine="567"/>
        <w:rPr>
          <w:sz w:val="20"/>
          <w:szCs w:val="20"/>
        </w:rPr>
      </w:pPr>
      <w:r>
        <w:rPr>
          <w:b/>
          <w:bCs/>
          <w:sz w:val="20"/>
          <w:szCs w:val="20"/>
        </w:rPr>
        <w:t>Положение о закупке</w:t>
      </w:r>
      <w:r>
        <w:rPr>
          <w:sz w:val="20"/>
          <w:szCs w:val="20"/>
        </w:rPr>
        <w:t xml:space="preserve"> – Единое Положение о закупке продукции для нужд Группы РусГидро.</w:t>
      </w:r>
    </w:p>
    <w:p>
      <w:pPr>
        <w:pStyle w:val="Style25"/>
        <w:ind w:firstLine="567"/>
        <w:rPr>
          <w:sz w:val="20"/>
          <w:szCs w:val="20"/>
        </w:rPr>
      </w:pPr>
      <w:r>
        <w:rPr>
          <w:b/>
          <w:bCs/>
          <w:sz w:val="20"/>
          <w:szCs w:val="20"/>
        </w:rPr>
        <w:t>Положение об аккредитации</w:t>
      </w:r>
      <w:r>
        <w:rPr>
          <w:sz w:val="20"/>
          <w:szCs w:val="20"/>
        </w:rPr>
        <w:t xml:space="preserve"> – Единое Положение об аккредитации поставщиков продукции в Группе РусГидро, размещенное на Официальном сайте (в составе Положения о закупке).</w:t>
      </w:r>
    </w:p>
    <w:p>
      <w:pPr>
        <w:pStyle w:val="Style25"/>
        <w:ind w:firstLine="567"/>
        <w:rPr>
          <w:sz w:val="20"/>
          <w:szCs w:val="20"/>
        </w:rPr>
      </w:pPr>
      <w:r>
        <w:rPr>
          <w:b/>
          <w:bCs/>
          <w:sz w:val="20"/>
          <w:szCs w:val="20"/>
        </w:rPr>
        <w:t>ПП 395</w:t>
      </w:r>
      <w:r>
        <w:rPr>
          <w:sz w:val="20"/>
          <w:szCs w:val="20"/>
        </w:rPr>
        <w:t xml:space="preserve"> – постановление Правительства Российской Федерации от 18.03.2022 № 395 «Об особенностях доступа к информации, содержащейся в государственном информационном ресурсе бухгалтерской (финансовой) отчетности, и раскрытия консолидированной финансовой отчетности в 2022 году».</w:t>
      </w:r>
    </w:p>
    <w:p>
      <w:pPr>
        <w:pStyle w:val="Style25"/>
        <w:ind w:firstLine="567"/>
        <w:rPr>
          <w:sz w:val="20"/>
          <w:szCs w:val="20"/>
        </w:rPr>
      </w:pPr>
      <w:r>
        <w:rPr>
          <w:b/>
          <w:bCs/>
          <w:sz w:val="20"/>
          <w:szCs w:val="20"/>
        </w:rPr>
        <w:t>ПП 1352</w:t>
      </w:r>
      <w:r>
        <w:rPr>
          <w:sz w:val="20"/>
          <w:szCs w:val="20"/>
        </w:rPr>
        <w:t xml:space="preserve"> – постановление Правительства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pPr>
        <w:pStyle w:val="Style25"/>
        <w:ind w:firstLine="567"/>
        <w:rPr>
          <w:sz w:val="20"/>
          <w:szCs w:val="20"/>
        </w:rPr>
      </w:pPr>
      <w:r>
        <w:rPr>
          <w:b/>
          <w:bCs/>
          <w:sz w:val="20"/>
          <w:szCs w:val="20"/>
        </w:rPr>
        <w:t>ПП 1875</w:t>
      </w:r>
      <w:r>
        <w:rPr>
          <w:sz w:val="20"/>
          <w:szCs w:val="20"/>
        </w:rPr>
        <w:t xml:space="preserve"> – постановление Правительства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pPr>
        <w:pStyle w:val="Style25"/>
        <w:ind w:firstLine="567"/>
        <w:rPr>
          <w:sz w:val="20"/>
          <w:szCs w:val="20"/>
        </w:rPr>
      </w:pPr>
      <w:r>
        <w:rPr>
          <w:b/>
          <w:bCs/>
          <w:sz w:val="20"/>
          <w:szCs w:val="20"/>
        </w:rPr>
        <w:t>Реестр МСП</w:t>
      </w:r>
      <w:r>
        <w:rPr>
          <w:sz w:val="20"/>
          <w:szCs w:val="20"/>
        </w:rPr>
        <w:t xml:space="preserve"> – единый реестр субъектов малого и среднего предпринимательства, ведение которого осуществляется в соответствии с Законом 209-ФЗ.</w:t>
      </w:r>
    </w:p>
    <w:p>
      <w:pPr>
        <w:pStyle w:val="Style25"/>
        <w:ind w:firstLine="567"/>
        <w:rPr>
          <w:sz w:val="20"/>
          <w:szCs w:val="20"/>
        </w:rPr>
      </w:pPr>
      <w:r>
        <w:rPr>
          <w:b/>
          <w:bCs/>
          <w:sz w:val="20"/>
          <w:szCs w:val="20"/>
        </w:rPr>
        <w:t>Стороны</w:t>
      </w:r>
      <w:r>
        <w:rPr>
          <w:sz w:val="20"/>
          <w:szCs w:val="20"/>
        </w:rPr>
        <w:t xml:space="preserve"> – Организатор, Заказчик и Участники, являющиеся сторонами данной закупки (при совместном упоминании).</w:t>
      </w:r>
    </w:p>
    <w:p>
      <w:pPr>
        <w:pStyle w:val="Style25"/>
        <w:ind w:firstLine="567"/>
        <w:rPr>
          <w:sz w:val="20"/>
          <w:szCs w:val="20"/>
        </w:rPr>
      </w:pPr>
      <w:r>
        <w:rPr>
          <w:b/>
          <w:bCs/>
          <w:sz w:val="20"/>
          <w:szCs w:val="20"/>
        </w:rPr>
        <w:t>Субъект МСП</w:t>
      </w:r>
      <w:r>
        <w:rPr>
          <w:sz w:val="20"/>
          <w:szCs w:val="20"/>
        </w:rPr>
        <w:t xml:space="preserve"> – субъект малого и среднего предпринимательства.</w:t>
      </w:r>
    </w:p>
    <w:p>
      <w:pPr>
        <w:pStyle w:val="Style25"/>
        <w:ind w:firstLine="567"/>
        <w:rPr>
          <w:sz w:val="20"/>
          <w:szCs w:val="20"/>
        </w:rPr>
      </w:pPr>
      <w:r>
        <w:rPr>
          <w:b/>
          <w:bCs/>
          <w:sz w:val="20"/>
          <w:szCs w:val="20"/>
        </w:rPr>
        <w:t>ЭП</w:t>
      </w:r>
      <w:r>
        <w:rPr>
          <w:sz w:val="20"/>
          <w:szCs w:val="20"/>
        </w:rPr>
        <w:t xml:space="preserve"> – электронная площадка.</w:t>
      </w:r>
    </w:p>
    <w:p>
      <w:pPr>
        <w:pStyle w:val="Style24"/>
        <w:numPr>
          <w:ilvl w:val="0"/>
          <w:numId w:val="0"/>
        </w:numPr>
        <w:ind w:left="0" w:hanging="0"/>
        <w:outlineLvl w:val="0"/>
        <w:rPr/>
      </w:pPr>
      <w:bookmarkStart w:id="1" w:name="_Toc188946908"/>
      <w:r>
        <w:rPr/>
        <w:t>Термины и определения</w:t>
      </w:r>
      <w:bookmarkEnd w:id="1"/>
    </w:p>
    <w:p>
      <w:pPr>
        <w:pStyle w:val="Style25"/>
        <w:ind w:firstLine="567"/>
        <w:rPr>
          <w:sz w:val="22"/>
        </w:rPr>
      </w:pPr>
      <w:r>
        <w:rPr>
          <w:b/>
          <w:bCs/>
          <w:sz w:val="22"/>
        </w:rPr>
        <w:t>Аккредитация</w:t>
      </w:r>
      <w:r>
        <w:rPr>
          <w:sz w:val="22"/>
        </w:rP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РусГидро. Аккредитация проводится с целью защиты интересов Заказчика от действий недобросовестных лиц и неблагонадежных поставщиков продукции при проведении закупочных процедур и выборе Победителя и является проявлением коммерческой осмотрительности Заказчика при заключении договора (-ов) по результатам закупки. Порядок проведения данной процедуры представлен в Положении об аккредитации.</w:t>
      </w:r>
    </w:p>
    <w:p>
      <w:pPr>
        <w:pStyle w:val="Style25"/>
        <w:ind w:firstLine="567"/>
        <w:rPr>
          <w:sz w:val="22"/>
        </w:rPr>
      </w:pPr>
      <w:r>
        <w:rPr>
          <w:b/>
          <w:bCs/>
          <w:sz w:val="22"/>
        </w:rPr>
        <w:t>Актуализация статуса (аккредитации)</w:t>
      </w:r>
      <w:r>
        <w:rPr>
          <w:sz w:val="22"/>
        </w:rPr>
        <w:t xml:space="preserve"> – процедура повторной проверки определенного (конкретного)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с продлением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25"/>
        <w:ind w:firstLine="567"/>
        <w:rPr>
          <w:sz w:val="22"/>
        </w:rPr>
      </w:pPr>
      <w:r>
        <w:rPr>
          <w:b/>
          <w:bCs/>
          <w:sz w:val="22"/>
        </w:rPr>
        <w:t>Вторая часть заявки</w:t>
      </w:r>
      <w:r>
        <w:rPr>
          <w:sz w:val="22"/>
        </w:rPr>
        <w:t xml:space="preserve"> – комплект документов, входящих в состав заявки и содержащих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 без указания сведений о ценовом предложении Участника).</w:t>
      </w:r>
    </w:p>
    <w:p>
      <w:pPr>
        <w:pStyle w:val="Style25"/>
        <w:ind w:firstLine="567"/>
        <w:rPr>
          <w:sz w:val="22"/>
        </w:rPr>
      </w:pPr>
      <w:r>
        <w:rPr>
          <w:b/>
          <w:bCs/>
          <w:sz w:val="22"/>
        </w:rPr>
        <w:t>Генеральный подрядчик</w:t>
      </w:r>
      <w:r>
        <w:rPr>
          <w:sz w:val="22"/>
        </w:rPr>
        <w:t xml:space="preserve"> – подрядчик, привлекающий к 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также генеральный исполнитель и соисполнители, генеральный поставщик и субпоставщики, в зависимости от предмета закупки.</w:t>
      </w:r>
    </w:p>
    <w:p>
      <w:pPr>
        <w:pStyle w:val="Style25"/>
        <w:ind w:firstLine="567"/>
        <w:rPr>
          <w:sz w:val="22"/>
        </w:rPr>
      </w:pPr>
      <w:r>
        <w:rPr>
          <w:b/>
          <w:bCs/>
          <w:sz w:val="22"/>
        </w:rPr>
        <w:t>Документация о закупке</w:t>
      </w:r>
      <w:r>
        <w:rPr>
          <w:sz w:val="22"/>
        </w:rPr>
        <w:t xml:space="preserve"> – комплект документов, содержащий всю необходимую согласно законодательству информацию о закупке и условиях ее проведения.</w:t>
      </w:r>
    </w:p>
    <w:p>
      <w:pPr>
        <w:pStyle w:val="Style25"/>
        <w:ind w:firstLine="567"/>
        <w:rPr>
          <w:sz w:val="22"/>
        </w:rPr>
      </w:pPr>
      <w:r>
        <w:rPr>
          <w:b/>
          <w:bCs/>
          <w:sz w:val="22"/>
        </w:rPr>
        <w:t>Единая информационная система в сфере закупок</w:t>
      </w:r>
      <w:r>
        <w:rPr>
          <w:sz w:val="22"/>
        </w:rP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в установленном законодательством порядке с использованием сети Интернет посредствам Официального сайта Единой информационной системы в сфере закупок.</w:t>
      </w:r>
    </w:p>
    <w:p>
      <w:pPr>
        <w:pStyle w:val="Style25"/>
        <w:ind w:firstLine="567"/>
        <w:rPr>
          <w:sz w:val="22"/>
        </w:rPr>
      </w:pPr>
      <w:r>
        <w:rPr>
          <w:b/>
          <w:bCs/>
          <w:sz w:val="22"/>
        </w:rPr>
        <w:t>Единый реестр субъектов малого и среднего предпринимательства</w:t>
      </w:r>
      <w:r>
        <w:rPr>
          <w:sz w:val="22"/>
        </w:rPr>
        <w:t xml:space="preserve"> – реестр, являющийся официальным источником сведений о юридических лицах и об 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pPr>
        <w:pStyle w:val="Style25"/>
        <w:ind w:firstLine="567"/>
        <w:rPr>
          <w:sz w:val="22"/>
        </w:rPr>
      </w:pPr>
      <w:r>
        <w:rPr>
          <w:b/>
          <w:bCs/>
          <w:sz w:val="22"/>
        </w:rPr>
        <w:t>Заказчик</w:t>
      </w:r>
      <w:r>
        <w:rPr>
          <w:sz w:val="22"/>
        </w:rPr>
        <w:t xml:space="preserve"> – юридическое лицо, в интересах и за счет средств, которого осуществляется закупка.</w:t>
      </w:r>
    </w:p>
    <w:p>
      <w:pPr>
        <w:pStyle w:val="Style25"/>
        <w:ind w:firstLine="567"/>
        <w:rPr>
          <w:sz w:val="22"/>
        </w:rPr>
      </w:pPr>
      <w:r>
        <w:rPr>
          <w:b/>
          <w:bCs/>
          <w:sz w:val="22"/>
        </w:rPr>
        <w:t>Закупка</w:t>
      </w:r>
      <w:r>
        <w:rPr>
          <w:sz w:val="22"/>
        </w:rPr>
        <w:t xml:space="preserve"> – последовательность действий, осуществляемая в соответствии с требованиями законодательства, Положением о закупке, иными локальными нормативными документами (актами) Заказчика, а для конкурентной закупки (и неконкурентной, проводимой способом состязательный отбор) дополнительно – правилами, установленными Извещением и Документацией о закупке, в результате которой производится выбор поставщика с целью заключения договора на приобретение продукции.</w:t>
      </w:r>
    </w:p>
    <w:p>
      <w:pPr>
        <w:pStyle w:val="Style25"/>
        <w:ind w:firstLine="567"/>
        <w:rPr>
          <w:sz w:val="22"/>
        </w:rPr>
      </w:pPr>
      <w:r>
        <w:rPr>
          <w:b/>
          <w:bCs/>
          <w:sz w:val="22"/>
        </w:rPr>
        <w:t>Закупочная комиссия</w:t>
      </w:r>
      <w:r>
        <w:rPr>
          <w:sz w:val="22"/>
        </w:rPr>
        <w:t xml:space="preserve"> – коллегиальный орган, принимающий решения о ходе проведения соответствующей закупки (в том числе по выбору ее победителя).</w:t>
      </w:r>
    </w:p>
    <w:p>
      <w:pPr>
        <w:pStyle w:val="Style25"/>
        <w:ind w:firstLine="567"/>
        <w:rPr>
          <w:sz w:val="22"/>
        </w:rPr>
      </w:pPr>
      <w:r>
        <w:rPr>
          <w:b/>
          <w:bCs/>
          <w:sz w:val="22"/>
        </w:rPr>
        <w:t>Заявка (заявка на участие в закупке)</w:t>
      </w:r>
      <w:r>
        <w:rPr>
          <w:sz w:val="22"/>
        </w:rPr>
        <w:t xml:space="preserve"> – 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 конкурентных закупок – в Извещении и (или) Документацией о закупке.</w:t>
      </w:r>
    </w:p>
    <w:p>
      <w:pPr>
        <w:pStyle w:val="Style25"/>
        <w:ind w:firstLine="567"/>
        <w:rPr>
          <w:sz w:val="22"/>
        </w:rPr>
      </w:pPr>
      <w:r>
        <w:rPr>
          <w:b/>
          <w:bCs/>
          <w:sz w:val="22"/>
        </w:rPr>
        <w:t>Заявка на аккредитацию</w:t>
      </w:r>
      <w:r>
        <w:rPr>
          <w:sz w:val="22"/>
        </w:rPr>
        <w:t xml:space="preserve"> – сведения, которые Заявитель предоставляет в установленном Положением об аккредитации порядке для прохождения аккредитации.</w:t>
      </w:r>
    </w:p>
    <w:p>
      <w:pPr>
        <w:pStyle w:val="Style25"/>
        <w:ind w:firstLine="567"/>
        <w:rPr>
          <w:sz w:val="22"/>
        </w:rPr>
      </w:pPr>
      <w:r>
        <w:rPr>
          <w:b/>
          <w:bCs/>
          <w:sz w:val="22"/>
        </w:rPr>
        <w:t>Извещение о закупке (Извещение)</w:t>
      </w:r>
      <w:r>
        <w:rPr>
          <w:sz w:val="22"/>
        </w:rPr>
        <w:t xml:space="preserve"> – документ, предназначенный для потенциальных Участников, публикация (размещение) которого означает официальное объявление о начале закупки (информация в объеме, определенном частью 9 статьи 4 Закона 223-ФЗ и Положением о закупке); под данным документом и соответственно его размещением также подразумевается заполнение и создание на Официальном сайте (ЕИС) и (или) ЭП соответствующей страницы на указанных ресурсах с информацией об объявленной закупке.</w:t>
      </w:r>
    </w:p>
    <w:p>
      <w:pPr>
        <w:pStyle w:val="Style25"/>
        <w:ind w:firstLine="567"/>
        <w:rPr>
          <w:sz w:val="22"/>
        </w:rPr>
      </w:pPr>
      <w:r>
        <w:rPr>
          <w:b/>
          <w:bCs/>
          <w:sz w:val="22"/>
        </w:rPr>
        <w:t>Интеллектуальные системы управления электросетевым хозяйством</w:t>
      </w:r>
      <w:r>
        <w:rPr>
          <w:sz w:val="22"/>
        </w:rP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pPr>
        <w:pStyle w:val="Style25"/>
        <w:ind w:firstLine="567"/>
        <w:rPr>
          <w:sz w:val="22"/>
        </w:rPr>
      </w:pPr>
      <w:r>
        <w:rPr>
          <w:b/>
          <w:bCs/>
          <w:sz w:val="22"/>
        </w:rPr>
        <w:t>Коллективный участник</w:t>
      </w:r>
      <w:r>
        <w:rPr>
          <w:sz w:val="22"/>
        </w:rPr>
        <w:t xml:space="preserve"> – объединение юридических и (или) физических лиц, в том числе индивидуальных предпринимателей, выступающих на стороне одного Участника и несущих солидарную ответственность по обязательствам, вытекающим из участия в закупке и дальнейшего заключения и исполнения договора.</w:t>
      </w:r>
    </w:p>
    <w:p>
      <w:pPr>
        <w:pStyle w:val="Style25"/>
        <w:ind w:firstLine="567"/>
        <w:rPr>
          <w:sz w:val="22"/>
        </w:rPr>
      </w:pPr>
      <w:r>
        <w:rPr>
          <w:b/>
          <w:bCs/>
          <w:sz w:val="22"/>
        </w:rPr>
        <w:t>Лот</w:t>
      </w:r>
      <w:r>
        <w:rPr>
          <w:sz w:val="22"/>
        </w:rPr>
        <w:t xml:space="preserve"> – продукция, на которую в рамках закупки допускаются подача отдельного предложения и заключение отдельного договора.</w:t>
      </w:r>
    </w:p>
    <w:p>
      <w:pPr>
        <w:pStyle w:val="Style25"/>
        <w:ind w:firstLine="567"/>
        <w:rPr>
          <w:sz w:val="22"/>
        </w:rPr>
      </w:pPr>
      <w:r>
        <w:rPr>
          <w:b/>
          <w:bCs/>
          <w:sz w:val="22"/>
        </w:rPr>
        <w:t>Мониторинг аккредитованных поставщиков</w:t>
      </w:r>
      <w:r>
        <w:rPr>
          <w:sz w:val="22"/>
        </w:rPr>
        <w:t xml:space="preserve"> – процедура выборочной повторной проверки любого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без продления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25"/>
        <w:ind w:firstLine="567"/>
        <w:rPr>
          <w:sz w:val="22"/>
        </w:rPr>
      </w:pPr>
      <w:r>
        <w:rPr>
          <w:b/>
          <w:bCs/>
          <w:sz w:val="22"/>
        </w:rPr>
        <w:t>Начальная (максимальная) цена договора</w:t>
      </w:r>
      <w:r>
        <w:rPr>
          <w:sz w:val="22"/>
        </w:rPr>
        <w:t xml:space="preserve"> – 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pPr>
        <w:pStyle w:val="Style25"/>
        <w:ind w:firstLine="567"/>
        <w:rPr>
          <w:sz w:val="22"/>
        </w:rPr>
      </w:pPr>
      <w:r>
        <w:rPr>
          <w:b/>
          <w:bCs/>
          <w:sz w:val="22"/>
        </w:rPr>
        <w:t>Оператор электронной площадки</w:t>
      </w:r>
      <w:r>
        <w:rPr>
          <w:sz w:val="22"/>
        </w:rPr>
        <w:t xml:space="preserve"> – 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pPr>
        <w:pStyle w:val="Style25"/>
        <w:ind w:firstLine="567"/>
        <w:rPr>
          <w:sz w:val="22"/>
        </w:rPr>
      </w:pPr>
      <w:r>
        <w:rPr>
          <w:b/>
          <w:bCs/>
          <w:sz w:val="22"/>
        </w:rPr>
        <w:t>Организатор</w:t>
      </w:r>
      <w:r>
        <w:rPr>
          <w:sz w:val="22"/>
        </w:rPr>
        <w:t xml:space="preserve"> – Заказчик или действующее по договору с ним юридическое лицо, выступающее Сторонним организатором закупки.</w:t>
      </w:r>
    </w:p>
    <w:p>
      <w:pPr>
        <w:pStyle w:val="Style25"/>
        <w:ind w:firstLine="567"/>
        <w:rPr>
          <w:sz w:val="22"/>
        </w:rPr>
      </w:pPr>
      <w:r>
        <w:rPr>
          <w:b/>
          <w:bCs/>
          <w:sz w:val="22"/>
        </w:rPr>
        <w:t>Официальное размещение</w:t>
      </w:r>
      <w:r>
        <w:rPr>
          <w:sz w:val="22"/>
        </w:rPr>
        <w:t xml:space="preserve"> – размещение информации о закупке в ЕИС, на Официальном сайте </w:t>
      </w:r>
      <w:bookmarkStart w:id="2" w:name="_Hlk149048701"/>
      <w:r>
        <w:rPr>
          <w:sz w:val="22"/>
        </w:rPr>
        <w:t>(с размещением копий на ЭП)</w:t>
      </w:r>
      <w:bookmarkEnd w:id="2"/>
      <w:r>
        <w:rPr>
          <w:sz w:val="22"/>
        </w:rPr>
        <w:t>. Если окончание срока размещения приходится на нерабочий день согласно законодательству, сведения размещаются в первый рабочий день, следующий за нерабочими днями.</w:t>
      </w:r>
    </w:p>
    <w:p>
      <w:pPr>
        <w:pStyle w:val="Style25"/>
        <w:ind w:firstLine="567"/>
        <w:rPr>
          <w:sz w:val="22"/>
        </w:rPr>
      </w:pPr>
      <w:r>
        <w:rPr>
          <w:b/>
          <w:bCs/>
          <w:sz w:val="22"/>
        </w:rPr>
        <w:t>Первая часть заявки</w:t>
      </w:r>
      <w:r>
        <w:rPr>
          <w:sz w:val="22"/>
        </w:rPr>
        <w:t xml:space="preserve"> – комплект документов, входящих в состав заявки и содержащих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25"/>
        <w:ind w:firstLine="567"/>
        <w:rPr>
          <w:sz w:val="22"/>
        </w:rPr>
      </w:pPr>
      <w:r>
        <w:rPr>
          <w:b/>
          <w:bCs/>
          <w:sz w:val="22"/>
        </w:rPr>
        <w:t>Победитель</w:t>
      </w:r>
      <w:r>
        <w:rPr>
          <w:sz w:val="22"/>
        </w:rPr>
        <w:t xml:space="preserve"> – Участник, заявка которого соответствует требованиям Документации о закупке и который предложил наиболее низкую стоимость заявки (цену Договора)</w:t>
      </w:r>
      <w:r>
        <w:rPr>
          <w:rStyle w:val="FootnoteReference"/>
          <w:sz w:val="22"/>
        </w:rPr>
        <w:footnoteReference w:id="2"/>
      </w:r>
      <w:r>
        <w:rPr>
          <w:sz w:val="22"/>
        </w:rPr>
        <w:t>. В случае признания закупки несостоявшейся Единственный участник такой закупки, с которым Заказчик принял решение заключить договор по результатам закупки, в оговоренных Положением о закупке случаях приобретает обязательства Победителя по заключению договора.</w:t>
      </w:r>
    </w:p>
    <w:p>
      <w:pPr>
        <w:pStyle w:val="Style25"/>
        <w:ind w:firstLine="567"/>
        <w:rPr>
          <w:sz w:val="22"/>
        </w:rPr>
      </w:pPr>
      <w:r>
        <w:rPr>
          <w:b/>
          <w:bCs/>
          <w:sz w:val="22"/>
        </w:rPr>
        <w:t>Поставщик</w:t>
      </w:r>
      <w:r>
        <w:rPr>
          <w:sz w:val="22"/>
        </w:rP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pPr>
        <w:pStyle w:val="Style25"/>
        <w:ind w:firstLine="567"/>
        <w:rPr>
          <w:sz w:val="22"/>
        </w:rPr>
      </w:pPr>
      <w:r>
        <w:rPr>
          <w:b/>
          <w:bCs/>
          <w:sz w:val="22"/>
        </w:rPr>
        <w:t>Предмет закупки / предмет договора</w:t>
      </w:r>
      <w:r>
        <w:rPr>
          <w:sz w:val="22"/>
        </w:rPr>
        <w:t xml:space="preserve"> – конкретная продукция, которую предполагается закупить в объеме и на условиях, определенных Заказчиком.</w:t>
      </w:r>
    </w:p>
    <w:p>
      <w:pPr>
        <w:pStyle w:val="Style25"/>
        <w:ind w:firstLine="567"/>
        <w:rPr>
          <w:sz w:val="22"/>
        </w:rPr>
      </w:pPr>
      <w:r>
        <w:rPr>
          <w:b/>
          <w:bCs/>
          <w:sz w:val="22"/>
        </w:rPr>
        <w:t>Преференция</w:t>
      </w:r>
      <w:r>
        <w:rPr>
          <w:sz w:val="22"/>
        </w:rPr>
        <w:t xml:space="preserve"> – преимущество, которое Заказчик предоставляет определенным группам поставщиков при проведении закупок в соответствии с Единым Положением о закупке продукции для нужд Группы РусГидро.</w:t>
      </w:r>
    </w:p>
    <w:p>
      <w:pPr>
        <w:pStyle w:val="Style25"/>
        <w:ind w:firstLine="567"/>
        <w:rPr>
          <w:sz w:val="22"/>
        </w:rPr>
      </w:pPr>
      <w:r>
        <w:rPr>
          <w:b/>
          <w:bCs/>
          <w:sz w:val="22"/>
        </w:rPr>
        <w:t>Применение законодательства о национальном режиме</w:t>
      </w:r>
      <w:r>
        <w:rPr>
          <w:sz w:val="22"/>
        </w:rPr>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в соответствии с нормами, установленными законодательством.</w:t>
      </w:r>
    </w:p>
    <w:p>
      <w:pPr>
        <w:pStyle w:val="Style25"/>
        <w:ind w:firstLine="567"/>
        <w:rPr>
          <w:sz w:val="22"/>
        </w:rPr>
      </w:pPr>
      <w:r>
        <w:rPr>
          <w:b/>
          <w:bCs/>
          <w:sz w:val="22"/>
        </w:rPr>
        <w:t>Программное обеспечение</w:t>
      </w:r>
      <w:r>
        <w:rPr>
          <w:sz w:val="22"/>
        </w:rPr>
        <w:t xml:space="preserve"> – программное обеспечение, включенное в единый реестр Минцифры России 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pPr>
        <w:pStyle w:val="Style25"/>
        <w:ind w:firstLine="567"/>
        <w:rPr>
          <w:sz w:val="22"/>
        </w:rPr>
      </w:pPr>
      <w:r>
        <w:rPr>
          <w:b/>
          <w:bCs/>
          <w:sz w:val="22"/>
        </w:rPr>
        <w:t>Продукция</w:t>
      </w:r>
      <w:r>
        <w:rPr>
          <w:sz w:val="22"/>
        </w:rPr>
        <w:t xml:space="preserve"> – 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p>
    <w:p>
      <w:pPr>
        <w:pStyle w:val="Style25"/>
        <w:ind w:firstLine="567"/>
        <w:rPr>
          <w:sz w:val="22"/>
        </w:rPr>
      </w:pPr>
      <w:r>
        <w:rPr>
          <w:b/>
          <w:bCs/>
          <w:sz w:val="22"/>
        </w:rPr>
        <w:t>Реестр аккредитации</w:t>
      </w:r>
      <w:r>
        <w:rPr>
          <w:sz w:val="22"/>
        </w:rPr>
        <w:t xml:space="preserve"> – перечень лиц – Заявителей, подававших Заявки на аккредитацию с указанием в отношении них результатов процедуры аккредитации.</w:t>
      </w:r>
    </w:p>
    <w:p>
      <w:pPr>
        <w:pStyle w:val="Style25"/>
        <w:ind w:firstLine="567"/>
        <w:rPr>
          <w:sz w:val="22"/>
        </w:rPr>
      </w:pPr>
      <w:r>
        <w:rPr>
          <w:b/>
          <w:bCs/>
          <w:sz w:val="22"/>
        </w:rPr>
        <w:t>Субъект малого и среднего предпринимательства</w:t>
      </w:r>
      <w:r>
        <w:rPr>
          <w:sz w:val="22"/>
        </w:rPr>
        <w:t xml:space="preserve"> – определяется в соответствии с Законом 209-ФЗ. Все условия и требования данной Документации о закупке, относящиеся к субъектам МСП, распространяются также на физических лиц, не являющихся индивидуальными предпринимателями и применяющих специальный налоговый режим «Налог на профессиональный доход»</w:t>
      </w:r>
      <w:r>
        <w:rPr>
          <w:rStyle w:val="FootnoteReference"/>
          <w:sz w:val="22"/>
        </w:rPr>
        <w:footnoteReference w:id="3"/>
      </w:r>
      <w:r>
        <w:rPr>
          <w:sz w:val="22"/>
        </w:rPr>
        <w:t>, если иное не установлено в Документации о закупке.</w:t>
      </w:r>
    </w:p>
    <w:p>
      <w:pPr>
        <w:pStyle w:val="Style25"/>
        <w:ind w:firstLine="567"/>
        <w:rPr>
          <w:sz w:val="22"/>
        </w:rPr>
      </w:pPr>
      <w:r>
        <w:rPr>
          <w:b/>
          <w:bCs/>
          <w:sz w:val="22"/>
        </w:rPr>
        <w:t>Уполномоченное лицо</w:t>
      </w:r>
      <w:r>
        <w:rPr>
          <w:sz w:val="22"/>
        </w:rP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 от имени организации, полномочия которых подтверждены соответствующими документами.</w:t>
      </w:r>
    </w:p>
    <w:p>
      <w:pPr>
        <w:pStyle w:val="Style25"/>
        <w:ind w:firstLine="567"/>
        <w:rPr>
          <w:sz w:val="22"/>
        </w:rPr>
      </w:pPr>
      <w:r>
        <w:rPr>
          <w:b/>
          <w:bCs/>
          <w:sz w:val="22"/>
        </w:rPr>
        <w:t>Участник</w:t>
      </w:r>
      <w:r>
        <w:rPr>
          <w:sz w:val="22"/>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Законом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255-ФЗ), выразившее заинтересованность в участии в закупке (посредством получения Документации о закупке, направления запроса о разъяснении Документации о закупке, внесения обеспечения заявки или подачи заявки на участие в закупке).</w:t>
      </w:r>
    </w:p>
    <w:p>
      <w:pPr>
        <w:pStyle w:val="Style25"/>
        <w:ind w:firstLine="567"/>
        <w:rPr>
          <w:sz w:val="22"/>
        </w:rPr>
      </w:pPr>
      <w:r>
        <w:rPr>
          <w:b/>
          <w:bCs/>
          <w:sz w:val="22"/>
        </w:rPr>
        <w:t>Ценовое предложение</w:t>
      </w:r>
      <w:r>
        <w:rPr>
          <w:sz w:val="22"/>
        </w:rPr>
        <w:t xml:space="preserve"> – комплект документов, не входящих в состав заявки, но подаваемых в течение 1 (одного) рабочего дня после завершения процедуры аукциона и содержащих предложение Участника о цене Договора и (или) каждой единицы продукции, являющейся предметом Договора, и (или) формулу расчета цены Договора и (или) расходы на эксплуатацию и ремонт товаров, использование результатов работ / услуг и (или) любые иные сведения / документы, требуемые в соответствии с Документацией о закупке и содержащие информацию о ценовых параметрах предложения Участника, в соответствии с заявленной им в ходе аукциона стоимости заявки (ценой Договора).</w:t>
      </w:r>
    </w:p>
    <w:p>
      <w:pPr>
        <w:pStyle w:val="Style19"/>
        <w:rPr/>
      </w:pPr>
      <w:bookmarkStart w:id="3" w:name="_Ref125359988"/>
      <w:bookmarkStart w:id="4" w:name="_Toc188946909"/>
      <w:r>
        <w:rPr/>
        <w:t>Основные сведения о закупке</w:t>
      </w:r>
      <w:bookmarkEnd w:id="3"/>
      <w:bookmarkEnd w:id="4"/>
    </w:p>
    <w:p>
      <w:pPr>
        <w:pStyle w:val="Style20"/>
        <w:rPr/>
      </w:pPr>
      <w:bookmarkStart w:id="5" w:name="_Toc188946910"/>
      <w:r>
        <w:rPr/>
        <w:t>Статус настоящего раздела</w:t>
      </w:r>
      <w:bookmarkEnd w:id="5"/>
    </w:p>
    <w:p>
      <w:pPr>
        <w:pStyle w:val="Style21"/>
        <w:rPr/>
      </w:pPr>
      <w:r>
        <w:rPr/>
        <w:t>В настоящем разделе содержатся основные сведения о предмете, способе и иных ключевых условиях проводимой закупки.</w:t>
      </w:r>
    </w:p>
    <w:p>
      <w:pPr>
        <w:pStyle w:val="Style21"/>
        <w:rPr/>
      </w:pPr>
      <w:r>
        <w:rPr/>
        <w:t xml:space="preserve">Здесь и далее все используемые ссылки относятся к соответствующим пунктам, разделам и подразделам Документации о закупке, если прямо не указано иное; ссылки на приложения относятся к соответствующим приложениям к Документации о закупке, если прямо не указано иное. Ссылки на статьи, пункты и разделы, используемые в </w:t>
      </w:r>
      <w:hyperlink w:anchor="Прил01_ТехТребования">
        <w:r>
          <w:rPr>
            <w:rStyle w:val="Style11"/>
          </w:rPr>
          <w:t>Технических требованиях (Приложение № 1)</w:t>
        </w:r>
      </w:hyperlink>
      <w:r>
        <w:rPr>
          <w:rStyle w:val="Style11"/>
        </w:rPr>
        <w:t>,</w:t>
      </w:r>
      <w:r>
        <w:rPr/>
        <w:t xml:space="preserve"> в </w:t>
      </w:r>
      <w:hyperlink w:anchor="Прил02_ПроектДоговора">
        <w:r>
          <w:rPr>
            <w:rStyle w:val="Style11"/>
          </w:rPr>
          <w:t>Проекте договора (Приложение № 2)</w:t>
        </w:r>
      </w:hyperlink>
      <w:r>
        <w:rPr/>
        <w:t xml:space="preserve"> и иных приложениях к Документации о закупке, относятся соответственно к статьям, пунктам и разделам этих приложений к Документации о закупке. Все приложения к Документации о закупке являются ее неотъемлемыми частями.</w:t>
      </w:r>
    </w:p>
    <w:p>
      <w:pPr>
        <w:pStyle w:val="Style21"/>
        <w:rPr/>
      </w:pPr>
      <w:r>
        <w:rPr/>
        <w:t>Информация о проводимой закупке, указанная в подразделе </w:t>
      </w:r>
      <w:r>
        <w:rPr/>
        <w:fldChar w:fldCharType="begin"/>
      </w:r>
      <w:r>
        <w:rPr/>
        <w:instrText xml:space="preserve"> REF _Ref125359973 \r \h </w:instrText>
      </w:r>
      <w:r>
        <w:rPr/>
        <w:fldChar w:fldCharType="separate"/>
      </w:r>
      <w:r>
        <w:rPr/>
        <w:t>1.2</w:t>
      </w:r>
      <w:r>
        <w:rPr/>
        <w:fldChar w:fldCharType="end"/>
      </w:r>
      <w:r>
        <w:rPr/>
        <w:t>, в объеме, определенном частью 9 статьи 4 Закона 223-ФЗ, составляет Извещение о закупке.</w:t>
      </w:r>
    </w:p>
    <w:p>
      <w:pPr>
        <w:pStyle w:val="Style20"/>
        <w:spacing w:before="360" w:after="120"/>
        <w:rPr/>
      </w:pPr>
      <w:bookmarkStart w:id="6" w:name="_Toc188946911"/>
      <w:bookmarkStart w:id="7" w:name="_Ref132876309"/>
      <w:bookmarkStart w:id="8" w:name="_Ref127270076"/>
      <w:bookmarkStart w:id="9" w:name="_Ref125359973"/>
      <w:r>
        <w:rPr/>
        <w:t>Информация о проводимой закупке</w:t>
      </w:r>
      <w:bookmarkEnd w:id="6"/>
      <w:bookmarkEnd w:id="7"/>
      <w:bookmarkEnd w:id="8"/>
      <w:bookmarkEnd w:id="9"/>
    </w:p>
    <w:tbl>
      <w:tblPr>
        <w:tblStyle w:val="af8"/>
        <w:tblW w:w="9912"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695"/>
        <w:gridCol w:w="3357"/>
        <w:gridCol w:w="5860"/>
      </w:tblGrid>
      <w:tr>
        <w:trPr>
          <w:cnfStyle w:val="100000000000" w:firstRow="1" w:lastRow="0" w:firstColumn="0" w:lastColumn="0" w:oddVBand="0" w:evenVBand="0" w:oddHBand="0" w:evenHBand="0" w:firstRowFirstColumn="0" w:firstRowLastColumn="0" w:lastRowFirstColumn="0" w:lastRowLastColumn="0"/>
        </w:trPr>
        <w:tc>
          <w:tcPr>
            <w:tcW w:w="695"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w:t>
            </w:r>
            <w:r>
              <w:rPr>
                <w:rFonts w:eastAsia="Calibri" w:cs=""/>
                <w:b/>
                <w:kern w:val="0"/>
                <w:sz w:val="18"/>
                <w:szCs w:val="18"/>
                <w:lang w:val="ru-RU" w:eastAsia="en-US" w:bidi="ar-SA"/>
              </w:rPr>
              <w:br/>
              <w:t>п/п</w:t>
            </w:r>
          </w:p>
        </w:tc>
        <w:tc>
          <w:tcPr>
            <w:tcW w:w="3357"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Наименование пункта</w:t>
            </w:r>
          </w:p>
        </w:tc>
        <w:tc>
          <w:tcPr>
            <w:tcW w:w="5860"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Содержание пункта</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10" w:name="_Ref125360980"/>
            <w:bookmarkStart w:id="11" w:name="_Ref125360980"/>
            <w:bookmarkEnd w:id="11"/>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Способ закупки:</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Аукцион в электронной форме, участниками которого могут быть только субъекты МСП.</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12" w:name="_Ref125360996"/>
            <w:bookmarkStart w:id="13" w:name="_Ref125360996"/>
            <w:bookmarkEnd w:id="13"/>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Предмет Договора</w:t>
              <w:br/>
              <w:t>(в том числе номер лота):</w:t>
            </w:r>
          </w:p>
        </w:tc>
        <w:tc>
          <w:tcPr>
            <w:tcW w:w="5860" w:type="dxa"/>
            <w:tcBorders/>
          </w:tcPr>
          <w:p>
            <w:pPr>
              <w:pStyle w:val="Style25"/>
              <w:widowControl w:val="false"/>
              <w:suppressAutoHyphens w:val="true"/>
              <w:spacing w:before="60" w:after="60"/>
              <w:jc w:val="center"/>
              <w:rPr/>
            </w:pPr>
            <w:r>
              <w:rPr>
                <w:rFonts w:eastAsia="Calibri" w:cs="" w:cstheme="minorBidi" w:eastAsiaTheme="minorHAnsi"/>
                <w:b/>
                <w:bCs/>
                <w:color w:val="auto"/>
                <w:kern w:val="0"/>
                <w:sz w:val="24"/>
                <w:szCs w:val="24"/>
                <w:u w:val="none"/>
                <w:lang w:val="ru-RU" w:eastAsia="en-US" w:bidi="ar-SA"/>
              </w:rPr>
              <w:t xml:space="preserve">Лот № 17501-ЭКСП ПРОД-2026-ЮЭСК </w:t>
            </w:r>
          </w:p>
          <w:p>
            <w:pPr>
              <w:pStyle w:val="Style25"/>
              <w:widowControl w:val="false"/>
              <w:suppressAutoHyphens w:val="true"/>
              <w:spacing w:before="60" w:after="60"/>
              <w:jc w:val="center"/>
              <w:rPr/>
            </w:pPr>
            <w:hyperlink r:id="rId3">
              <w:r>
                <w:rPr>
                  <w:rStyle w:val="Hyperlink"/>
                  <w:rFonts w:eastAsia="Calibri" w:cs="" w:cstheme="minorBidi" w:eastAsiaTheme="minorHAnsi"/>
                  <w:b/>
                  <w:bCs/>
                  <w:color w:val="000000"/>
                  <w:kern w:val="0"/>
                  <w:sz w:val="24"/>
                  <w:szCs w:val="24"/>
                  <w:u w:val="none"/>
                  <w:lang w:val="ru-RU" w:eastAsia="en-US" w:bidi="ar-SA"/>
                </w:rPr>
                <w:t>ОКПД2 19.20.29 Поставка эксплуатационного масла для дизель-генераторных установок иностранного производства</w:t>
              </w:r>
            </w:hyperlink>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Описание</w:t>
              <w:br/>
              <w:t>предмета закупки:</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Подробное описание предмета закупки, в том числе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информация о количестве поставляемого товара, объема выполняемых работ, оказываемых услуг, а также место поставки товара, выполнения работы, оказания услуги, содержится в </w:t>
            </w:r>
            <w:hyperlink w:anchor="Прил01_ТехТребования">
              <w:r>
                <w:rPr>
                  <w:rStyle w:val="Style11"/>
                  <w:rFonts w:eastAsia="Calibri" w:cs=""/>
                  <w:kern w:val="0"/>
                  <w:sz w:val="24"/>
                  <w:szCs w:val="24"/>
                  <w:lang w:val="ru-RU" w:eastAsia="en-US" w:bidi="ar-SA"/>
                </w:rPr>
                <w:t>Технических требованиях (Приложении № 1)</w:t>
              </w:r>
            </w:hyperlink>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14" w:name="_Ref125367124"/>
            <w:bookmarkStart w:id="15" w:name="_Ref125367124"/>
            <w:bookmarkEnd w:id="15"/>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Многолотовая  закупка: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Нет</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16" w:name="_Ref125360764"/>
            <w:bookmarkStart w:id="17" w:name="_Ref125360764"/>
            <w:bookmarkEnd w:id="17"/>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Наименование и адрес ЭП, на которой проводится закупка:</w:t>
            </w:r>
          </w:p>
        </w:tc>
        <w:tc>
          <w:tcPr>
            <w:tcW w:w="5860" w:type="dxa"/>
            <w:tcBorders/>
          </w:tcPr>
          <w:p>
            <w:pPr>
              <w:pStyle w:val="Normal"/>
              <w:widowControl w:val="false"/>
              <w:tabs>
                <w:tab w:val="clear" w:pos="708"/>
                <w:tab w:val="left" w:pos="426" w:leader="none"/>
              </w:tabs>
              <w:suppressAutoHyphens w:val="true"/>
              <w:spacing w:before="60" w:after="120"/>
              <w:jc w:val="left"/>
              <w:rPr>
                <w:sz w:val="24"/>
                <w:szCs w:val="24"/>
                <w:highlight w:val="yellow"/>
              </w:rPr>
            </w:pPr>
            <w:r>
              <w:rPr>
                <w:rFonts w:eastAsia="Calibri" w:cs=""/>
                <w:kern w:val="0"/>
                <w:sz w:val="24"/>
                <w:szCs w:val="24"/>
                <w:lang w:val="ru-RU" w:eastAsia="en-US" w:bidi="ar-SA"/>
              </w:rPr>
              <w:t xml:space="preserve">Электронная (торговая) площадка: </w:t>
            </w:r>
            <w:hyperlink r:id="rId4">
              <w:r>
                <w:rPr>
                  <w:rStyle w:val="Hyperlink"/>
                  <w:rFonts w:eastAsia="Calibri" w:cs=""/>
                  <w:kern w:val="0"/>
                  <w:sz w:val="24"/>
                  <w:szCs w:val="24"/>
                  <w:lang w:val="en-US" w:eastAsia="en-US" w:bidi="ar-SA"/>
                </w:rPr>
                <w:t>www</w:t>
              </w:r>
              <w:r>
                <w:rPr>
                  <w:rStyle w:val="Hyperlink"/>
                  <w:rFonts w:eastAsia="Calibri" w:cs=""/>
                  <w:kern w:val="0"/>
                  <w:sz w:val="24"/>
                  <w:szCs w:val="24"/>
                  <w:lang w:val="ru-RU" w:eastAsia="en-US" w:bidi="ar-SA"/>
                </w:rPr>
                <w:t>.</w:t>
              </w:r>
              <w:r>
                <w:rPr>
                  <w:rStyle w:val="Hyperlink"/>
                  <w:rFonts w:eastAsia="Calibri" w:cs=""/>
                  <w:kern w:val="0"/>
                  <w:sz w:val="24"/>
                  <w:szCs w:val="24"/>
                  <w:lang w:val="en-US" w:eastAsia="en-US" w:bidi="ar-SA"/>
                </w:rPr>
                <w:t>roseltorg</w:t>
              </w:r>
              <w:r>
                <w:rPr>
                  <w:rStyle w:val="Hyperlink"/>
                  <w:rFonts w:eastAsia="Calibri" w:cs=""/>
                  <w:kern w:val="0"/>
                  <w:sz w:val="24"/>
                  <w:szCs w:val="24"/>
                  <w:lang w:val="ru-RU" w:eastAsia="en-US" w:bidi="ar-SA"/>
                </w:rPr>
                <w:t>.</w:t>
              </w:r>
              <w:r>
                <w:rPr>
                  <w:rStyle w:val="Hyperlink"/>
                  <w:rFonts w:eastAsia="Calibri" w:cs=""/>
                  <w:kern w:val="0"/>
                  <w:sz w:val="24"/>
                  <w:szCs w:val="24"/>
                  <w:lang w:val="en-US" w:eastAsia="en-US" w:bidi="ar-SA"/>
                </w:rPr>
                <w:t>ru</w:t>
              </w:r>
            </w:hyperlink>
            <w:r>
              <w:rPr>
                <w:rFonts w:eastAsia="Calibri" w:cs=""/>
                <w:kern w:val="0"/>
                <w:sz w:val="24"/>
                <w:szCs w:val="24"/>
                <w:highlight w:val="yellow"/>
                <w:lang w:val="ru-RU" w:eastAsia="en-US" w:bidi="ar-SA"/>
              </w:rPr>
              <w:t xml:space="preserve"> </w:t>
            </w:r>
          </w:p>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Регламент ЭТП, в соответствии с которым проводится закупка, размещен по адресу: </w:t>
            </w:r>
            <w:r>
              <w:fldChar w:fldCharType="begin"/>
            </w:r>
            <w:r>
              <w:rPr>
                <w:rStyle w:val="Hyperlink"/>
                <w:sz w:val="24"/>
                <w:kern w:val="0"/>
                <w:szCs w:val="24"/>
                <w:rFonts w:eastAsia="Calibri" w:cs=""/>
                <w:lang w:val="ru-RU" w:eastAsia="en-US" w:bidi="ar-SA"/>
              </w:rPr>
              <w:instrText xml:space="preserve"> HYPERLINK "https://www.roseltorg.ru/personal/rushydro" \l "additional_info"</w:instrText>
            </w:r>
            <w:r>
              <w:rPr>
                <w:rStyle w:val="Hyperlink"/>
                <w:sz w:val="24"/>
                <w:kern w:val="0"/>
                <w:szCs w:val="24"/>
                <w:rFonts w:eastAsia="Calibri" w:cs=""/>
                <w:lang w:val="ru-RU" w:eastAsia="en-US" w:bidi="ar-SA"/>
              </w:rPr>
              <w:fldChar w:fldCharType="separate"/>
            </w:r>
            <w:r>
              <w:rPr>
                <w:rStyle w:val="Hyperlink"/>
                <w:rFonts w:eastAsia="Calibri" w:cs=""/>
                <w:kern w:val="0"/>
                <w:sz w:val="24"/>
                <w:szCs w:val="24"/>
                <w:lang w:val="ru-RU" w:eastAsia="en-US" w:bidi="ar-SA"/>
              </w:rPr>
              <w:t>https://www.roseltorg.ru/personal/rushydro#additional_info</w:t>
            </w:r>
            <w:r>
              <w:rPr>
                <w:rStyle w:val="Hyperlink"/>
                <w:sz w:val="24"/>
                <w:kern w:val="0"/>
                <w:szCs w:val="24"/>
                <w:rFonts w:eastAsia="Calibri" w:cs=""/>
                <w:lang w:val="ru-RU" w:eastAsia="en-US" w:bidi="ar-SA"/>
              </w:rPr>
              <w:fldChar w:fldCharType="end"/>
            </w:r>
            <w:r>
              <w:rPr>
                <w:rFonts w:eastAsia="Calibri" w:cs=""/>
                <w:kern w:val="0"/>
                <w:sz w:val="24"/>
                <w:szCs w:val="24"/>
                <w:lang w:val="ru-RU" w:eastAsia="en-US" w:bidi="ar-SA"/>
              </w:rPr>
              <w:t xml:space="preserve"> </w:t>
            </w:r>
            <w:r>
              <w:rPr>
                <w:rFonts w:eastAsia="Calibri" w:cs=""/>
                <w:i/>
                <w:kern w:val="0"/>
                <w:sz w:val="24"/>
                <w:szCs w:val="24"/>
                <w:shd w:fill="FFFF99" w:val="clear"/>
                <w:lang w:val="ru-RU" w:eastAsia="en-US" w:bidi="ar-SA"/>
              </w:rPr>
              <w:t xml:space="preserve"> </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18" w:name="_Ref125360970"/>
            <w:bookmarkStart w:id="19" w:name="_Ref125360970"/>
            <w:bookmarkEnd w:id="19"/>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Участники:</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Участвовать в закупке могут только субъекты МСП, а также физические лица, не являющихся индивидуальными предпринимателями и применяющих специальный налоговый режим «Налог на профессиональный доход».</w:t>
            </w:r>
          </w:p>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При этом Участник вправе привлекать субподрядчиков (соисполнителей), в том числе не являющихся субъектами МСП, а также указанными выше физическими лицами (в случае отсутствия в условиях </w:t>
            </w:r>
            <w:hyperlink w:anchor="Прил02_ПроектДоговора">
              <w:r>
                <w:rPr>
                  <w:rStyle w:val="Style11"/>
                  <w:rFonts w:eastAsia="Calibri" w:cs=""/>
                  <w:kern w:val="0"/>
                  <w:sz w:val="24"/>
                  <w:szCs w:val="24"/>
                  <w:lang w:val="ru-RU" w:eastAsia="en-US" w:bidi="ar-SA"/>
                </w:rPr>
                <w:t>Проекта Договора (Приложение № 2)</w:t>
              </w:r>
            </w:hyperlink>
            <w:r>
              <w:rPr>
                <w:rFonts w:eastAsia="Calibri" w:cs=""/>
                <w:kern w:val="0"/>
                <w:sz w:val="24"/>
                <w:szCs w:val="24"/>
                <w:lang w:val="ru-RU" w:eastAsia="en-US" w:bidi="ar-SA"/>
              </w:rPr>
              <w:t xml:space="preserve"> прямого запрета на привлечение к исполнению обязательств по Договору третьих лиц).</w:t>
            </w:r>
          </w:p>
        </w:tc>
      </w:tr>
      <w:tr>
        <w:trPr>
          <w:trHeight w:val="1114" w:hRule="atLeast"/>
        </w:trPr>
        <w:tc>
          <w:tcPr>
            <w:tcW w:w="695" w:type="dxa"/>
            <w:tcBorders/>
          </w:tcPr>
          <w:p>
            <w:pPr>
              <w:pStyle w:val="Style21"/>
              <w:widowControl w:val="false"/>
              <w:suppressAutoHyphens w:val="true"/>
              <w:spacing w:before="60" w:after="60"/>
              <w:rPr>
                <w:sz w:val="24"/>
                <w:szCs w:val="24"/>
              </w:rPr>
            </w:pPr>
            <w:r>
              <w:rPr>
                <w:sz w:val="24"/>
                <w:szCs w:val="24"/>
              </w:rPr>
            </w:r>
            <w:bookmarkStart w:id="20" w:name="_Ref125360988"/>
            <w:bookmarkStart w:id="21" w:name="_Ref125360988"/>
            <w:bookmarkEnd w:id="21"/>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Заказчик:</w:t>
            </w:r>
          </w:p>
        </w:tc>
        <w:tc>
          <w:tcPr>
            <w:tcW w:w="5860" w:type="dxa"/>
            <w:vMerge w:val="restart"/>
            <w:tcBorders/>
          </w:tcPr>
          <w:p>
            <w:pPr>
              <w:pStyle w:val="Normal"/>
              <w:widowControl w:val="false"/>
              <w:suppressAutoHyphens w:val="true"/>
              <w:spacing w:before="0" w:after="60"/>
              <w:jc w:val="left"/>
              <w:rPr>
                <w:b/>
                <w:sz w:val="24"/>
                <w:szCs w:val="24"/>
              </w:rPr>
            </w:pPr>
            <w:r>
              <w:rPr>
                <w:rFonts w:eastAsia="Calibri" w:cs=""/>
                <w:kern w:val="0"/>
                <w:sz w:val="24"/>
                <w:szCs w:val="24"/>
                <w:lang w:val="ru-RU" w:eastAsia="en-US" w:bidi="ar-SA"/>
              </w:rPr>
              <w:t>Наименование (полное и сокращенное): Акционерное общество «Южные электрические сети Камчатки» (АО «ЮЭСК»)</w:t>
            </w:r>
          </w:p>
          <w:p>
            <w:pPr>
              <w:pStyle w:val="Normal"/>
              <w:widowControl w:val="false"/>
              <w:suppressAutoHyphens w:val="true"/>
              <w:spacing w:before="0" w:after="60"/>
              <w:jc w:val="left"/>
              <w:rPr>
                <w:sz w:val="24"/>
                <w:szCs w:val="24"/>
              </w:rPr>
            </w:pPr>
            <w:r>
              <w:rPr>
                <w:rFonts w:eastAsia="Calibri" w:cs=""/>
                <w:kern w:val="0"/>
                <w:sz w:val="24"/>
                <w:szCs w:val="24"/>
                <w:lang w:val="ru-RU" w:eastAsia="en-US" w:bidi="ar-SA"/>
              </w:rPr>
              <w:t>Место нахождения/ Почтовый адрес:</w:t>
            </w:r>
          </w:p>
          <w:p>
            <w:pPr>
              <w:pStyle w:val="Normal"/>
              <w:widowControl w:val="false"/>
              <w:suppressAutoHyphens w:val="true"/>
              <w:spacing w:before="0" w:after="60"/>
              <w:jc w:val="left"/>
              <w:rPr>
                <w:sz w:val="24"/>
                <w:szCs w:val="24"/>
              </w:rPr>
            </w:pPr>
            <w:r>
              <w:rPr>
                <w:rFonts w:eastAsia="Calibri" w:cs=""/>
                <w:kern w:val="0"/>
                <w:sz w:val="24"/>
                <w:szCs w:val="24"/>
                <w:lang w:val="ru-RU" w:eastAsia="en-US" w:bidi="ar-SA"/>
              </w:rPr>
              <w:t>683017, Камчатский край, г. Петропавловск-Камчатский, ул. Тундровая 2.</w:t>
            </w:r>
          </w:p>
          <w:p>
            <w:pPr>
              <w:pStyle w:val="ListNumber"/>
              <w:widowControl w:val="false"/>
              <w:numPr>
                <w:ilvl w:val="0"/>
                <w:numId w:val="0"/>
              </w:numPr>
              <w:tabs>
                <w:tab w:val="clear" w:pos="708"/>
                <w:tab w:val="left" w:pos="567" w:leader="none"/>
              </w:tabs>
              <w:spacing w:before="0" w:after="60"/>
              <w:ind w:left="360" w:hanging="360"/>
              <w:contextualSpacing/>
              <w:jc w:val="left"/>
              <w:rPr>
                <w:sz w:val="24"/>
                <w:szCs w:val="24"/>
              </w:rPr>
            </w:pPr>
            <w:r>
              <w:rPr>
                <w:rFonts w:eastAsia="Calibri" w:cs=""/>
                <w:kern w:val="0"/>
                <w:sz w:val="24"/>
                <w:szCs w:val="24"/>
                <w:lang w:val="ru-RU" w:eastAsia="en-US" w:bidi="ar-SA"/>
              </w:rPr>
              <w:t xml:space="preserve">Адрес электронной почты: </w:t>
            </w:r>
            <w:hyperlink r:id="rId5">
              <w:r>
                <w:rPr>
                  <w:rStyle w:val="Hyperlink"/>
                  <w:rFonts w:eastAsia="Calibri" w:cs=""/>
                  <w:kern w:val="0"/>
                  <w:sz w:val="24"/>
                  <w:szCs w:val="24"/>
                  <w:lang w:val="en-US" w:eastAsia="en-US" w:bidi="ar-SA"/>
                </w:rPr>
                <w:t>uesk</w:t>
              </w:r>
              <w:r>
                <w:rPr>
                  <w:rStyle w:val="Hyperlink"/>
                  <w:rFonts w:eastAsia="Calibri" w:cs=""/>
                  <w:kern w:val="0"/>
                  <w:sz w:val="24"/>
                  <w:szCs w:val="24"/>
                  <w:lang w:val="ru-RU" w:eastAsia="en-US" w:bidi="ar-SA"/>
                </w:rPr>
                <w:t>-</w:t>
              </w:r>
              <w:r>
                <w:rPr>
                  <w:rStyle w:val="Hyperlink"/>
                  <w:rFonts w:eastAsia="Calibri" w:cs=""/>
                  <w:kern w:val="0"/>
                  <w:sz w:val="24"/>
                  <w:szCs w:val="24"/>
                  <w:lang w:val="en-US" w:eastAsia="en-US" w:bidi="ar-SA"/>
                </w:rPr>
                <w:t>sekr</w:t>
              </w:r>
              <w:r>
                <w:rPr>
                  <w:rStyle w:val="Hyperlink"/>
                  <w:rFonts w:eastAsia="Calibri" w:cs=""/>
                  <w:kern w:val="0"/>
                  <w:sz w:val="24"/>
                  <w:szCs w:val="24"/>
                  <w:lang w:val="ru-RU" w:eastAsia="en-US" w:bidi="ar-SA"/>
                </w:rPr>
                <w:t>@</w:t>
              </w:r>
              <w:r>
                <w:rPr>
                  <w:rStyle w:val="Hyperlink"/>
                  <w:rFonts w:eastAsia="Calibri" w:cs=""/>
                  <w:kern w:val="0"/>
                  <w:sz w:val="24"/>
                  <w:szCs w:val="24"/>
                  <w:lang w:val="en-US" w:eastAsia="en-US" w:bidi="ar-SA"/>
                </w:rPr>
                <w:t>kamenergo</w:t>
              </w:r>
              <w:r>
                <w:rPr>
                  <w:rStyle w:val="Hyperlink"/>
                  <w:rFonts w:eastAsia="Calibri" w:cs=""/>
                  <w:kern w:val="0"/>
                  <w:sz w:val="24"/>
                  <w:szCs w:val="24"/>
                  <w:lang w:val="ru-RU" w:eastAsia="en-US" w:bidi="ar-SA"/>
                </w:rPr>
                <w:t>.</w:t>
              </w:r>
              <w:r>
                <w:rPr>
                  <w:rStyle w:val="Hyperlink"/>
                  <w:rFonts w:eastAsia="Calibri" w:cs=""/>
                  <w:kern w:val="0"/>
                  <w:sz w:val="24"/>
                  <w:szCs w:val="24"/>
                  <w:lang w:val="en-US" w:eastAsia="en-US" w:bidi="ar-SA"/>
                </w:rPr>
                <w:t>ru</w:t>
              </w:r>
            </w:hyperlink>
            <w:r>
              <w:rPr>
                <w:rFonts w:eastAsia="Calibri" w:cs=""/>
                <w:kern w:val="0"/>
                <w:sz w:val="24"/>
                <w:szCs w:val="24"/>
                <w:lang w:val="ru-RU" w:eastAsia="en-US" w:bidi="ar-SA"/>
              </w:rPr>
              <w:t xml:space="preserve"> </w:t>
            </w:r>
          </w:p>
          <w:p>
            <w:pPr>
              <w:pStyle w:val="Style25"/>
              <w:widowControl w:val="false"/>
              <w:suppressAutoHyphens w:val="true"/>
              <w:spacing w:before="60" w:after="60"/>
              <w:rPr>
                <w:rStyle w:val="Style8"/>
                <w:sz w:val="24"/>
                <w:szCs w:val="24"/>
              </w:rPr>
            </w:pPr>
            <w:r>
              <w:rPr>
                <w:rFonts w:eastAsia="Calibri" w:cs=""/>
                <w:kern w:val="0"/>
                <w:sz w:val="24"/>
                <w:szCs w:val="24"/>
                <w:lang w:val="ru-RU" w:eastAsia="en-US" w:bidi="ar-SA"/>
              </w:rPr>
              <w:t>Контактный телефон: (4152) 41 73 93</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22" w:name="_Ref125360954"/>
            <w:bookmarkStart w:id="23" w:name="_Ref125360954"/>
            <w:bookmarkEnd w:id="23"/>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Организатор:</w:t>
            </w:r>
          </w:p>
        </w:tc>
        <w:tc>
          <w:tcPr>
            <w:tcW w:w="5860" w:type="dxa"/>
            <w:vMerge w:val="continue"/>
            <w:tcBorders/>
          </w:tcPr>
          <w:p>
            <w:pPr>
              <w:pStyle w:val="Style25"/>
              <w:widowControl w:val="false"/>
              <w:suppressAutoHyphens w:val="true"/>
              <w:spacing w:before="60" w:after="60"/>
              <w:rPr>
                <w:sz w:val="24"/>
                <w:szCs w:val="24"/>
              </w:rPr>
            </w:pPr>
            <w:r>
              <w:rPr>
                <w:sz w:val="24"/>
                <w:szCs w:val="24"/>
              </w:rPr>
            </w:r>
          </w:p>
        </w:tc>
      </w:tr>
      <w:tr>
        <w:trPr/>
        <w:tc>
          <w:tcPr>
            <w:tcW w:w="695" w:type="dxa"/>
            <w:tcBorders/>
          </w:tcPr>
          <w:p>
            <w:pPr>
              <w:pStyle w:val="Style21"/>
              <w:widowControl w:val="false"/>
              <w:suppressAutoHyphens w:val="true"/>
              <w:spacing w:before="60" w:after="60"/>
              <w:rPr>
                <w:sz w:val="24"/>
                <w:szCs w:val="24"/>
              </w:rPr>
            </w:pPr>
            <w:r>
              <w:rPr>
                <w:sz w:val="24"/>
                <w:szCs w:val="24"/>
              </w:rPr>
            </w:r>
            <w:bookmarkStart w:id="24" w:name="_Ref125361238"/>
            <w:bookmarkStart w:id="25" w:name="_Ref125361238"/>
            <w:bookmarkEnd w:id="25"/>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Представитель Организатора:</w:t>
            </w:r>
          </w:p>
        </w:tc>
        <w:tc>
          <w:tcPr>
            <w:tcW w:w="5860" w:type="dxa"/>
            <w:tcBorders/>
          </w:tcPr>
          <w:p>
            <w:pPr>
              <w:pStyle w:val="Style25"/>
              <w:widowControl w:val="false"/>
              <w:suppressAutoHyphens w:val="true"/>
              <w:spacing w:before="60" w:after="60"/>
              <w:rPr>
                <w:rFonts w:eastAsia="Calibri"/>
                <w:sz w:val="24"/>
                <w:szCs w:val="24"/>
              </w:rPr>
            </w:pPr>
            <w:r>
              <w:rPr>
                <w:rFonts w:eastAsia="Calibri" w:cs=""/>
                <w:kern w:val="0"/>
                <w:sz w:val="24"/>
                <w:szCs w:val="24"/>
                <w:lang w:val="ru-RU" w:eastAsia="en-US" w:bidi="ar-SA"/>
              </w:rPr>
              <w:t>Ведущий экономист отдела организации и проведения закупочных процедур - Кот Татьяна Юрьевна</w:t>
            </w:r>
          </w:p>
          <w:p>
            <w:pPr>
              <w:pStyle w:val="Style25"/>
              <w:widowControl w:val="false"/>
              <w:suppressAutoHyphens w:val="true"/>
              <w:spacing w:before="60" w:after="60"/>
              <w:rPr>
                <w:sz w:val="24"/>
                <w:szCs w:val="24"/>
              </w:rPr>
            </w:pPr>
            <w:r>
              <w:rPr>
                <w:rFonts w:eastAsia="Calibri" w:cs=""/>
                <w:kern w:val="0"/>
                <w:sz w:val="24"/>
                <w:szCs w:val="22"/>
                <w:lang w:val="ru-RU" w:eastAsia="en-US" w:bidi="ar-SA"/>
              </w:rPr>
              <w:t xml:space="preserve">Адрес электронной почты: </w:t>
            </w:r>
            <w:hyperlink r:id="rId6">
              <w:r>
                <w:rPr>
                  <w:rStyle w:val="Hyperlink"/>
                  <w:rFonts w:eastAsia="Calibri" w:cs=""/>
                  <w:kern w:val="0"/>
                  <w:sz w:val="24"/>
                  <w:szCs w:val="24"/>
                  <w:lang w:val="ru-RU" w:eastAsia="en-US" w:bidi="ar-SA"/>
                </w:rPr>
                <w:t>kotty@rushydro.ru</w:t>
              </w:r>
            </w:hyperlink>
          </w:p>
        </w:tc>
      </w:tr>
      <w:tr>
        <w:trPr/>
        <w:tc>
          <w:tcPr>
            <w:tcW w:w="695" w:type="dxa"/>
            <w:tcBorders/>
          </w:tcPr>
          <w:p>
            <w:pPr>
              <w:pStyle w:val="Style21"/>
              <w:widowControl w:val="false"/>
              <w:suppressAutoHyphens w:val="true"/>
              <w:spacing w:before="60" w:after="60"/>
              <w:rPr>
                <w:sz w:val="24"/>
                <w:szCs w:val="24"/>
              </w:rPr>
            </w:pPr>
            <w:r>
              <w:rPr>
                <w:sz w:val="24"/>
                <w:szCs w:val="24"/>
              </w:rPr>
            </w:r>
            <w:bookmarkStart w:id="26" w:name="_Ref125362694"/>
            <w:bookmarkStart w:id="27" w:name="_Ref125362694"/>
            <w:bookmarkEnd w:id="27"/>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Официальный источник размещения информации о проведении закупки / срок, место и порядок предоставления Документации о закупке:</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Документация о закупке официально размещена в ЕИС и доступна на Официальном сайте для ознакомления любым заинтересованным лицам. Официальным источником информации о ходе проведения закупки является Официальный сайт (zakupki.gov.ru).</w:t>
            </w:r>
          </w:p>
          <w:p>
            <w:pPr>
              <w:pStyle w:val="Style25"/>
              <w:widowControl w:val="false"/>
              <w:suppressAutoHyphens w:val="true"/>
              <w:spacing w:before="60" w:after="60"/>
              <w:rPr>
                <w:sz w:val="24"/>
                <w:szCs w:val="24"/>
              </w:rPr>
            </w:pPr>
            <w:r>
              <w:rPr>
                <w:rFonts w:eastAsia="Calibri" w:cs=""/>
                <w:kern w:val="0"/>
                <w:sz w:val="24"/>
                <w:szCs w:val="24"/>
                <w:lang w:val="ru-RU" w:eastAsia="en-US" w:bidi="ar-SA"/>
              </w:rPr>
              <w:t>Документация о закупке доступна (без взимания платы) в форме электронного документа в любое время с момента официального размещения Извещения. Предоставление Документации о закупке на бумажном носителе не предусмотрено.</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28" w:name="_Ref125360963"/>
            <w:bookmarkStart w:id="29" w:name="_Ref125360963"/>
            <w:bookmarkEnd w:id="29"/>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размещения Извещения о проведении закупки:</w:t>
            </w:r>
          </w:p>
        </w:tc>
        <w:tc>
          <w:tcPr>
            <w:tcW w:w="5860" w:type="dxa"/>
            <w:tcBorders/>
          </w:tcPr>
          <w:p>
            <w:pPr>
              <w:pStyle w:val="Style25"/>
              <w:widowControl w:val="false"/>
              <w:suppressAutoHyphens w:val="true"/>
              <w:spacing w:before="60" w:after="60"/>
              <w:rPr>
                <w:b/>
                <w:sz w:val="24"/>
                <w:szCs w:val="24"/>
              </w:rPr>
            </w:pPr>
            <w:r>
              <w:rPr>
                <w:rFonts w:eastAsia="Calibri" w:cs=""/>
                <w:b/>
                <w:kern w:val="0"/>
                <w:sz w:val="24"/>
                <w:szCs w:val="24"/>
                <w:lang w:val="ru-RU" w:eastAsia="en-US" w:bidi="ar-SA"/>
              </w:rPr>
              <w:t>«</w:t>
            </w:r>
            <w:r>
              <w:rPr>
                <w:rFonts w:eastAsia="Calibri" w:cs=""/>
                <w:b/>
                <w:kern w:val="0"/>
                <w:sz w:val="24"/>
                <w:szCs w:val="24"/>
                <w:lang w:val="ru-RU" w:eastAsia="en-US" w:bidi="ar-SA"/>
              </w:rPr>
              <w:t>19</w:t>
            </w:r>
            <w:r>
              <w:rPr>
                <w:rFonts w:eastAsia="Calibri" w:cs=""/>
                <w:b/>
                <w:kern w:val="0"/>
                <w:sz w:val="24"/>
                <w:szCs w:val="24"/>
                <w:lang w:val="ru-RU" w:eastAsia="en-US" w:bidi="ar-SA"/>
              </w:rPr>
              <w:t>» июня 2026 г.</w:t>
            </w:r>
          </w:p>
          <w:p>
            <w:pPr>
              <w:pStyle w:val="Style25"/>
              <w:widowControl w:val="false"/>
              <w:suppressAutoHyphens w:val="true"/>
              <w:spacing w:before="60" w:after="60"/>
              <w:rPr>
                <w:rStyle w:val="Style8"/>
                <w:sz w:val="24"/>
                <w:szCs w:val="24"/>
              </w:rPr>
            </w:pPr>
            <w:r>
              <w:rPr>
                <w:sz w:val="24"/>
                <w:szCs w:val="24"/>
              </w:rPr>
            </w:r>
          </w:p>
        </w:tc>
      </w:tr>
      <w:tr>
        <w:trPr/>
        <w:tc>
          <w:tcPr>
            <w:tcW w:w="695" w:type="dxa"/>
            <w:tcBorders/>
          </w:tcPr>
          <w:p>
            <w:pPr>
              <w:pStyle w:val="Style21"/>
              <w:widowControl w:val="false"/>
              <w:suppressAutoHyphens w:val="true"/>
              <w:spacing w:before="60" w:after="60"/>
              <w:rPr>
                <w:sz w:val="24"/>
                <w:szCs w:val="24"/>
              </w:rPr>
            </w:pPr>
            <w:r>
              <w:rPr>
                <w:sz w:val="24"/>
                <w:szCs w:val="24"/>
              </w:rPr>
            </w:r>
            <w:bookmarkStart w:id="30" w:name="_Ref125362837"/>
            <w:bookmarkStart w:id="31" w:name="_Ref125362837"/>
            <w:bookmarkEnd w:id="31"/>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Начальная (максимальная) цена договора (цена лота):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НМЦ составляет </w:t>
            </w:r>
            <w:r>
              <w:rPr>
                <w:rFonts w:eastAsia="Calibri" w:cs=""/>
                <w:b/>
                <w:bCs/>
                <w:kern w:val="0"/>
                <w:sz w:val="24"/>
                <w:szCs w:val="24"/>
                <w:lang w:val="ru-RU" w:eastAsia="en-US" w:bidi="ar-SA"/>
              </w:rPr>
              <w:t>20 166 500</w:t>
            </w:r>
            <w:r>
              <w:rPr>
                <w:rFonts w:eastAsia="Calibri" w:cs=""/>
                <w:b/>
                <w:kern w:val="0"/>
                <w:sz w:val="24"/>
                <w:szCs w:val="24"/>
                <w:lang w:val="ru-RU" w:eastAsia="en-US" w:bidi="ar-SA"/>
              </w:rPr>
              <w:t>.00</w:t>
            </w:r>
            <w:r>
              <w:rPr>
                <w:rFonts w:eastAsia="Calibri" w:cs=""/>
                <w:kern w:val="0"/>
                <w:sz w:val="24"/>
                <w:szCs w:val="24"/>
                <w:lang w:val="ru-RU" w:eastAsia="en-US" w:bidi="ar-SA"/>
              </w:rPr>
              <w:t> руб., без учета НДС.</w:t>
            </w:r>
          </w:p>
          <w:p>
            <w:pPr>
              <w:pStyle w:val="Style25"/>
              <w:widowControl w:val="false"/>
              <w:suppressAutoHyphens w:val="true"/>
              <w:spacing w:before="60" w:after="60"/>
              <w:rPr>
                <w:sz w:val="24"/>
                <w:szCs w:val="24"/>
              </w:rPr>
            </w:pPr>
            <w:r>
              <w:rPr>
                <w:rFonts w:eastAsia="Calibri" w:cs=""/>
                <w:kern w:val="0"/>
                <w:sz w:val="24"/>
                <w:szCs w:val="24"/>
                <w:lang w:val="ru-RU" w:eastAsia="en-US" w:bidi="ar-SA"/>
              </w:rPr>
              <w:t>Сведения о начальной (максимальной) цене единицы продукции, необходимые для применения законодательства о национальном режиме (представлена в форме Коммерческого предложения (форма 3)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p>
            <w:pPr>
              <w:pStyle w:val="Style25"/>
              <w:widowControl w:val="false"/>
              <w:suppressAutoHyphens w:val="true"/>
              <w:spacing w:before="60" w:after="60"/>
              <w:rPr>
                <w:rStyle w:val="Style8"/>
                <w:sz w:val="24"/>
                <w:szCs w:val="24"/>
              </w:rPr>
            </w:pPr>
            <w:r>
              <w:rPr>
                <w:rFonts w:eastAsia="Calibri" w:cs=""/>
                <w:kern w:val="0"/>
                <w:sz w:val="24"/>
                <w:szCs w:val="24"/>
                <w:lang w:val="ru-RU" w:eastAsia="en-US" w:bidi="ar-SA"/>
              </w:rPr>
              <w:t xml:space="preserve">Обоснование НМЦ представлено в </w:t>
            </w:r>
            <w:hyperlink w:anchor="Прил09_ОбоснованиеНМЦ">
              <w:r>
                <w:rPr>
                  <w:rStyle w:val="Style11"/>
                  <w:rFonts w:eastAsia="Calibri" w:cs=""/>
                  <w:kern w:val="0"/>
                  <w:sz w:val="24"/>
                  <w:szCs w:val="24"/>
                  <w:lang w:val="ru-RU" w:eastAsia="en-US" w:bidi="ar-SA"/>
                </w:rPr>
                <w:t>Приложении № 9</w:t>
              </w:r>
            </w:hyperlink>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Шаг аукциона: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0,5% – 5 % от НМЦ, что составляет:</w:t>
            </w:r>
          </w:p>
          <w:p>
            <w:pPr>
              <w:pStyle w:val="Style25"/>
              <w:widowControl w:val="false"/>
              <w:suppressAutoHyphens w:val="true"/>
              <w:spacing w:before="60" w:after="60"/>
              <w:rPr>
                <w:b/>
                <w:bCs/>
              </w:rPr>
            </w:pPr>
            <w:r>
              <w:rPr>
                <w:rFonts w:eastAsia="Calibri" w:cs=""/>
                <w:b/>
                <w:bCs/>
                <w:kern w:val="0"/>
                <w:sz w:val="24"/>
                <w:szCs w:val="24"/>
                <w:lang w:val="ru-RU" w:eastAsia="en-US" w:bidi="ar-SA"/>
              </w:rPr>
              <w:t>100 832.50 руб. – 1 008 325.00  руб., без учета НДС.</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32" w:name="_Ref125363076"/>
            <w:bookmarkStart w:id="33" w:name="_Ref125363076"/>
            <w:bookmarkEnd w:id="33"/>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Обеспечение заявки на участие в закупке:</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 требуется</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34" w:name="_Ref125362995"/>
            <w:bookmarkStart w:id="35" w:name="_Ref125362995"/>
            <w:bookmarkEnd w:id="35"/>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Требования</w:t>
              <w:br/>
              <w:t>к описанию продукции:</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Подробное предложение Участника в отношении поставляемой продукции, включая функциональные характеристики (потребительские свойства), количественные и качественные характеристики продукции по параметрам эквивалентности, указанным в </w:t>
            </w:r>
            <w:hyperlink w:anchor="Прил01_ТехТребования">
              <w:r>
                <w:rPr>
                  <w:rStyle w:val="Style11"/>
                  <w:rFonts w:eastAsia="Calibri" w:cs=""/>
                  <w:kern w:val="0"/>
                  <w:sz w:val="24"/>
                  <w:szCs w:val="24"/>
                  <w:lang w:val="ru-RU" w:eastAsia="en-US" w:bidi="ar-SA"/>
                </w:rPr>
                <w:t>Технических требованиях (Приложение № 1)</w:t>
              </w:r>
            </w:hyperlink>
            <w:r>
              <w:rPr>
                <w:rFonts w:eastAsia="Calibri" w:cs=""/>
                <w:kern w:val="0"/>
                <w:sz w:val="24"/>
                <w:szCs w:val="24"/>
                <w:lang w:val="ru-RU" w:eastAsia="en-US" w:bidi="ar-SA"/>
              </w:rPr>
              <w:t>, – по установленной форме Технического предложения (форма 4)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Применение законодательства о национальном режиме:</w:t>
            </w:r>
          </w:p>
        </w:tc>
        <w:tc>
          <w:tcPr>
            <w:tcW w:w="5860" w:type="dxa"/>
            <w:tcBorders/>
          </w:tcPr>
          <w:p>
            <w:pPr>
              <w:pStyle w:val="Style25"/>
              <w:widowControl w:val="false"/>
              <w:suppressAutoHyphens w:val="true"/>
              <w:spacing w:before="60" w:after="60"/>
              <w:jc w:val="center"/>
              <w:rPr>
                <w:b/>
                <w:sz w:val="24"/>
                <w:szCs w:val="24"/>
              </w:rPr>
            </w:pPr>
            <w:r>
              <w:rPr>
                <w:rFonts w:eastAsia="Calibri" w:cs=""/>
                <w:b/>
                <w:kern w:val="0"/>
                <w:sz w:val="24"/>
                <w:szCs w:val="24"/>
                <w:highlight w:val="yellow"/>
                <w:lang w:val="ru-RU" w:eastAsia="en-US" w:bidi="ar-SA"/>
              </w:rPr>
              <w:t>Установлен режим преимущества российской продукции (когда национальный режим не предоставляется).</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36" w:name="_Ref125475086"/>
            <w:bookmarkStart w:id="37" w:name="_Ref125475086"/>
            <w:bookmarkEnd w:id="37"/>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Место и порядок</w:t>
              <w:br/>
              <w:t>подачи заявок:</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Заявки подаются посредством функционала ЭП, по адресу ЭП, указанному в пункте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_Ref125360764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1.2.5</w:t>
            </w:r>
            <w:r>
              <w:rPr>
                <w:sz w:val="24"/>
                <w:kern w:val="0"/>
                <w:szCs w:val="24"/>
                <w:rFonts w:eastAsia="Calibri" w:cs=""/>
                <w:lang w:val="ru-RU" w:eastAsia="en-US" w:bidi="ar-SA"/>
              </w:rPr>
              <w:fldChar w:fldCharType="end"/>
            </w:r>
            <w:r>
              <w:rPr>
                <w:rFonts w:eastAsia="Calibri" w:cs=""/>
                <w:kern w:val="0"/>
                <w:sz w:val="24"/>
                <w:szCs w:val="24"/>
                <w:lang w:val="ru-RU" w:eastAsia="en-US" w:bidi="ar-SA"/>
              </w:rPr>
              <w:t>.</w:t>
            </w:r>
          </w:p>
          <w:p>
            <w:pPr>
              <w:pStyle w:val="Style25"/>
              <w:widowControl w:val="false"/>
              <w:suppressAutoHyphens w:val="true"/>
              <w:spacing w:before="60" w:after="60"/>
              <w:rPr>
                <w:sz w:val="24"/>
                <w:szCs w:val="24"/>
              </w:rPr>
            </w:pPr>
            <w:r>
              <w:rPr>
                <w:rFonts w:eastAsia="Calibri" w:cs=""/>
                <w:kern w:val="0"/>
                <w:sz w:val="24"/>
                <w:szCs w:val="24"/>
                <w:lang w:val="ru-RU" w:eastAsia="en-US" w:bidi="ar-SA"/>
              </w:rPr>
              <w:t>Заявка должна состоять из двух частей. Порядок подачи ценового предложения в рамках процедуры аукциона установлен в подразделе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_Ref149649965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4.10</w:t>
            </w:r>
            <w:r>
              <w:rPr>
                <w:sz w:val="24"/>
                <w:kern w:val="0"/>
                <w:szCs w:val="24"/>
                <w:rFonts w:eastAsia="Calibri" w:cs=""/>
                <w:lang w:val="ru-RU" w:eastAsia="en-US" w:bidi="ar-SA"/>
              </w:rPr>
              <w:fldChar w:fldCharType="end"/>
            </w:r>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38" w:name="_Ref125360779"/>
            <w:bookmarkStart w:id="39" w:name="_Ref125360779"/>
            <w:bookmarkEnd w:id="39"/>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начала; дата и время окончания срока подачи заявок:</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Дата начала подачи заявок:</w:t>
            </w:r>
          </w:p>
          <w:p>
            <w:pPr>
              <w:pStyle w:val="Style25"/>
              <w:widowControl w:val="false"/>
              <w:suppressAutoHyphens w:val="true"/>
              <w:spacing w:before="60" w:after="60"/>
              <w:rPr>
                <w:b/>
                <w:sz w:val="24"/>
                <w:szCs w:val="24"/>
              </w:rPr>
            </w:pPr>
            <w:r>
              <w:rPr>
                <w:rFonts w:eastAsia="Calibri" w:cs=""/>
                <w:b/>
                <w:kern w:val="0"/>
                <w:sz w:val="24"/>
                <w:szCs w:val="24"/>
                <w:lang w:val="ru-RU" w:eastAsia="en-US" w:bidi="ar-SA"/>
              </w:rPr>
              <w:t>«</w:t>
            </w:r>
            <w:r>
              <w:rPr>
                <w:rFonts w:eastAsia="Calibri" w:cs=""/>
                <w:b/>
                <w:kern w:val="0"/>
                <w:sz w:val="24"/>
                <w:szCs w:val="24"/>
                <w:lang w:val="ru-RU" w:eastAsia="en-US" w:bidi="ar-SA"/>
              </w:rPr>
              <w:t>19</w:t>
            </w:r>
            <w:r>
              <w:rPr>
                <w:rFonts w:eastAsia="Calibri" w:cs=""/>
                <w:b/>
                <w:kern w:val="0"/>
                <w:sz w:val="24"/>
                <w:szCs w:val="24"/>
                <w:lang w:val="ru-RU" w:eastAsia="en-US" w:bidi="ar-SA"/>
              </w:rPr>
              <w:t>» июня 2026 г.</w:t>
            </w:r>
          </w:p>
          <w:p>
            <w:pPr>
              <w:pStyle w:val="Style25"/>
              <w:widowControl w:val="false"/>
              <w:suppressAutoHyphens w:val="true"/>
              <w:spacing w:before="60" w:after="60"/>
              <w:rPr>
                <w:sz w:val="24"/>
                <w:szCs w:val="24"/>
              </w:rPr>
            </w:pPr>
            <w:r>
              <w:rPr>
                <w:rFonts w:eastAsia="Calibri" w:cs=""/>
                <w:kern w:val="0"/>
                <w:sz w:val="24"/>
                <w:szCs w:val="24"/>
                <w:lang w:val="ru-RU" w:eastAsia="en-US" w:bidi="ar-SA"/>
              </w:rPr>
              <w:t>Дата и время окончания срока подачи заявок:</w:t>
            </w:r>
          </w:p>
          <w:p>
            <w:pPr>
              <w:pStyle w:val="Tableheader"/>
              <w:widowControl w:val="false"/>
              <w:spacing w:before="0" w:after="60"/>
              <w:rPr>
                <w:sz w:val="24"/>
              </w:rPr>
            </w:pPr>
            <w:r>
              <w:rPr>
                <w:kern w:val="0"/>
                <w:sz w:val="24"/>
                <w:lang w:val="ru-RU" w:bidi="ar-SA"/>
              </w:rPr>
              <w:t>«</w:t>
            </w:r>
            <w:r>
              <w:rPr>
                <w:kern w:val="0"/>
                <w:sz w:val="24"/>
                <w:lang w:val="ru-RU" w:bidi="ar-SA"/>
              </w:rPr>
              <w:t>01</w:t>
            </w:r>
            <w:r>
              <w:rPr>
                <w:kern w:val="0"/>
                <w:sz w:val="24"/>
                <w:lang w:val="ru-RU" w:bidi="ar-SA"/>
              </w:rPr>
              <w:t>» ию</w:t>
            </w:r>
            <w:r>
              <w:rPr>
                <w:kern w:val="0"/>
                <w:sz w:val="24"/>
                <w:lang w:val="ru-RU" w:bidi="ar-SA"/>
              </w:rPr>
              <w:t>л</w:t>
            </w:r>
            <w:r>
              <w:rPr>
                <w:kern w:val="0"/>
                <w:sz w:val="24"/>
                <w:lang w:val="ru-RU" w:bidi="ar-SA"/>
              </w:rPr>
              <w:t>я 2026 г</w:t>
            </w:r>
            <w:r>
              <w:rPr>
                <w:kern w:val="0"/>
                <w:sz w:val="22"/>
                <w:szCs w:val="22"/>
                <w:lang w:val="ru-RU" w:bidi="ar-SA"/>
              </w:rPr>
              <w:t>. в 01 ч. 00 мин.  (по московскому времени) / в 10 ч. 00 мин.  (по местному времени Организатора).</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Срок предоставления Участникам разъяснений Документации о закупке:</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Дата и время окончания срока предоставления разъяснений:</w:t>
            </w:r>
          </w:p>
          <w:p>
            <w:pPr>
              <w:pStyle w:val="Style25"/>
              <w:widowControl w:val="false"/>
              <w:suppressAutoHyphens w:val="true"/>
              <w:spacing w:before="60" w:after="60"/>
              <w:rPr>
                <w:b/>
                <w:sz w:val="22"/>
              </w:rPr>
            </w:pPr>
            <w:r>
              <w:rPr>
                <w:rFonts w:eastAsia="Calibri" w:cs=""/>
                <w:b/>
                <w:kern w:val="0"/>
                <w:sz w:val="24"/>
                <w:szCs w:val="24"/>
                <w:lang w:val="ru-RU" w:eastAsia="en-US" w:bidi="ar-SA"/>
              </w:rPr>
              <w:t>«</w:t>
            </w:r>
            <w:r>
              <w:rPr>
                <w:rFonts w:eastAsia="Calibri" w:cs=""/>
                <w:b/>
                <w:kern w:val="0"/>
                <w:sz w:val="24"/>
                <w:szCs w:val="24"/>
                <w:lang w:val="ru-RU" w:eastAsia="en-US" w:bidi="ar-SA"/>
              </w:rPr>
              <w:t>01</w:t>
            </w:r>
            <w:r>
              <w:rPr>
                <w:rFonts w:eastAsia="Calibri" w:cs=""/>
                <w:b/>
                <w:kern w:val="0"/>
                <w:sz w:val="24"/>
                <w:szCs w:val="24"/>
                <w:lang w:val="ru-RU" w:eastAsia="en-US" w:bidi="ar-SA"/>
              </w:rPr>
              <w:t>» ию</w:t>
            </w:r>
            <w:r>
              <w:rPr>
                <w:rFonts w:eastAsia="Calibri" w:cs=""/>
                <w:b/>
                <w:kern w:val="0"/>
                <w:sz w:val="24"/>
                <w:szCs w:val="24"/>
                <w:lang w:val="ru-RU" w:eastAsia="en-US" w:bidi="ar-SA"/>
              </w:rPr>
              <w:t>л</w:t>
            </w:r>
            <w:r>
              <w:rPr>
                <w:rFonts w:eastAsia="Calibri" w:cs=""/>
                <w:b/>
                <w:kern w:val="0"/>
                <w:sz w:val="24"/>
                <w:szCs w:val="24"/>
                <w:lang w:val="ru-RU" w:eastAsia="en-US" w:bidi="ar-SA"/>
              </w:rPr>
              <w:t>я 2026 г</w:t>
            </w:r>
            <w:r>
              <w:rPr>
                <w:rFonts w:eastAsia="Calibri" w:cs=""/>
                <w:b/>
                <w:kern w:val="0"/>
                <w:sz w:val="22"/>
                <w:szCs w:val="22"/>
                <w:lang w:val="ru-RU" w:eastAsia="en-US" w:bidi="ar-SA"/>
              </w:rPr>
              <w:t>. в 01 ч. 00 мин.  (по московскому времени) / в 10 ч. 00 мин.  (по местному времени Организатора).</w:t>
            </w:r>
          </w:p>
          <w:p>
            <w:pPr>
              <w:pStyle w:val="Style25"/>
              <w:widowControl w:val="false"/>
              <w:suppressAutoHyphens w:val="true"/>
              <w:spacing w:before="60" w:after="60"/>
              <w:rPr>
                <w:sz w:val="24"/>
                <w:szCs w:val="24"/>
              </w:rPr>
            </w:pPr>
            <w:r>
              <w:rPr>
                <w:rFonts w:eastAsia="Calibri" w:cs=""/>
                <w:kern w:val="0"/>
                <w:sz w:val="24"/>
                <w:szCs w:val="24"/>
                <w:lang w:val="ru-RU" w:eastAsia="en-US" w:bidi="ar-SA"/>
              </w:rPr>
              <w:t>Организатор вправе не предоставлять разъяснение если запрос от Участника поступил позднее чем за 3 (три) рабочих дня до даты окончания срока подачи заявок, установленной в пункте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_Ref125360779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1.2.18</w:t>
            </w:r>
            <w:r>
              <w:rPr>
                <w:sz w:val="24"/>
                <w:kern w:val="0"/>
                <w:szCs w:val="24"/>
                <w:rFonts w:eastAsia="Calibri" w:cs=""/>
                <w:lang w:val="ru-RU" w:eastAsia="en-US" w:bidi="ar-SA"/>
              </w:rPr>
              <w:fldChar w:fldCharType="end"/>
            </w:r>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40" w:name="_Ref125476197"/>
            <w:bookmarkStart w:id="41" w:name="_Ref125476197"/>
            <w:bookmarkEnd w:id="41"/>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Место открытия</w:t>
              <w:br/>
              <w:t>доступа к заявкам:</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Открытие доступа к заявкам осуществляется автоматически на ЭП, расположенной по адресу согласно пункту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_Ref125360764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1.2.5</w:t>
            </w:r>
            <w:r>
              <w:rPr>
                <w:sz w:val="24"/>
                <w:kern w:val="0"/>
                <w:szCs w:val="24"/>
                <w:rFonts w:eastAsia="Calibri" w:cs=""/>
                <w:lang w:val="ru-RU" w:eastAsia="en-US" w:bidi="ar-SA"/>
              </w:rPr>
              <w:fldChar w:fldCharType="end"/>
            </w:r>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42" w:name="_Ref125362733"/>
            <w:bookmarkStart w:id="43" w:name="_Ref125362733"/>
            <w:bookmarkEnd w:id="43"/>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окончания рассмотрения первых частей заявок:</w:t>
            </w:r>
          </w:p>
        </w:tc>
        <w:tc>
          <w:tcPr>
            <w:tcW w:w="5860" w:type="dxa"/>
            <w:tcBorders/>
          </w:tcPr>
          <w:p>
            <w:pPr>
              <w:pStyle w:val="Style25"/>
              <w:widowControl w:val="false"/>
              <w:suppressAutoHyphens w:val="true"/>
              <w:spacing w:before="60" w:after="60"/>
              <w:rPr>
                <w:rStyle w:val="Style8"/>
                <w:sz w:val="24"/>
                <w:szCs w:val="24"/>
              </w:rPr>
            </w:pPr>
            <w:r>
              <w:rPr>
                <w:rFonts w:eastAsia="Calibri" w:cs=""/>
                <w:b/>
                <w:kern w:val="0"/>
                <w:sz w:val="24"/>
                <w:szCs w:val="24"/>
                <w:lang w:val="ru-RU" w:eastAsia="en-US" w:bidi="ar-SA"/>
              </w:rPr>
              <w:t>«</w:t>
            </w:r>
            <w:r>
              <w:rPr>
                <w:rFonts w:eastAsia="Calibri" w:cs=""/>
                <w:b/>
                <w:kern w:val="0"/>
                <w:sz w:val="24"/>
                <w:szCs w:val="24"/>
                <w:lang w:val="ru-RU" w:eastAsia="en-US" w:bidi="ar-SA"/>
              </w:rPr>
              <w:t xml:space="preserve">06» </w:t>
            </w:r>
            <w:r>
              <w:rPr>
                <w:rFonts w:eastAsia="Calibri" w:cs=""/>
                <w:b/>
                <w:kern w:val="0"/>
                <w:sz w:val="24"/>
                <w:szCs w:val="24"/>
                <w:lang w:val="ru-RU" w:eastAsia="en-US" w:bidi="ar-SA"/>
              </w:rPr>
              <w:t>ию</w:t>
            </w:r>
            <w:r>
              <w:rPr>
                <w:rFonts w:eastAsia="Calibri" w:cs=""/>
                <w:b/>
                <w:kern w:val="0"/>
                <w:sz w:val="24"/>
                <w:szCs w:val="24"/>
                <w:lang w:val="ru-RU" w:eastAsia="en-US" w:bidi="ar-SA"/>
              </w:rPr>
              <w:t>л</w:t>
            </w:r>
            <w:r>
              <w:rPr>
                <w:rFonts w:eastAsia="Calibri" w:cs=""/>
                <w:b/>
                <w:kern w:val="0"/>
                <w:sz w:val="24"/>
                <w:szCs w:val="24"/>
                <w:lang w:val="ru-RU" w:eastAsia="en-US" w:bidi="ar-SA"/>
              </w:rPr>
              <w:t>я 2026 г.</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и время</w:t>
              <w:br/>
              <w:t>проведения аукциона:</w:t>
            </w:r>
          </w:p>
        </w:tc>
        <w:tc>
          <w:tcPr>
            <w:tcW w:w="5860" w:type="dxa"/>
            <w:tcBorders/>
          </w:tcPr>
          <w:p>
            <w:pPr>
              <w:pStyle w:val="Style25"/>
              <w:widowControl w:val="false"/>
              <w:suppressAutoHyphens w:val="true"/>
              <w:spacing w:before="60" w:after="60"/>
              <w:rPr>
                <w:b/>
                <w:sz w:val="22"/>
              </w:rPr>
            </w:pPr>
            <w:r>
              <w:rPr>
                <w:rFonts w:eastAsia="Calibri" w:cs=""/>
                <w:b/>
                <w:kern w:val="0"/>
                <w:sz w:val="24"/>
                <w:szCs w:val="24"/>
                <w:lang w:val="ru-RU" w:eastAsia="en-US" w:bidi="ar-SA"/>
              </w:rPr>
              <w:t>«</w:t>
            </w:r>
            <w:r>
              <w:rPr>
                <w:rFonts w:eastAsia="Calibri" w:cs=""/>
                <w:b/>
                <w:kern w:val="0"/>
                <w:sz w:val="24"/>
                <w:szCs w:val="24"/>
                <w:lang w:val="ru-RU" w:eastAsia="en-US" w:bidi="ar-SA"/>
              </w:rPr>
              <w:t>07</w:t>
            </w:r>
            <w:r>
              <w:rPr>
                <w:rFonts w:eastAsia="Calibri" w:cs=""/>
                <w:b/>
                <w:kern w:val="0"/>
                <w:sz w:val="24"/>
                <w:szCs w:val="24"/>
                <w:lang w:val="ru-RU" w:eastAsia="en-US" w:bidi="ar-SA"/>
              </w:rPr>
              <w:t>» ию</w:t>
            </w:r>
            <w:r>
              <w:rPr>
                <w:rFonts w:eastAsia="Calibri" w:cs=""/>
                <w:b/>
                <w:kern w:val="0"/>
                <w:sz w:val="24"/>
                <w:szCs w:val="24"/>
                <w:lang w:val="ru-RU" w:eastAsia="en-US" w:bidi="ar-SA"/>
              </w:rPr>
              <w:t>л</w:t>
            </w:r>
            <w:r>
              <w:rPr>
                <w:rFonts w:eastAsia="Calibri" w:cs=""/>
                <w:b/>
                <w:kern w:val="0"/>
                <w:sz w:val="24"/>
                <w:szCs w:val="24"/>
                <w:lang w:val="ru-RU" w:eastAsia="en-US" w:bidi="ar-SA"/>
              </w:rPr>
              <w:t>я 2026 г.</w:t>
            </w:r>
            <w:r>
              <w:rPr>
                <w:rFonts w:eastAsia="Calibri" w:cs=""/>
                <w:b/>
                <w:kern w:val="0"/>
                <w:sz w:val="22"/>
                <w:szCs w:val="22"/>
                <w:lang w:val="ru-RU" w:eastAsia="en-US" w:bidi="ar-SA"/>
              </w:rPr>
              <w:t xml:space="preserve"> в 09 ч. 00 мин.  (</w:t>
            </w:r>
            <w:r>
              <w:rPr>
                <w:rFonts w:eastAsia="Calibri" w:cs=""/>
                <w:b w:val="false"/>
                <w:bCs w:val="false"/>
                <w:kern w:val="0"/>
                <w:sz w:val="22"/>
                <w:szCs w:val="22"/>
                <w:lang w:val="ru-RU" w:eastAsia="en-US" w:bidi="ar-SA"/>
              </w:rPr>
              <w:t>по московскому времени) / в 18 ч. 00 мин.  (по местному времени Организатора).</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Срок направления Оператором ЭП вторых частей заявок в адрес Организатора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 позднее 1 (одного) рабочего дня, следующего за днем окончания процедуры аукциона (подачи Участниками ценовых предложений).</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44" w:name="_Ref132898515"/>
            <w:bookmarkStart w:id="45" w:name="_Ref132898515"/>
            <w:bookmarkEnd w:id="45"/>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окончания рассмотрения вторых частей заявок:</w:t>
            </w:r>
          </w:p>
        </w:tc>
        <w:tc>
          <w:tcPr>
            <w:tcW w:w="5860" w:type="dxa"/>
            <w:tcBorders/>
          </w:tcPr>
          <w:p>
            <w:pPr>
              <w:pStyle w:val="Style25"/>
              <w:widowControl w:val="false"/>
              <w:suppressAutoHyphens w:val="true"/>
              <w:spacing w:before="60" w:after="60"/>
              <w:rPr>
                <w:sz w:val="24"/>
                <w:szCs w:val="24"/>
              </w:rPr>
            </w:pPr>
            <w:r>
              <w:rPr>
                <w:rFonts w:eastAsia="Calibri" w:cs=""/>
                <w:b/>
                <w:kern w:val="0"/>
                <w:sz w:val="24"/>
                <w:szCs w:val="24"/>
                <w:lang w:val="ru-RU" w:eastAsia="en-US" w:bidi="ar-SA"/>
              </w:rPr>
              <w:t>«</w:t>
            </w:r>
            <w:r>
              <w:rPr>
                <w:rFonts w:eastAsia="Calibri" w:cs=""/>
                <w:b/>
                <w:kern w:val="0"/>
                <w:sz w:val="24"/>
                <w:szCs w:val="24"/>
                <w:lang w:val="ru-RU" w:eastAsia="en-US" w:bidi="ar-SA"/>
              </w:rPr>
              <w:t>10</w:t>
            </w:r>
            <w:r>
              <w:rPr>
                <w:rFonts w:eastAsia="Calibri" w:cs=""/>
                <w:b/>
                <w:kern w:val="0"/>
                <w:sz w:val="24"/>
                <w:szCs w:val="24"/>
                <w:lang w:val="ru-RU" w:eastAsia="en-US" w:bidi="ar-SA"/>
              </w:rPr>
              <w:t>» ию</w:t>
            </w:r>
            <w:r>
              <w:rPr>
                <w:rFonts w:eastAsia="Calibri" w:cs=""/>
                <w:b/>
                <w:kern w:val="0"/>
                <w:sz w:val="24"/>
                <w:szCs w:val="24"/>
                <w:lang w:val="ru-RU" w:eastAsia="en-US" w:bidi="ar-SA"/>
              </w:rPr>
              <w:t>л</w:t>
            </w:r>
            <w:r>
              <w:rPr>
                <w:rFonts w:eastAsia="Calibri" w:cs=""/>
                <w:b/>
                <w:kern w:val="0"/>
                <w:sz w:val="24"/>
                <w:szCs w:val="24"/>
                <w:lang w:val="ru-RU" w:eastAsia="en-US" w:bidi="ar-SA"/>
              </w:rPr>
              <w:t>я 2026 г</w:t>
            </w:r>
            <w:r>
              <w:rPr>
                <w:rFonts w:eastAsia="Calibri" w:cs=""/>
                <w:b/>
                <w:kern w:val="0"/>
                <w:sz w:val="22"/>
                <w:szCs w:val="22"/>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46" w:name="_Ref125362757"/>
            <w:bookmarkStart w:id="47" w:name="_Ref125362757"/>
            <w:bookmarkEnd w:id="47"/>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Дата подведения</w:t>
              <w:br/>
              <w:t>итогов закупки:</w:t>
            </w:r>
          </w:p>
        </w:tc>
        <w:tc>
          <w:tcPr>
            <w:tcW w:w="5860" w:type="dxa"/>
            <w:tcBorders/>
          </w:tcPr>
          <w:p>
            <w:pPr>
              <w:pStyle w:val="Style25"/>
              <w:widowControl w:val="false"/>
              <w:suppressAutoHyphens w:val="true"/>
              <w:spacing w:before="60" w:after="60"/>
              <w:rPr>
                <w:rStyle w:val="Style8"/>
                <w:sz w:val="24"/>
                <w:szCs w:val="24"/>
              </w:rPr>
            </w:pPr>
            <w:r>
              <w:rPr>
                <w:rFonts w:eastAsia="Calibri" w:cs=""/>
                <w:b/>
                <w:kern w:val="0"/>
                <w:sz w:val="24"/>
                <w:szCs w:val="24"/>
                <w:lang w:val="ru-RU" w:eastAsia="en-US" w:bidi="ar-SA"/>
              </w:rPr>
              <w:t>«</w:t>
            </w:r>
            <w:r>
              <w:rPr>
                <w:rFonts w:eastAsia="Calibri" w:cs=""/>
                <w:b/>
                <w:kern w:val="0"/>
                <w:sz w:val="24"/>
                <w:szCs w:val="24"/>
                <w:lang w:val="ru-RU" w:eastAsia="en-US" w:bidi="ar-SA"/>
              </w:rPr>
              <w:t>14</w:t>
            </w:r>
            <w:r>
              <w:rPr>
                <w:rFonts w:eastAsia="Calibri" w:cs=""/>
                <w:b/>
                <w:kern w:val="0"/>
                <w:sz w:val="24"/>
                <w:szCs w:val="24"/>
                <w:lang w:val="ru-RU" w:eastAsia="en-US" w:bidi="ar-SA"/>
              </w:rPr>
              <w:t>» ию</w:t>
            </w:r>
            <w:r>
              <w:rPr>
                <w:rFonts w:eastAsia="Calibri" w:cs=""/>
                <w:b/>
                <w:kern w:val="0"/>
                <w:sz w:val="24"/>
                <w:szCs w:val="24"/>
                <w:lang w:val="ru-RU" w:eastAsia="en-US" w:bidi="ar-SA"/>
              </w:rPr>
              <w:t>л</w:t>
            </w:r>
            <w:r>
              <w:rPr>
                <w:rFonts w:eastAsia="Calibri" w:cs=""/>
                <w:b/>
                <w:kern w:val="0"/>
                <w:sz w:val="24"/>
                <w:szCs w:val="24"/>
                <w:lang w:val="ru-RU" w:eastAsia="en-US" w:bidi="ar-SA"/>
              </w:rPr>
              <w:t>я 2026 г</w:t>
            </w:r>
            <w:r>
              <w:rPr>
                <w:rFonts w:eastAsia="Calibri" w:cs=""/>
                <w:b/>
                <w:kern w:val="0"/>
                <w:sz w:val="22"/>
                <w:szCs w:val="22"/>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48" w:name="_Ref125366047"/>
            <w:bookmarkStart w:id="49" w:name="_Ref125366047"/>
            <w:bookmarkEnd w:id="49"/>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Преференция продукции, изготовленной с использованием российского алюминия и (или) алюминиевых полуфабрикатов:</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 предоставляется.</w:t>
            </w:r>
          </w:p>
          <w:p>
            <w:pPr>
              <w:pStyle w:val="Style28"/>
              <w:widowControl w:val="false"/>
              <w:suppressAutoHyphens w:val="true"/>
              <w:spacing w:before="60" w:after="60"/>
              <w:rPr>
                <w:sz w:val="24"/>
                <w:szCs w:val="24"/>
              </w:rPr>
            </w:pPr>
            <w:r>
              <w:rPr>
                <w:sz w:val="24"/>
                <w:szCs w:val="24"/>
              </w:rPr>
            </w:r>
          </w:p>
        </w:tc>
      </w:tr>
      <w:tr>
        <w:trPr/>
        <w:tc>
          <w:tcPr>
            <w:tcW w:w="695" w:type="dxa"/>
            <w:tcBorders/>
          </w:tcPr>
          <w:p>
            <w:pPr>
              <w:pStyle w:val="Style21"/>
              <w:widowControl w:val="false"/>
              <w:suppressAutoHyphens w:val="true"/>
              <w:spacing w:before="60" w:after="60"/>
              <w:rPr>
                <w:sz w:val="24"/>
                <w:szCs w:val="24"/>
              </w:rPr>
            </w:pPr>
            <w:r>
              <w:rPr>
                <w:sz w:val="24"/>
                <w:szCs w:val="24"/>
              </w:rPr>
            </w:r>
            <w:bookmarkStart w:id="50" w:name="_Ref125361769"/>
            <w:bookmarkStart w:id="51" w:name="_Ref125361769"/>
            <w:bookmarkEnd w:id="51"/>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Рассмотрение, оценка и сопоставление заявок Участников с учетом привлекаемых субподрядчиков:</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 предусмотрено.</w:t>
            </w:r>
          </w:p>
          <w:p>
            <w:pPr>
              <w:pStyle w:val="Style28"/>
              <w:widowControl w:val="false"/>
              <w:suppressAutoHyphens w:val="true"/>
              <w:spacing w:before="60" w:after="60"/>
              <w:rPr>
                <w:sz w:val="24"/>
                <w:szCs w:val="24"/>
              </w:rPr>
            </w:pPr>
            <w:r>
              <w:rPr>
                <w:sz w:val="24"/>
                <w:szCs w:val="24"/>
              </w:rPr>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Порядок подведения итогов закупки:</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Победителем закупки признается Участник, заявка которого соответствует требованиям Документации о закупке и который предложил наиболее низкую стоимость заявки (цену Договора), а если при проведении аукциона цена была снижена до нуля и далее аукцион проводился на повышение цен – наиболее высокую стоимость заявки (цену Договора).</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52" w:name="_Ref125366606"/>
            <w:bookmarkStart w:id="53" w:name="_Ref125366606"/>
            <w:bookmarkEnd w:id="53"/>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Количество победителей закупки (в рамках одного лота):</w:t>
            </w:r>
          </w:p>
        </w:tc>
        <w:tc>
          <w:tcPr>
            <w:tcW w:w="5860" w:type="dxa"/>
            <w:tcBorders/>
          </w:tcPr>
          <w:p>
            <w:pPr>
              <w:pStyle w:val="Style28"/>
              <w:widowControl w:val="false"/>
              <w:suppressAutoHyphens w:val="true"/>
              <w:spacing w:before="60" w:after="60"/>
              <w:rPr>
                <w:i w:val="false"/>
                <w:i w:val="false"/>
                <w:sz w:val="24"/>
                <w:szCs w:val="24"/>
                <w:shd w:fill="auto" w:val="clear"/>
              </w:rPr>
            </w:pPr>
            <w:r>
              <w:rPr>
                <w:rFonts w:eastAsia="Calibri" w:cs=""/>
                <w:i w:val="false"/>
                <w:kern w:val="0"/>
                <w:sz w:val="24"/>
                <w:szCs w:val="24"/>
                <w:shd w:fill="auto" w:val="clear"/>
                <w:lang w:val="ru-RU" w:eastAsia="en-US" w:bidi="ar-SA"/>
              </w:rPr>
              <w:t>Один Победитель</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54" w:name="_Ref125366813"/>
            <w:bookmarkStart w:id="55" w:name="_Ref125366813"/>
            <w:bookmarkEnd w:id="55"/>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Место подачи документов в отношении цепочки собственников, включая конечных бенефициаров:</w:t>
            </w:r>
          </w:p>
        </w:tc>
        <w:tc>
          <w:tcPr>
            <w:tcW w:w="5860" w:type="dxa"/>
            <w:tcBorders/>
          </w:tcPr>
          <w:p>
            <w:pPr>
              <w:pStyle w:val="Tableheader"/>
              <w:widowControl w:val="false"/>
              <w:spacing w:before="0" w:after="60"/>
              <w:rPr>
                <w:rStyle w:val="Hyperlink"/>
                <w:sz w:val="24"/>
              </w:rPr>
            </w:pPr>
            <w:r>
              <w:rPr>
                <w:kern w:val="0"/>
                <w:sz w:val="24"/>
                <w:lang w:val="ru-RU" w:bidi="ar-SA"/>
              </w:rPr>
              <w:t xml:space="preserve">Адрес электронной почты: </w:t>
            </w:r>
            <w:hyperlink r:id="rId7">
              <w:r>
                <w:rPr>
                  <w:rStyle w:val="Hyperlink"/>
                  <w:kern w:val="0"/>
                  <w:sz w:val="24"/>
                  <w:lang w:val="ru-RU" w:bidi="ar-SA"/>
                </w:rPr>
                <w:t>kotty@rushydro.ru</w:t>
              </w:r>
            </w:hyperlink>
            <w:r>
              <w:rPr>
                <w:kern w:val="0"/>
                <w:lang w:val="ru-RU" w:bidi="ar-SA"/>
              </w:rPr>
              <w:t xml:space="preserve"> </w:t>
            </w:r>
          </w:p>
          <w:p>
            <w:pPr>
              <w:pStyle w:val="Tableheader"/>
              <w:widowControl w:val="false"/>
              <w:spacing w:before="0" w:after="60"/>
              <w:rPr>
                <w:sz w:val="24"/>
              </w:rPr>
            </w:pPr>
            <w:r>
              <w:rPr>
                <w:b w:val="false"/>
                <w:kern w:val="0"/>
                <w:sz w:val="24"/>
                <w:lang w:val="ru-RU" w:bidi="ar-SA"/>
              </w:rPr>
              <w:t>Ведущий экономист отдела организации и проведения закупочных процедур - Кот Татьяна Юрьевна</w:t>
            </w:r>
          </w:p>
        </w:tc>
      </w:tr>
      <w:tr>
        <w:trPr/>
        <w:tc>
          <w:tcPr>
            <w:tcW w:w="695" w:type="dxa"/>
            <w:tcBorders/>
          </w:tcPr>
          <w:p>
            <w:pPr>
              <w:pStyle w:val="Style21"/>
              <w:widowControl w:val="false"/>
              <w:suppressAutoHyphens w:val="true"/>
              <w:spacing w:before="60" w:after="60"/>
              <w:rPr>
                <w:sz w:val="24"/>
                <w:szCs w:val="24"/>
              </w:rPr>
            </w:pPr>
            <w:r>
              <w:rPr>
                <w:sz w:val="24"/>
                <w:szCs w:val="24"/>
              </w:rPr>
            </w:r>
            <w:bookmarkStart w:id="56" w:name="_Ref125368490"/>
            <w:bookmarkStart w:id="57" w:name="_Ref125368490"/>
            <w:bookmarkEnd w:id="57"/>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Некритичные пункты Проекта договора: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Отсутствуют.</w:t>
            </w:r>
          </w:p>
          <w:p>
            <w:pPr>
              <w:pStyle w:val="Style25"/>
              <w:widowControl w:val="false"/>
              <w:suppressAutoHyphens w:val="true"/>
              <w:spacing w:before="60" w:after="60"/>
              <w:rPr>
                <w:sz w:val="24"/>
                <w:szCs w:val="24"/>
              </w:rPr>
            </w:pPr>
            <w:r>
              <w:rPr>
                <w:rFonts w:eastAsia="Calibri" w:cs=""/>
                <w:b/>
                <w:i/>
                <w:kern w:val="0"/>
                <w:sz w:val="24"/>
                <w:szCs w:val="24"/>
                <w:lang w:val="ru-RU" w:eastAsia="en-US" w:bidi="ar-SA"/>
              </w:rPr>
              <w:t xml:space="preserve">Внимание! Корректировка пунктов Проекта договора, не указанных в настоящем разделе, не допускается. Договор заключается в редакции </w:t>
            </w:r>
            <w:hyperlink w:anchor="Прил02_ПроектДоговора">
              <w:r>
                <w:rPr>
                  <w:rStyle w:val="Style11"/>
                  <w:rFonts w:eastAsia="Calibri" w:cs=""/>
                  <w:b/>
                  <w:i/>
                  <w:kern w:val="0"/>
                  <w:sz w:val="24"/>
                  <w:szCs w:val="24"/>
                  <w:lang w:val="ru-RU" w:eastAsia="en-US" w:bidi="ar-SA"/>
                </w:rPr>
                <w:t>Приложения № 2</w:t>
              </w:r>
            </w:hyperlink>
            <w:r>
              <w:rPr>
                <w:rFonts w:eastAsia="Calibri" w:cs=""/>
                <w:kern w:val="0"/>
                <w:sz w:val="24"/>
                <w:szCs w:val="24"/>
                <w:lang w:val="ru-RU" w:eastAsia="en-US" w:bidi="ar-SA"/>
              </w:rPr>
              <w:t>.</w:t>
            </w:r>
          </w:p>
        </w:tc>
      </w:tr>
      <w:tr>
        <w:trPr/>
        <w:tc>
          <w:tcPr>
            <w:tcW w:w="695" w:type="dxa"/>
            <w:tcBorders/>
          </w:tcPr>
          <w:p>
            <w:pPr>
              <w:pStyle w:val="Style21"/>
              <w:widowControl w:val="false"/>
              <w:suppressAutoHyphens w:val="true"/>
              <w:spacing w:before="60" w:after="60"/>
              <w:rPr>
                <w:sz w:val="24"/>
                <w:szCs w:val="24"/>
              </w:rPr>
            </w:pPr>
            <w:r>
              <w:rPr>
                <w:sz w:val="24"/>
                <w:szCs w:val="24"/>
              </w:rPr>
            </w:r>
          </w:p>
        </w:tc>
        <w:tc>
          <w:tcPr>
            <w:tcW w:w="3357" w:type="dxa"/>
            <w:tcBorders/>
          </w:tcPr>
          <w:p>
            <w:pPr>
              <w:pStyle w:val="Style25"/>
              <w:widowControl w:val="false"/>
              <w:suppressAutoHyphens w:val="true"/>
              <w:spacing w:before="60" w:after="60"/>
              <w:jc w:val="left"/>
              <w:rPr>
                <w:sz w:val="24"/>
                <w:szCs w:val="24"/>
              </w:rPr>
            </w:pPr>
            <w:r>
              <w:rPr>
                <w:rFonts w:eastAsia="Calibri" w:cs=""/>
                <w:kern w:val="0"/>
                <w:sz w:val="24"/>
                <w:szCs w:val="24"/>
                <w:lang w:val="ru-RU" w:eastAsia="en-US" w:bidi="ar-SA"/>
              </w:rPr>
              <w:t>Обеспечение</w:t>
              <w:br/>
              <w:t>исполнения Договора:</w:t>
            </w:r>
          </w:p>
        </w:tc>
        <w:tc>
          <w:tcPr>
            <w:tcW w:w="5860"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Не требуется.</w:t>
            </w:r>
          </w:p>
        </w:tc>
      </w:tr>
    </w:tbl>
    <w:p>
      <w:pPr>
        <w:pStyle w:val="Style19"/>
        <w:rPr/>
      </w:pPr>
      <w:bookmarkStart w:id="58" w:name="_Ref125360073"/>
      <w:bookmarkStart w:id="59" w:name="_Ref125360337"/>
      <w:bookmarkStart w:id="60" w:name="_Toc188946912"/>
      <w:r>
        <w:rPr/>
        <w:t>Общие положения</w:t>
      </w:r>
      <w:bookmarkEnd w:id="58"/>
      <w:bookmarkEnd w:id="59"/>
      <w:bookmarkEnd w:id="60"/>
    </w:p>
    <w:p>
      <w:pPr>
        <w:pStyle w:val="Style20"/>
        <w:rPr/>
      </w:pPr>
      <w:bookmarkStart w:id="61" w:name="_Toc188946913"/>
      <w:r>
        <w:rPr/>
        <w:t>Общие сведения о закупке</w:t>
      </w:r>
      <w:bookmarkEnd w:id="61"/>
    </w:p>
    <w:p>
      <w:pPr>
        <w:pStyle w:val="Style21"/>
        <w:rPr/>
      </w:pPr>
      <w:r>
        <w:rPr/>
        <w:t>Организатор официально размещенным Извещением приглашает лиц, указанных в подразделе </w:t>
      </w:r>
      <w:r>
        <w:rPr/>
        <w:fldChar w:fldCharType="begin"/>
      </w:r>
      <w:r>
        <w:rPr/>
        <w:instrText xml:space="preserve"> REF _Ref125359973 \r \h </w:instrText>
      </w:r>
      <w:r>
        <w:rPr/>
        <w:fldChar w:fldCharType="separate"/>
      </w:r>
      <w:r>
        <w:rPr/>
        <w:t>1.2</w:t>
      </w:r>
      <w:r>
        <w:rPr/>
        <w:fldChar w:fldCharType="end"/>
      </w:r>
      <w:r>
        <w:rPr/>
        <w:t>, к участию в закупке на право заключения договора, предмет которого указан в том же подразделе.</w:t>
      </w:r>
    </w:p>
    <w:p>
      <w:pPr>
        <w:pStyle w:val="Style21"/>
        <w:rPr/>
      </w:pPr>
      <w:r>
        <w:rPr/>
        <w:t>Требования к Участникам, а также к документам, подтверждающим соответствие установленным требованиям, приведены в разделе </w:t>
      </w:r>
      <w:r>
        <w:rPr/>
        <w:fldChar w:fldCharType="begin"/>
      </w:r>
      <w:r>
        <w:rPr/>
        <w:instrText xml:space="preserve"> REF _Ref125361210 \r \h </w:instrText>
      </w:r>
      <w:r>
        <w:rPr/>
        <w:fldChar w:fldCharType="separate"/>
      </w:r>
      <w:r>
        <w:rPr/>
        <w:t>3</w:t>
      </w:r>
      <w:r>
        <w:rPr/>
        <w:fldChar w:fldCharType="end"/>
      </w:r>
      <w:r>
        <w:rPr/>
        <w:t xml:space="preserve"> Документации о закупке.</w:t>
      </w:r>
    </w:p>
    <w:p>
      <w:pPr>
        <w:pStyle w:val="Style21"/>
        <w:rPr/>
      </w:pPr>
      <w:r>
        <w:rPr/>
        <w:t xml:space="preserve">Требования к поставляемой продукции, включая срок, объем и место поставки продукции, изложены в </w:t>
      </w:r>
      <w:hyperlink w:anchor="Прил01_ТехТребования">
        <w:r>
          <w:rPr>
            <w:rStyle w:val="Style11"/>
          </w:rPr>
          <w:t>Технических требованиях (Приложение № 1)</w:t>
        </w:r>
      </w:hyperlink>
      <w:r>
        <w:rPr/>
        <w:t xml:space="preserve">. </w:t>
      </w:r>
      <w:hyperlink w:anchor="Прил02_ПроектДоговора">
        <w:r>
          <w:rPr>
            <w:rStyle w:val="Style11"/>
          </w:rPr>
          <w:t>Проект договора</w:t>
        </w:r>
      </w:hyperlink>
      <w:r>
        <w:rPr/>
        <w:t>, который планируется заключить по результатам закупки, в том числе содержащий условия по форме, срокам и порядку оплаты, приведен в </w:t>
      </w:r>
      <w:hyperlink w:anchor="Прил02_ПроектДоговора">
        <w:r>
          <w:rPr>
            <w:rStyle w:val="Style11"/>
          </w:rPr>
          <w:t>Приложении № 2</w:t>
        </w:r>
      </w:hyperlink>
      <w:r>
        <w:rPr/>
        <w:t>.</w:t>
      </w:r>
    </w:p>
    <w:p>
      <w:pPr>
        <w:pStyle w:val="Style21"/>
        <w:rPr/>
      </w:pPr>
      <w:r>
        <w:rPr/>
        <w:t>Подробная информация о порядке проведения закупки и участия в ней, а также о порядке заключения Договора, приведены в разделах </w:t>
      </w:r>
      <w:r>
        <w:rPr/>
        <w:fldChar w:fldCharType="begin"/>
      </w:r>
      <w:r>
        <w:rPr/>
        <w:instrText xml:space="preserve"> REF _Ref125361211 \r \h </w:instrText>
      </w:r>
      <w:r>
        <w:rPr/>
        <w:fldChar w:fldCharType="separate"/>
      </w:r>
      <w:r>
        <w:rPr/>
        <w:t>4</w:t>
      </w:r>
      <w:r>
        <w:rPr/>
        <w:fldChar w:fldCharType="end"/>
      </w:r>
      <w:r>
        <w:rPr/>
        <w:t xml:space="preserve">, </w:t>
      </w:r>
      <w:r>
        <w:rPr/>
        <w:fldChar w:fldCharType="begin"/>
      </w:r>
      <w:r>
        <w:rPr/>
        <w:instrText xml:space="preserve"> REF _Ref126142429 \r \h </w:instrText>
      </w:r>
      <w:r>
        <w:rPr/>
        <w:fldChar w:fldCharType="separate"/>
      </w:r>
      <w:r>
        <w:rPr/>
        <w:t>5</w:t>
      </w:r>
      <w:r>
        <w:rPr/>
        <w:fldChar w:fldCharType="end"/>
      </w:r>
      <w:r>
        <w:rPr/>
        <w:t xml:space="preserve">, образцы основных форм документов, включаемых в заявку или предоставляемых Победителем, приведены в Приложениях </w:t>
      </w:r>
      <w:hyperlink w:anchor="Прил04_ФормыЗаявки">
        <w:r>
          <w:rPr>
            <w:rStyle w:val="Style11"/>
          </w:rPr>
          <w:t>№ 4</w:t>
        </w:r>
      </w:hyperlink>
      <w:r>
        <w:rPr/>
        <w:t xml:space="preserve">, </w:t>
      </w:r>
      <w:hyperlink w:anchor="Прил05_ФормыПобедителя">
        <w:r>
          <w:rPr>
            <w:rStyle w:val="Style11"/>
          </w:rPr>
          <w:t>№ 5</w:t>
        </w:r>
      </w:hyperlink>
      <w:r>
        <w:rPr/>
        <w:t>.</w:t>
      </w:r>
    </w:p>
    <w:p>
      <w:pPr>
        <w:pStyle w:val="Style20"/>
        <w:rPr/>
      </w:pPr>
      <w:bookmarkStart w:id="62" w:name="_Toc188946914"/>
      <w:r>
        <w:rPr/>
        <w:t>Правовой статус документов</w:t>
      </w:r>
      <w:bookmarkEnd w:id="62"/>
    </w:p>
    <w:p>
      <w:pPr>
        <w:pStyle w:val="Style21"/>
        <w:rPr/>
      </w:pPr>
      <w:r>
        <w:rPr/>
        <w:t>Документация о закупке вместе с Извещением, являющимся ее неотъемлемой частью, являются публичной офертой Организатора в соответствии со статьей 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pPr>
        <w:pStyle w:val="Style21"/>
        <w:rPr/>
      </w:pPr>
      <w:r>
        <w:rPr/>
        <w:t>Заявка Участника имеет правовой статус оферты и будет рассматриваться Организатором в течение указанного в ней срока ее действия.</w:t>
      </w:r>
    </w:p>
    <w:p>
      <w:pPr>
        <w:pStyle w:val="Style21"/>
        <w:keepNext w:val="true"/>
        <w:rPr/>
      </w:pPr>
      <w:bookmarkStart w:id="63" w:name="_Ref125366985"/>
      <w:r>
        <w:rPr/>
        <w:t>При определении условий Договора по результатам закупки используется иерархия документов, установленная в пункте </w:t>
      </w:r>
      <w:r>
        <w:rPr/>
        <w:fldChar w:fldCharType="begin"/>
      </w:r>
      <w:r>
        <w:rPr/>
        <w:instrText xml:space="preserve"> REF _Ref132288402 \r \h </w:instrText>
      </w:r>
      <w:r>
        <w:rPr/>
        <w:fldChar w:fldCharType="separate"/>
      </w:r>
      <w:r>
        <w:rPr/>
        <w:t>5.2.8</w:t>
      </w:r>
      <w:r>
        <w:rPr/>
        <w:fldChar w:fldCharType="end"/>
      </w:r>
      <w:bookmarkEnd w:id="63"/>
      <w:r>
        <w:rPr/>
        <w:t>.</w:t>
      </w:r>
    </w:p>
    <w:p>
      <w:pPr>
        <w:pStyle w:val="Style21"/>
        <w:rPr/>
      </w:pPr>
      <w:r>
        <w:rPr/>
        <w:t>Заключенный по результатам закупки Договор, в том числе, фиксирует все достигнутые сторонами договоренности.</w:t>
      </w:r>
    </w:p>
    <w:p>
      <w:pPr>
        <w:pStyle w:val="Style21"/>
        <w:rPr/>
      </w:pPr>
      <w:r>
        <w:rPr/>
        <w:t>Во всем, что не урегулировано Извещением и Документацией о закупке, стороны руководствуются Законом 223-ФЗ и Положением о закупке (в редакции, действующей на дату официального размещения Извещения).</w:t>
      </w:r>
    </w:p>
    <w:p>
      <w:pPr>
        <w:pStyle w:val="Style21"/>
        <w:rPr/>
      </w:pPr>
      <w:r>
        <w:rP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 диспозитивным нормам указанных документов.</w:t>
      </w:r>
    </w:p>
    <w:p>
      <w:pPr>
        <w:pStyle w:val="Style21"/>
        <w:rPr/>
      </w:pPr>
      <w:r>
        <w:rPr/>
        <w:t>Иные документы Организатора и Участников не определяют права и обязанности сторон в связи с данной закупкой.</w:t>
      </w:r>
    </w:p>
    <w:p>
      <w:pPr>
        <w:pStyle w:val="Style21"/>
        <w:rPr/>
      </w:pPr>
      <w:r>
        <w:rPr/>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 закупке), носят исключительно информационный характер и не являются офертой либо акцептом Организатора или Заказчика.</w:t>
      </w:r>
    </w:p>
    <w:p>
      <w:pPr>
        <w:pStyle w:val="Style20"/>
        <w:rPr/>
      </w:pPr>
      <w:bookmarkStart w:id="64" w:name="_Toc188946915"/>
      <w:bookmarkStart w:id="65" w:name="_Ref125363536"/>
      <w:r>
        <w:rPr/>
        <w:t>Обжалование</w:t>
      </w:r>
      <w:bookmarkEnd w:id="64"/>
      <w:bookmarkEnd w:id="65"/>
    </w:p>
    <w:p>
      <w:pPr>
        <w:pStyle w:val="Style21"/>
        <w:rPr/>
      </w:pPr>
      <w:r>
        <w:rPr/>
        <w:t>Любой Участник, который заявляет, что понес или может понести убытки в результате нарушения его прав Заказчиком и (или) Организатором, отдельными членами Закупочной комиссии или Оператором ЭП, имеет право подать заявление о рассмотрении разногласий, связанных с проведением закупки.</w:t>
      </w:r>
    </w:p>
    <w:p>
      <w:pPr>
        <w:pStyle w:val="Style21"/>
        <w:rPr/>
      </w:pPr>
      <w:r>
        <w:rPr/>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 «РусГидро» (вкладка «Линия доверия»), или сообщения информации по 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pPr>
        <w:pStyle w:val="Style21"/>
        <w:keepNext w:val="true"/>
        <w:rPr/>
      </w:pPr>
      <w:r>
        <w:rPr/>
        <w:t>Если разногласия не разрешены по взаимному согласию представившего их Участника и Заказчика, может быть принято одно из следующих решений:</w:t>
      </w:r>
    </w:p>
    <w:p>
      <w:pPr>
        <w:pStyle w:val="Style22"/>
        <w:rPr/>
      </w:pPr>
      <w:r>
        <w:rPr/>
        <w:t>обязать Заказчика, Организатора, 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 (в том числе, но не ограничиваясь, отменить составленные в ходе закупки протоколы, повторно рассмотреть заявки Участников);</w:t>
      </w:r>
    </w:p>
    <w:p>
      <w:pPr>
        <w:pStyle w:val="Style22"/>
        <w:rPr/>
      </w:pPr>
      <w:r>
        <w:rPr/>
        <w:t>признать заявление Участника необоснованным.</w:t>
      </w:r>
    </w:p>
    <w:p>
      <w:pPr>
        <w:pStyle w:val="Style21"/>
        <w:rPr/>
      </w:pPr>
      <w:r>
        <w:rPr/>
        <w:t>Участник вправе обжаловать действия (бездействие) Заказчика и (или) Организатора, Закупочной комиссии, Оператора ЭП при проведении настоящей закупки в антимонопольном органе в порядке, установленном законодательством. Если обжалуемые действия (бездействие) совершены после окончания установленного срока подачи заявок (подраздел </w:t>
      </w:r>
      <w:r>
        <w:rPr/>
        <w:fldChar w:fldCharType="begin"/>
      </w:r>
      <w:r>
        <w:rPr/>
        <w:instrText xml:space="preserve"> REF _Ref125359973 \r \h </w:instrText>
      </w:r>
      <w:r>
        <w:rPr/>
        <w:fldChar w:fldCharType="separate"/>
      </w:r>
      <w:r>
        <w:rPr/>
        <w:t>1.2</w:t>
      </w:r>
      <w:r>
        <w:rPr/>
        <w:fldChar w:fldCharType="end"/>
      </w:r>
      <w:r>
        <w:rPr/>
        <w:t>), обжалование таких действий (бездействия) может осуществляться только Участником, подавшим заявку на участие в такой закупке.</w:t>
      </w:r>
    </w:p>
    <w:p>
      <w:pPr>
        <w:pStyle w:val="Style21"/>
        <w:rPr/>
      </w:pPr>
      <w:r>
        <w:rPr/>
        <w:t>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на «Линию доверия» и (или) антимонопольные органы, подлежат разрешению следующим образом:</w:t>
      </w:r>
    </w:p>
    <w:p>
      <w:pPr>
        <w:pStyle w:val="Style22"/>
        <w:rPr/>
      </w:pPr>
      <w:r>
        <w:rPr/>
        <w:t>по закупкам, проводимым закупочными комиссиями 1-го уровня – в Арбитражном суде по месту нахождения Заказчика (либо соответствующего филиала Заказчика, для нужд которого проводится настоящая закупка);</w:t>
      </w:r>
    </w:p>
    <w:p>
      <w:pPr>
        <w:pStyle w:val="Style22"/>
        <w:rPr/>
      </w:pPr>
      <w:r>
        <w:rPr/>
        <w:t>по закупкам, проводимым закупочными комиссиями 2-го уровня, специальными закупочными комиссиями, закупочными комиссиями исполнительного аппарата ПАО «РусГидро» – в Арбитражном суде г. Москвы.</w:t>
      </w:r>
    </w:p>
    <w:p>
      <w:pPr>
        <w:pStyle w:val="Style25"/>
        <w:ind w:left="1134" w:hanging="0"/>
        <w:rPr/>
      </w:pPr>
      <w:r>
        <w:rPr/>
        <w:t>Закупочная комиссия определяется в соответствии с Положением о закупке.</w:t>
      </w:r>
    </w:p>
    <w:p>
      <w:pPr>
        <w:pStyle w:val="Style20"/>
        <w:rPr/>
      </w:pPr>
      <w:bookmarkStart w:id="66" w:name="_Toc188946916"/>
      <w:r>
        <w:rPr/>
        <w:t>Особые положения при проведении закупки с использованием ЭП</w:t>
      </w:r>
      <w:bookmarkEnd w:id="66"/>
    </w:p>
    <w:p>
      <w:pPr>
        <w:pStyle w:val="Style21"/>
        <w:rPr/>
      </w:pPr>
      <w:r>
        <w:rPr/>
        <w:t>Наименование ЭП, посредством которой проводится закупка, указано в подразделе </w:t>
      </w:r>
      <w:r>
        <w:rPr/>
        <w:fldChar w:fldCharType="begin"/>
      </w:r>
      <w:r>
        <w:rPr/>
        <w:instrText xml:space="preserve"> REF _Ref125359973 \r \h </w:instrText>
      </w:r>
      <w:r>
        <w:rPr/>
        <w:fldChar w:fldCharType="separate"/>
      </w:r>
      <w:r>
        <w:rPr/>
        <w:t>1.2</w:t>
      </w:r>
      <w:r>
        <w:rPr/>
        <w:fldChar w:fldCharType="end"/>
      </w:r>
      <w:r>
        <w:rPr/>
        <w:t>. До подачи заявки Участник обязан ознакомиться с Регламентом ЭП, опубликованными на сайте соответствующей ЭП.</w:t>
      </w:r>
    </w:p>
    <w:p>
      <w:pPr>
        <w:pStyle w:val="Style21"/>
        <w:rPr/>
      </w:pPr>
      <w:r>
        <w:rPr/>
        <w:t>Для участия в закупке Участник должен пройти процедуру регистрации в Едином реестре участников закупок в ЕИС в порядке, предусмотренным Законом 44-ФЗ, т.е. быть зарегистрированным на ЭП. Регистрация осуществляется Федеральным Казначейством, и Организатор (Заказчик) не несет ответственности за результат ее прохождения Участником, в том числе понесенные им затраты.</w:t>
      </w:r>
    </w:p>
    <w:p>
      <w:pPr>
        <w:pStyle w:val="Style21"/>
        <w:rPr/>
      </w:pPr>
      <w:r>
        <w:rPr/>
        <w:t>Правила проведения закупки в том числе определяются Регламентом ЭП.</w:t>
      </w:r>
    </w:p>
    <w:p>
      <w:pPr>
        <w:pStyle w:val="Style21"/>
        <w:rPr/>
      </w:pPr>
      <w:r>
        <w:rPr/>
        <w:t>Обмен всей информацией, связанной с проведением закупки (между Участником, Организатором (Заказчиком) и Оператором ЭП) осуществляется на ЭП в форме электронных документов, подписанных усиленной квалифицированной электронной подписью уполномоченного лица.</w:t>
      </w:r>
    </w:p>
    <w:p>
      <w:pPr>
        <w:pStyle w:val="Style21"/>
        <w:rPr/>
      </w:pPr>
      <w:r>
        <w:rPr/>
        <w:t>Стоимость заявки (цена Договора)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p>
    <w:p>
      <w:pPr>
        <w:pStyle w:val="Style20"/>
        <w:rPr/>
      </w:pPr>
      <w:bookmarkStart w:id="67" w:name="_Toc188946917"/>
      <w:r>
        <w:rPr/>
        <w:t>Прочие положения</w:t>
      </w:r>
      <w:bookmarkEnd w:id="67"/>
    </w:p>
    <w:p>
      <w:pPr>
        <w:pStyle w:val="Style21"/>
        <w:rPr/>
      </w:pPr>
      <w:r>
        <w:rPr/>
        <w:t>Заказчик, Организатор и Оператор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pPr>
        <w:pStyle w:val="Style21"/>
        <w:rPr/>
      </w:pPr>
      <w:r>
        <w:rPr/>
        <w:t>Организатор (по решению Закупочной комиссии), вправе отклонить заявку, если будет установлено, что Участник каким-либо способом повлиял на рассмотрение заявок, их оценку и сопоставление, подведение итогов закупки (определение Победителя), в том числе прямо или косвенно дал, согласился дать или предложил работнику Организатора, Заказчика, члену Закупочной комиссии или эксперту, осуществлявшему экспертизу заявок, вознаграждение в любой форме: работу, услугу, какую-либо ценность в качестве стимула, и (или) оказал каким-либо иным образом давление на указанных лиц.</w:t>
      </w:r>
    </w:p>
    <w:p>
      <w:pPr>
        <w:pStyle w:val="Style21"/>
        <w:rPr/>
      </w:pPr>
      <w:r>
        <w:rPr/>
        <w:t>С целью предупреждения и противодействия противоправным действиям в Группе РусГидро организована круглосуточная «Линия доверия», обратиться на которую можно по телефону +7 (495) 785 09 37 (круглосуточно), или заполнив соответствующую форму на корпоративном сайте ПАО «РусГидро», вкладка «Линия доверия».</w:t>
      </w:r>
    </w:p>
    <w:p>
      <w:pPr>
        <w:pStyle w:val="Style19"/>
        <w:rPr/>
      </w:pPr>
      <w:bookmarkStart w:id="68" w:name="_Toc188946918"/>
      <w:bookmarkStart w:id="69" w:name="_Ref125361210"/>
      <w:r>
        <w:rPr/>
        <w:t>Требования к Участникам</w:t>
      </w:r>
      <w:bookmarkEnd w:id="68"/>
      <w:bookmarkEnd w:id="69"/>
    </w:p>
    <w:p>
      <w:pPr>
        <w:pStyle w:val="Style20"/>
        <w:rPr/>
      </w:pPr>
      <w:bookmarkStart w:id="70" w:name="_Toc188946919"/>
      <w:bookmarkStart w:id="71" w:name="_Ref127524530"/>
      <w:r>
        <w:rPr/>
        <w:t>Общие требования к Участникам</w:t>
      </w:r>
      <w:bookmarkEnd w:id="70"/>
      <w:bookmarkEnd w:id="71"/>
    </w:p>
    <w:p>
      <w:pPr>
        <w:pStyle w:val="Style21"/>
        <w:rPr/>
      </w:pPr>
      <w:bookmarkStart w:id="72" w:name="_Ref125361514"/>
      <w:r>
        <w:rPr/>
        <w:t>Из лиц, указанных в подразделе </w:t>
      </w:r>
      <w:r>
        <w:rPr/>
        <w:fldChar w:fldCharType="begin"/>
      </w:r>
      <w:r>
        <w:rPr/>
        <w:instrText xml:space="preserve"> REF _Ref125359973 \r \h </w:instrText>
      </w:r>
      <w:r>
        <w:rPr/>
        <w:fldChar w:fldCharType="separate"/>
      </w:r>
      <w:r>
        <w:rPr/>
        <w:t>1.2</w:t>
      </w:r>
      <w:r>
        <w:rPr/>
        <w:fldChar w:fldCharType="end"/>
      </w:r>
      <w:r>
        <w:rPr/>
        <w:t>, участвовать в закупке может любое юридическое / физическое лицо (в том числе индивидуальный предприниматель), или несколько юридических / физических лиц, в том числе несколько индивидуальных предпринимателей, выступающих на стороне одного участника закупки, независимо от их организационно-правовой формы, формы собственности, места нахождения и места происхождения капитала. Исключение составляют юридические / физические лица, являющиеся иностранным агентом в соответствии с Законом 255-ФЗ – они не могут быть Участником, в том числе в составе группы лиц.</w:t>
      </w:r>
      <w:bookmarkEnd w:id="72"/>
    </w:p>
    <w:p>
      <w:pPr>
        <w:pStyle w:val="Style21"/>
        <w:rPr/>
      </w:pPr>
      <w:r>
        <w:rPr/>
        <w:t>Однако, чтобы претендовать на победу в закупке Участник самостоятельно или Коллективный участник (подраздел </w:t>
      </w:r>
      <w:r>
        <w:rPr/>
        <w:fldChar w:fldCharType="begin"/>
      </w:r>
      <w:r>
        <w:rPr/>
        <w:instrText xml:space="preserve"> REF _Ref130308062 \r \h </w:instrText>
      </w:r>
      <w:r>
        <w:rPr/>
        <w:fldChar w:fldCharType="separate"/>
      </w:r>
      <w:r>
        <w:rPr/>
        <w:t>3.2</w:t>
      </w:r>
      <w:r>
        <w:rPr/>
        <w:fldChar w:fldCharType="end"/>
      </w:r>
      <w:r>
        <w:rPr/>
        <w:t>) в целом должен отвечать требованиям, установленным в Документации о закупке.</w:t>
      </w:r>
    </w:p>
    <w:p>
      <w:pPr>
        <w:pStyle w:val="Style21"/>
        <w:rPr/>
      </w:pPr>
      <w:r>
        <w:rPr/>
        <w:t xml:space="preserve">Требования к Участникам установлены с учетом предмета договора, </w:t>
      </w:r>
      <w:hyperlink w:anchor="Прил01_ТехТребования">
        <w:r>
          <w:rPr>
            <w:rStyle w:val="Style11"/>
          </w:rPr>
          <w:t>Технических требований (Приложение № 1)</w:t>
        </w:r>
      </w:hyperlink>
      <w:r>
        <w:rPr/>
        <w:t xml:space="preserve"> и </w:t>
      </w:r>
      <w:hyperlink w:anchor="Прил02_ПроектДоговора">
        <w:r>
          <w:rPr>
            <w:rStyle w:val="Style11"/>
          </w:rPr>
          <w:t>Проекта договора (Приложение № 2)</w:t>
        </w:r>
      </w:hyperlink>
      <w:r>
        <w:rPr/>
        <w:t>.</w:t>
      </w:r>
    </w:p>
    <w:p>
      <w:pPr>
        <w:pStyle w:val="Style21"/>
        <w:keepNext w:val="true"/>
        <w:rPr/>
      </w:pPr>
      <w:r>
        <w:rPr/>
        <w:t>Установлены следующие требования к Участникам, которые приведены в </w:t>
      </w:r>
      <w:hyperlink w:anchor="Прил03_ТребованияУчастникам">
        <w:r>
          <w:rPr>
            <w:rStyle w:val="Style11"/>
          </w:rPr>
          <w:t>Приложении № 3</w:t>
        </w:r>
      </w:hyperlink>
      <w:r>
        <w:rPr/>
        <w:t>:</w:t>
      </w:r>
    </w:p>
    <w:p>
      <w:pPr>
        <w:pStyle w:val="Style22"/>
        <w:rPr/>
      </w:pPr>
      <w:r>
        <w:rPr/>
        <w:t>обязательные требования (подраздел </w:t>
      </w:r>
      <w:r>
        <w:rPr/>
        <w:fldChar w:fldCharType="begin"/>
      </w:r>
      <w:r>
        <w:rPr/>
        <w:instrText xml:space="preserve"> REF _Ref125361435 \r \h </w:instrText>
      </w:r>
      <w:r>
        <w:rPr/>
        <w:fldChar w:fldCharType="separate"/>
      </w:r>
      <w:r>
        <w:rPr/>
        <w:t>8.2</w:t>
      </w:r>
      <w:r>
        <w:rPr/>
        <w:fldChar w:fldCharType="end"/>
      </w:r>
      <w:r>
        <w:rPr/>
        <w:t>) – Участники должны им соответствовать;</w:t>
      </w:r>
    </w:p>
    <w:p>
      <w:pPr>
        <w:pStyle w:val="Style22"/>
        <w:rPr/>
      </w:pPr>
      <w:r>
        <w:rPr/>
        <w:t>специальные требования – Участники должны им соответствовать, если они установлены (подраздел </w:t>
      </w:r>
      <w:r>
        <w:rPr/>
        <w:fldChar w:fldCharType="begin"/>
      </w:r>
      <w:r>
        <w:rPr/>
        <w:instrText xml:space="preserve"> REF _Ref125709153 \r \h </w:instrText>
      </w:r>
      <w:r>
        <w:rPr/>
        <w:fldChar w:fldCharType="separate"/>
      </w:r>
      <w:r>
        <w:rPr/>
        <w:t>8.3</w:t>
      </w:r>
      <w:r>
        <w:rPr/>
        <w:fldChar w:fldCharType="end"/>
      </w:r>
      <w:r>
        <w:rPr/>
        <w:t>).</w:t>
      </w:r>
    </w:p>
    <w:p>
      <w:pPr>
        <w:pStyle w:val="Style21"/>
        <w:keepNext w:val="true"/>
        <w:rPr/>
      </w:pPr>
      <w:r>
        <w:rPr/>
        <w:t>В рамках требований к Участникам могут быть установлены дополнительные требования:</w:t>
      </w:r>
    </w:p>
    <w:p>
      <w:pPr>
        <w:pStyle w:val="Style22"/>
        <w:rPr/>
      </w:pPr>
      <w:r>
        <w:rPr/>
        <w:t>к Коллективным участникам (подраздел </w:t>
      </w:r>
      <w:r>
        <w:rPr/>
        <w:fldChar w:fldCharType="begin"/>
      </w:r>
      <w:r>
        <w:rPr/>
        <w:instrText xml:space="preserve"> REF _Ref130308111 \r \h </w:instrText>
      </w:r>
      <w:r>
        <w:rPr/>
        <w:fldChar w:fldCharType="separate"/>
      </w:r>
      <w:r>
        <w:rPr/>
        <w:t>3.2</w:t>
      </w:r>
      <w:r>
        <w:rPr/>
        <w:fldChar w:fldCharType="end"/>
      </w:r>
      <w:r>
        <w:rPr/>
        <w:t>);</w:t>
      </w:r>
    </w:p>
    <w:p>
      <w:pPr>
        <w:pStyle w:val="Style22"/>
        <w:rPr/>
      </w:pPr>
      <w:r>
        <w:rPr/>
        <w:t>к Генеральным подрядчикам (подраздел </w:t>
      </w:r>
      <w:r>
        <w:rPr/>
        <w:fldChar w:fldCharType="begin"/>
      </w:r>
      <w:r>
        <w:rPr/>
        <w:instrText xml:space="preserve"> REF _Ref125361702 \r \h </w:instrText>
      </w:r>
      <w:r>
        <w:rPr/>
        <w:fldChar w:fldCharType="separate"/>
      </w:r>
      <w:r>
        <w:rPr/>
        <w:t>3.3</w:t>
      </w:r>
      <w:r>
        <w:rPr/>
        <w:fldChar w:fldCharType="end"/>
      </w:r>
      <w:r>
        <w:rPr/>
        <w:t>).</w:t>
      </w:r>
    </w:p>
    <w:p>
      <w:pPr>
        <w:pStyle w:val="Style21"/>
        <w:rPr/>
      </w:pPr>
      <w:r>
        <w:rP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r>
          <w:rPr>
            <w:rStyle w:val="Style11"/>
          </w:rPr>
          <w:t>Требованиях к Участникам (Приложение № 3)</w:t>
        </w:r>
      </w:hyperlink>
      <w:r>
        <w:rPr/>
        <w:t xml:space="preserve">, </w:t>
      </w:r>
      <w:bookmarkStart w:id="73" w:name="_Hlk132706049"/>
      <w:r>
        <w:rPr/>
        <w:t>если иное не установлено в Документации о закупке</w:t>
      </w:r>
      <w:bookmarkEnd w:id="73"/>
      <w:r>
        <w:rPr/>
        <w:t>.</w:t>
      </w:r>
    </w:p>
    <w:p>
      <w:pPr>
        <w:pStyle w:val="Style20"/>
        <w:rPr/>
      </w:pPr>
      <w:bookmarkStart w:id="74" w:name="_Ref130305355"/>
      <w:bookmarkStart w:id="75" w:name="_Ref130308062"/>
      <w:bookmarkStart w:id="76" w:name="_Ref130308111"/>
      <w:bookmarkStart w:id="77" w:name="_Ref130308203"/>
      <w:bookmarkStart w:id="78" w:name="_Ref130308255"/>
      <w:bookmarkStart w:id="79" w:name="_Toc188946920"/>
      <w:bookmarkStart w:id="80" w:name="_Ref125361969"/>
      <w:bookmarkStart w:id="81" w:name="_Ref125361976"/>
      <w:r>
        <w:rPr/>
        <w:t>Коллективные участники</w:t>
      </w:r>
      <w:bookmarkEnd w:id="74"/>
      <w:bookmarkEnd w:id="75"/>
      <w:bookmarkEnd w:id="76"/>
      <w:bookmarkEnd w:id="77"/>
      <w:bookmarkEnd w:id="78"/>
      <w:bookmarkEnd w:id="79"/>
      <w:bookmarkEnd w:id="80"/>
      <w:bookmarkEnd w:id="81"/>
    </w:p>
    <w:p>
      <w:pPr>
        <w:pStyle w:val="Style21"/>
        <w:rPr/>
      </w:pPr>
      <w:r>
        <w:rPr/>
        <w:t>В закупке могут участвовать объединения юридических и (или) физических лиц (в том числе индивидуальные предприниматели), способные на законных основаниях выполнить требуемую поставку продукции – Коллективный участник.</w:t>
      </w:r>
    </w:p>
    <w:p>
      <w:pPr>
        <w:pStyle w:val="Style21"/>
        <w:rPr/>
      </w:pPr>
      <w:r>
        <w:rPr/>
        <w:t>Если заявка подается Коллективным участником, дополнительно должны быть выполнены требования настоящего подраздела, а также требования к дополнительным документам, предоставляемым Коллективными участниками в составе заявки, установленные в подразделе </w:t>
      </w:r>
      <w:r>
        <w:rPr/>
        <w:fldChar w:fldCharType="begin"/>
      </w:r>
      <w:r>
        <w:rPr/>
        <w:instrText xml:space="preserve"> REF _Ref125552455 \r \h </w:instrText>
      </w:r>
      <w:r>
        <w:rPr/>
        <w:fldChar w:fldCharType="separate"/>
      </w:r>
      <w:r>
        <w:rPr/>
        <w:t>8.4</w:t>
      </w:r>
      <w:r>
        <w:rPr/>
        <w:fldChar w:fldCharType="end"/>
      </w:r>
      <w:r>
        <w:rPr/>
        <w:t xml:space="preserve"> </w:t>
      </w:r>
      <w:hyperlink w:anchor="Прил03_ТребованияУчастникам">
        <w:r>
          <w:rPr>
            <w:rStyle w:val="Style11"/>
          </w:rPr>
          <w:t>Требований к Участникам (Приложение № 3)</w:t>
        </w:r>
      </w:hyperlink>
      <w:r>
        <w:rPr/>
        <w:t>.</w:t>
      </w:r>
    </w:p>
    <w:p>
      <w:pPr>
        <w:pStyle w:val="Style21"/>
        <w:keepNext w:val="true"/>
        <w:rPr/>
      </w:pPr>
      <w:bookmarkStart w:id="82" w:name="_Ref125366972"/>
      <w:r>
        <w:rPr/>
        <w:t>Члены Коллективного участника заключают между собой соглашение (предоставляется Победителем Заказчику перед заключением Договора, в соответствии с пунктом </w:t>
      </w:r>
      <w:r>
        <w:rPr/>
        <w:fldChar w:fldCharType="begin"/>
      </w:r>
      <w:r>
        <w:rPr/>
        <w:instrText xml:space="preserve"> REF _Ref125361554 \w \h </w:instrText>
      </w:r>
      <w:r>
        <w:rPr/>
        <w:fldChar w:fldCharType="separate"/>
      </w:r>
      <w:r>
        <w:rPr/>
        <w:t>5.2.5г)</w:t>
      </w:r>
      <w:r>
        <w:rPr/>
        <w:fldChar w:fldCharType="end"/>
      </w:r>
      <w:r>
        <w:rPr/>
        <w:t>), соответствующее нормам ГК РФ, и отвечающее следующим требованиям:</w:t>
      </w:r>
      <w:bookmarkEnd w:id="82"/>
    </w:p>
    <w:p>
      <w:pPr>
        <w:pStyle w:val="Style22"/>
        <w:rPr/>
      </w:pPr>
      <w:r>
        <w:rPr/>
        <w:t>в соглашении должны быть определены права и обязанности сторон как в рамках участия в закупке, так и в рамках исполнения Договора;</w:t>
      </w:r>
    </w:p>
    <w:p>
      <w:pPr>
        <w:pStyle w:val="Style22"/>
        <w:rPr/>
      </w:pPr>
      <w:r>
        <w:rPr/>
        <w:t>в соглашении должно быть приведено распределение номенклатуры, объемов, с приведением % от общей стоимости продукции (без указания стоимости в рублях), а также сроков поставки продукции между членами Коллективного участника;</w:t>
      </w:r>
    </w:p>
    <w:p>
      <w:pPr>
        <w:pStyle w:val="Style22"/>
        <w:rPr/>
      </w:pPr>
      <w:r>
        <w:rPr/>
        <w:t>в соглашении должен быть определен лидер, который в дальнейшем представляет интересы каждого члена Коллективного участника во взаимоотношениях с Организатором и Заказчиком;</w:t>
      </w:r>
    </w:p>
    <w:p>
      <w:pPr>
        <w:pStyle w:val="Style22"/>
        <w:rPr/>
      </w:pPr>
      <w:r>
        <w:rPr/>
        <w:t>в соглашении должна быть установлена солидарная ответственность каждого члена Коллективного участника по обязательствам, связанным с участием в закупке, заключением и последующим исполнением Договора;</w:t>
      </w:r>
    </w:p>
    <w:p>
      <w:pPr>
        <w:pStyle w:val="Style22"/>
        <w:rPr/>
      </w:pPr>
      <w:r>
        <w:rPr/>
        <w:t>срок действия соглашения должен быть не менее срока исполнения обязательств Участника по Договору, предлагаемого в составе заявки;</w:t>
      </w:r>
    </w:p>
    <w:p>
      <w:pPr>
        <w:pStyle w:val="Style22"/>
        <w:rPr/>
      </w:pPr>
      <w:r>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инициативе Заказчика и соглашению сторон, данная схема может быть изменена.</w:t>
      </w:r>
    </w:p>
    <w:p>
      <w:pPr>
        <w:pStyle w:val="Style21"/>
        <w:rPr/>
      </w:pPr>
      <w:r>
        <w:rPr/>
        <w:t>Заявка подготавливается и подается лидером от своего имени со ссылкой в Письме о подаче оферты (форма 2) (</w:t>
      </w:r>
      <w:hyperlink w:anchor="Прил04_ФормыЗаявки">
        <w:r>
          <w:rPr>
            <w:rStyle w:val="Style11"/>
          </w:rPr>
          <w:t>Приложение № 4</w:t>
        </w:r>
      </w:hyperlink>
      <w:r>
        <w:rPr/>
        <w:t>) на то, что он представляет интересы Коллективного участника.</w:t>
      </w:r>
    </w:p>
    <w:p>
      <w:pPr>
        <w:pStyle w:val="Style21"/>
        <w:rPr/>
      </w:pPr>
      <w:bookmarkStart w:id="83" w:name="_Ref125368791"/>
      <w:r>
        <w:rPr/>
        <w:t>Каждый член Коллективного участника (включая лидера Коллективного участника) должен отвечать всем обязательным требованиям к Участникам (подраздел </w:t>
      </w:r>
      <w:r>
        <w:rPr/>
        <w:fldChar w:fldCharType="begin"/>
      </w:r>
      <w:r>
        <w:rPr/>
        <w:instrText xml:space="preserve"> REF _Ref125361435 \r \h </w:instrText>
      </w:r>
      <w:r>
        <w:rPr/>
        <w:fldChar w:fldCharType="separate"/>
      </w:r>
      <w:r>
        <w:rPr/>
        <w:t>8.2</w:t>
      </w:r>
      <w:r>
        <w:rPr/>
        <w:fldChar w:fldCharType="end"/>
      </w:r>
      <w:r>
        <w:rPr/>
        <w:t>).</w:t>
      </w:r>
      <w:bookmarkEnd w:id="83"/>
    </w:p>
    <w:p>
      <w:pPr>
        <w:pStyle w:val="Style21"/>
        <w:rPr/>
      </w:pPr>
      <w:bookmarkStart w:id="84" w:name="_Ref149654740"/>
      <w:r>
        <w:rPr/>
        <w:t>При рассмотрении Коллективного участника на соответствие специальным требованиям к Участникам (подраздел </w:t>
      </w:r>
      <w:r>
        <w:rPr/>
        <w:fldChar w:fldCharType="begin"/>
      </w:r>
      <w:r>
        <w:rPr/>
        <w:instrText xml:space="preserve"> REF _Ref125709153 \r \h </w:instrText>
      </w:r>
      <w:r>
        <w:rPr/>
        <w:fldChar w:fldCharType="separate"/>
      </w:r>
      <w:r>
        <w:rPr/>
        <w:t>8.3</w:t>
      </w:r>
      <w:r>
        <w:rPr/>
        <w:fldChar w:fldCharType="end"/>
      </w:r>
      <w:r>
        <w:rPr/>
        <w:t>) показатели, в том числе относящиеся к наличию специальных допусков, лицензий, членства в саморегулируемых организациях, других разрешительных документов, должны быть в наличии у членов Коллективного участника, которым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11"/>
          </w:rPr>
          <w:t>Приложение № 4</w:t>
        </w:r>
      </w:hyperlink>
      <w:r>
        <w:rPr/>
        <w:t>) будет поручена непосредственная поставка продукции, требующая наличия указанных специальных допусков, лицензий, разрешительных документов, членства в саморегулируемых организациях в соответствии с законодательством (с уровнем ответственности пропорционально порученному объему поставки продукции).</w:t>
      </w:r>
      <w:bookmarkEnd w:id="84"/>
    </w:p>
    <w:p>
      <w:pPr>
        <w:pStyle w:val="Style21"/>
        <w:keepNext w:val="true"/>
        <w:rPr/>
      </w:pPr>
      <w:bookmarkStart w:id="85" w:name="_Ref125361726"/>
      <w:r>
        <w:rPr/>
        <w:t>Любое юридическое или физическое лицо (в том числе индивидуальный предприниматель) может входить в состав только одного Коллективного участника и при этом не имеет права одновременно:</w:t>
      </w:r>
      <w:bookmarkEnd w:id="85"/>
    </w:p>
    <w:p>
      <w:pPr>
        <w:pStyle w:val="Style22"/>
        <w:rPr/>
      </w:pPr>
      <w:r>
        <w:rPr/>
        <w:t>принимать участие в этой же закупке самостоятельно;</w:t>
      </w:r>
    </w:p>
    <w:p>
      <w:pPr>
        <w:pStyle w:val="Style22"/>
        <w:rPr/>
      </w:pPr>
      <w:r>
        <w:rPr/>
        <w:t>принимать участие в этой же закупке в качестве Генерального подрядчика или субподрядчика (подраздел </w:t>
      </w:r>
      <w:r>
        <w:rPr/>
        <w:fldChar w:fldCharType="begin"/>
      </w:r>
      <w:r>
        <w:rPr/>
        <w:instrText xml:space="preserve"> REF _Ref125361702 \r \h </w:instrText>
      </w:r>
      <w:r>
        <w:rPr/>
        <w:fldChar w:fldCharType="separate"/>
      </w:r>
      <w:r>
        <w:rPr/>
        <w:t>3.3</w:t>
      </w:r>
      <w:r>
        <w:rPr/>
        <w:fldChar w:fldCharType="end"/>
      </w:r>
      <w:r>
        <w:rPr/>
        <w:t>).</w:t>
      </w:r>
    </w:p>
    <w:p>
      <w:pPr>
        <w:pStyle w:val="Style25"/>
        <w:ind w:left="1134" w:hanging="0"/>
        <w:rPr/>
      </w:pPr>
      <w:r>
        <w:rPr/>
        <w:t>В случае невыполнения данного требования все заявки с участием таких лиц будут отклонены без рассмотрения по существу.</w:t>
      </w:r>
    </w:p>
    <w:p>
      <w:pPr>
        <w:pStyle w:val="Style21"/>
        <w:rPr/>
      </w:pPr>
      <w:r>
        <w:rPr/>
        <w:t>В случае несоответствия какого-либо из заявленных членов Коллективного участника установленным требованиям (</w:t>
      </w:r>
      <w:hyperlink w:anchor="Прил03_ТребованияУчастникам">
        <w:r>
          <w:rPr>
            <w:rStyle w:val="Style11"/>
          </w:rPr>
          <w:t>Приложение № 3</w:t>
        </w:r>
      </w:hyperlink>
      <w:r>
        <w:rPr>
          <w:rStyle w:val="Style11"/>
        </w:rPr>
        <w:t>)</w:t>
      </w:r>
      <w:r>
        <w:rPr/>
        <w:t>, а также при несоблюдении вышеуказанных норм настоящего подраздела заявка такого Коллективного участника отклоняется.</w:t>
      </w:r>
    </w:p>
    <w:p>
      <w:pPr>
        <w:pStyle w:val="Style21"/>
        <w:rPr/>
      </w:pPr>
      <w:r>
        <w:rPr/>
        <w:t>Заявка, которую подает Коллективный участник, может быть отклонена, если в процессе закупки до выбора Победителя выяснится, что из состава Коллективного участника вышел один или несколько его членов.</w:t>
      </w:r>
    </w:p>
    <w:p>
      <w:pPr>
        <w:pStyle w:val="Style21"/>
        <w:rPr/>
      </w:pPr>
      <w:r>
        <w:rPr/>
        <w:t>Заказчик имеет право на одностороннее расторжение / незаключение Договора, если из состава Коллективного участника вышел один или несколько его членов.</w:t>
      </w:r>
    </w:p>
    <w:p>
      <w:pPr>
        <w:pStyle w:val="Style20"/>
        <w:rPr/>
      </w:pPr>
      <w:bookmarkStart w:id="86" w:name="_Toc188946921"/>
      <w:bookmarkStart w:id="87" w:name="_Ref125361702"/>
      <w:r>
        <w:rPr/>
        <w:t>Генеральные подрядчики</w:t>
      </w:r>
      <w:bookmarkEnd w:id="86"/>
      <w:bookmarkEnd w:id="87"/>
    </w:p>
    <w:p>
      <w:pPr>
        <w:pStyle w:val="Style21"/>
        <w:rPr/>
      </w:pPr>
      <w:r>
        <w:rPr/>
        <w:t>Нормы настоящего подраздела применяются только, если подразделом </w:t>
      </w:r>
      <w:r>
        <w:rPr/>
        <w:fldChar w:fldCharType="begin"/>
      </w:r>
      <w:r>
        <w:rPr/>
        <w:instrText xml:space="preserve"> REF _Ref125359973 \r \h </w:instrText>
      </w:r>
      <w:r>
        <w:rPr/>
        <w:fldChar w:fldCharType="separate"/>
      </w:r>
      <w:r>
        <w:rPr/>
        <w:t>1.2</w:t>
      </w:r>
      <w:r>
        <w:rPr/>
        <w:fldChar w:fldCharType="end"/>
      </w:r>
      <w:r>
        <w:rPr/>
        <w:t xml:space="preserve"> предусмотрено рассмотрение заявок Участников с учетом привлекаемых субподрядчиков.</w:t>
      </w:r>
    </w:p>
    <w:p>
      <w:pPr>
        <w:pStyle w:val="Style21"/>
        <w:rPr/>
      </w:pPr>
      <w:r>
        <w:rPr/>
        <w:t>Если заявка подается Участником от лица Генерального подрядчика, дополнительно должны быть выполнены требования настоящего подраздела, а также требования к дополнительным документам, предоставляемым таким Участником в составе заявки, установленные в подразделе </w:t>
      </w:r>
      <w:r>
        <w:rPr/>
        <w:fldChar w:fldCharType="begin"/>
      </w:r>
      <w:r>
        <w:rPr/>
        <w:instrText xml:space="preserve"> REF _Ref125709777 \r \h </w:instrText>
      </w:r>
      <w:r>
        <w:rPr/>
        <w:fldChar w:fldCharType="separate"/>
      </w:r>
      <w:r>
        <w:rPr/>
        <w:t>8.5</w:t>
      </w:r>
      <w:r>
        <w:rPr/>
        <w:fldChar w:fldCharType="end"/>
      </w:r>
      <w:r>
        <w:rPr/>
        <w:t xml:space="preserve"> </w:t>
      </w:r>
      <w:hyperlink w:anchor="Прил03_ТребованияУчастникам">
        <w:r>
          <w:rPr>
            <w:rStyle w:val="Style11"/>
          </w:rPr>
          <w:t>Требований к Участникам (Приложение № 3)</w:t>
        </w:r>
      </w:hyperlink>
      <w:r>
        <w:rPr/>
        <w:t>.</w:t>
      </w:r>
    </w:p>
    <w:p>
      <w:pPr>
        <w:pStyle w:val="Style21"/>
        <w:keepNext w:val="true"/>
        <w:rPr/>
      </w:pPr>
      <w:r>
        <w:rPr/>
        <w:t>Генеральный подрядчик:</w:t>
      </w:r>
    </w:p>
    <w:p>
      <w:pPr>
        <w:pStyle w:val="Style22"/>
        <w:rPr/>
      </w:pPr>
      <w:r>
        <w:rPr/>
        <w:t>должен самостоятельно отвечать всем обязательным требованиям к Участникам (подраздел </w:t>
      </w:r>
      <w:r>
        <w:rPr/>
        <w:fldChar w:fldCharType="begin"/>
      </w:r>
      <w:r>
        <w:rPr/>
        <w:instrText xml:space="preserve"> REF _Ref125361435 \r \h </w:instrText>
      </w:r>
      <w:r>
        <w:rPr/>
        <w:fldChar w:fldCharType="separate"/>
      </w:r>
      <w:r>
        <w:rPr/>
        <w:t>8.2</w:t>
      </w:r>
      <w:r>
        <w:rPr/>
        <w:fldChar w:fldCharType="end"/>
      </w:r>
      <w:r>
        <w:rPr/>
        <w:t>);</w:t>
      </w:r>
    </w:p>
    <w:p>
      <w:pPr>
        <w:pStyle w:val="Style22"/>
        <w:rPr/>
      </w:pPr>
      <w:r>
        <w:rPr/>
        <w:t>в рамках специальных требований (подраздел </w:t>
      </w:r>
      <w:r>
        <w:rPr/>
        <w:fldChar w:fldCharType="begin"/>
      </w:r>
      <w:r>
        <w:rPr/>
        <w:instrText xml:space="preserve"> REF _Ref125709153 \r \h </w:instrText>
      </w:r>
      <w:r>
        <w:rPr/>
        <w:fldChar w:fldCharType="separate"/>
      </w:r>
      <w:r>
        <w:rPr/>
        <w:t>8.3</w:t>
      </w:r>
      <w:r>
        <w:rPr/>
        <w:fldChar w:fldCharType="end"/>
      </w:r>
      <w:r>
        <w:rPr/>
        <w:t>), касающихся членства в саморегулируемых организациях (в случае их установления), должен иметь соответствующее членство с учетом требований законодательства к такому членству;</w:t>
      </w:r>
    </w:p>
    <w:p>
      <w:pPr>
        <w:pStyle w:val="Style22"/>
        <w:rPr/>
      </w:pPr>
      <w:r>
        <w:rPr/>
        <w:t>в рамках остальных специальных требований (в случае их установления) должен отвечать им только в части объема поставки продукции, который ему предполагается поручить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11"/>
          </w:rPr>
          <w:t>Приложение № 4</w:t>
        </w:r>
      </w:hyperlink>
      <w:r>
        <w:rPr/>
        <w:t>).</w:t>
      </w:r>
    </w:p>
    <w:p>
      <w:pPr>
        <w:pStyle w:val="Style21"/>
        <w:keepNext w:val="true"/>
        <w:rPr/>
      </w:pPr>
      <w:r>
        <w:rPr/>
        <w:t>Каждый субподрядчик из привлекаемых Генеральным подрядчиком должен отвечать:</w:t>
      </w:r>
    </w:p>
    <w:p>
      <w:pPr>
        <w:pStyle w:val="Style22"/>
        <w:rPr/>
      </w:pPr>
      <w:r>
        <w:rPr/>
        <w:t>обязательным требованиям (подраздел </w:t>
      </w:r>
      <w:r>
        <w:rPr/>
        <w:fldChar w:fldCharType="begin"/>
      </w:r>
      <w:r>
        <w:rPr/>
        <w:instrText xml:space="preserve"> REF _Ref125361435 \r \h </w:instrText>
      </w:r>
      <w:r>
        <w:rPr/>
        <w:fldChar w:fldCharType="separate"/>
      </w:r>
      <w:r>
        <w:rPr/>
        <w:t>8.2</w:t>
      </w:r>
      <w:r>
        <w:rPr/>
        <w:fldChar w:fldCharType="end"/>
      </w:r>
      <w:r>
        <w:rPr/>
        <w:t>);</w:t>
      </w:r>
    </w:p>
    <w:p>
      <w:pPr>
        <w:pStyle w:val="Style22"/>
        <w:rPr/>
      </w:pPr>
      <w:r>
        <w:rPr/>
        <w:t>специальным требованиям (подраздел </w:t>
      </w:r>
      <w:r>
        <w:rPr/>
        <w:fldChar w:fldCharType="begin"/>
      </w:r>
      <w:r>
        <w:rPr/>
        <w:instrText xml:space="preserve"> REF _Ref125709153 \r \h </w:instrText>
      </w:r>
      <w:r>
        <w:rPr/>
        <w:fldChar w:fldCharType="separate"/>
      </w:r>
      <w:r>
        <w:rPr/>
        <w:t>8.3</w:t>
      </w:r>
      <w:r>
        <w:rPr/>
        <w:fldChar w:fldCharType="end"/>
      </w:r>
      <w:r>
        <w:rPr/>
        <w:t>) (в случае их установления), за исключением требования о наличии членства в саморегулируемых организациях.</w:t>
      </w:r>
    </w:p>
    <w:p>
      <w:pPr>
        <w:pStyle w:val="Style25"/>
        <w:ind w:left="1134" w:hanging="0"/>
        <w:rPr/>
      </w:pPr>
      <w:bookmarkStart w:id="88" w:name="_Ref125368863"/>
      <w:r>
        <w:rPr/>
        <w:t xml:space="preserve">При этом соответствовать специальным требованиям субподрядчик должен только в части объема поставки продукции, который ему </w:t>
      </w:r>
      <w:bookmarkEnd w:id="88"/>
      <w:r>
        <w:rPr/>
        <w:t>поручен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11"/>
          </w:rPr>
          <w:t>Приложение № 4</w:t>
        </w:r>
      </w:hyperlink>
      <w:r>
        <w:rPr/>
        <w:t>).</w:t>
      </w:r>
    </w:p>
    <w:p>
      <w:pPr>
        <w:pStyle w:val="Style21"/>
        <w:rPr/>
      </w:pPr>
      <w:bookmarkStart w:id="89" w:name="_Ref125361799"/>
      <w:r>
        <w:rP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При этом субподрядчики не могут входить в состав Коллективных участников (подраздел </w:t>
      </w:r>
      <w:r>
        <w:rPr/>
        <w:fldChar w:fldCharType="begin"/>
      </w:r>
      <w:r>
        <w:rPr/>
        <w:instrText xml:space="preserve"> REF _Ref130308203 \r \h </w:instrText>
      </w:r>
      <w:r>
        <w:rPr/>
        <w:fldChar w:fldCharType="separate"/>
      </w:r>
      <w:r>
        <w:rPr/>
        <w:t>3.2</w:t>
      </w:r>
      <w:r>
        <w:rPr/>
        <w:fldChar w:fldCharType="end"/>
      </w:r>
      <w:r>
        <w:rPr/>
        <w:t>). Каждый Генеральный подрядчик может подать только одну заявку и не может быть субподрядчиком у других Генеральных подрядчиков, а также не может входить в состав Коллективных участников. В случае невыполнения этих требований заявки с участием таких лиц будут отклонены без рассмотрения по существу.</w:t>
      </w:r>
      <w:bookmarkEnd w:id="89"/>
    </w:p>
    <w:p>
      <w:pPr>
        <w:sectPr>
          <w:headerReference w:type="default" r:id="rId8"/>
          <w:footerReference w:type="default" r:id="rId9"/>
          <w:footerReference w:type="first" r:id="rId10"/>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Style w:val="Style21"/>
        <w:rPr/>
      </w:pPr>
      <w:r>
        <w:rPr/>
        <w:t>Если подразделом </w:t>
      </w:r>
      <w:r>
        <w:rPr/>
        <w:fldChar w:fldCharType="begin"/>
      </w:r>
      <w:r>
        <w:rPr/>
        <w:instrText xml:space="preserve"> REF _Ref125359973 \r \h </w:instrText>
      </w:r>
      <w:r>
        <w:rPr/>
        <w:fldChar w:fldCharType="separate"/>
      </w:r>
      <w:r>
        <w:rPr/>
        <w:t>1.2</w:t>
      </w:r>
      <w:r>
        <w:rPr/>
        <w:fldChar w:fldCharType="end"/>
      </w:r>
      <w:r>
        <w:rPr/>
        <w:t xml:space="preserve"> не предусмотрено рассмотрение заявок Участников с учетом привлекаемых субподрядчиков, то при рассмотрении заявок к учету принимаются исключительно сведения о самом Участнике, в связи с чем Участник не обязан предоставлять документы на привлекаемых им субподрядчиков, указанные в подразделе </w:t>
      </w:r>
      <w:r>
        <w:rPr/>
        <w:fldChar w:fldCharType="begin"/>
      </w:r>
      <w:r>
        <w:rPr/>
        <w:instrText xml:space="preserve"> REF _Ref125709973 \r \h </w:instrText>
      </w:r>
      <w:r>
        <w:rPr/>
        <w:fldChar w:fldCharType="separate"/>
      </w:r>
      <w:r>
        <w:rPr/>
        <w:t>8.5</w:t>
      </w:r>
      <w:r>
        <w:rPr/>
        <w:fldChar w:fldCharType="end"/>
      </w:r>
      <w:r>
        <w:rPr/>
        <w:t xml:space="preserve"> </w:t>
      </w:r>
      <w:hyperlink w:anchor="Прил03_ТребованияУчастникам">
        <w:r>
          <w:rPr>
            <w:rStyle w:val="Style11"/>
          </w:rPr>
          <w:t>Требований к Участникам (Приложение № 3)</w:t>
        </w:r>
      </w:hyperlink>
      <w:r>
        <w:rPr/>
        <w:t>. Ответственность за 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pPr>
        <w:pStyle w:val="Style19"/>
        <w:rPr/>
      </w:pPr>
      <w:bookmarkStart w:id="90" w:name="_Ref125361211"/>
      <w:bookmarkStart w:id="91" w:name="_Ref125367098"/>
      <w:bookmarkStart w:id="92" w:name="_Ref125367974"/>
      <w:bookmarkStart w:id="93" w:name="_Toc188946922"/>
      <w:bookmarkStart w:id="94" w:name="_Ref125367107"/>
      <w:r>
        <w:rPr/>
        <w:t>Порядок проведения закупки</w:t>
      </w:r>
      <w:bookmarkEnd w:id="90"/>
      <w:bookmarkEnd w:id="91"/>
      <w:bookmarkEnd w:id="92"/>
      <w:bookmarkEnd w:id="93"/>
      <w:bookmarkEnd w:id="94"/>
    </w:p>
    <w:p>
      <w:pPr>
        <w:pStyle w:val="Style20"/>
        <w:rPr/>
      </w:pPr>
      <w:bookmarkStart w:id="95" w:name="_Toc188946923"/>
      <w:bookmarkStart w:id="96" w:name="_Ref126141932"/>
      <w:r>
        <w:rPr/>
        <w:t>Общий порядок проведения закупки</w:t>
      </w:r>
      <w:bookmarkEnd w:id="95"/>
      <w:bookmarkEnd w:id="96"/>
    </w:p>
    <w:p>
      <w:pPr>
        <w:pStyle w:val="Style21"/>
        <w:keepNext w:val="true"/>
        <w:spacing w:before="120" w:after="120"/>
        <w:rPr/>
      </w:pPr>
      <w:r>
        <w:rPr/>
        <w:t>Закупка проводится в следующем порядке:</w:t>
      </w:r>
    </w:p>
    <w:tbl>
      <w:tblPr>
        <w:tblStyle w:val="af8"/>
        <w:tblW w:w="14007" w:type="dxa"/>
        <w:jc w:val="left"/>
        <w:tblInd w:w="1129" w:type="dxa"/>
        <w:tblLayout w:type="fixed"/>
        <w:tblCellMar>
          <w:top w:w="0" w:type="dxa"/>
          <w:left w:w="5" w:type="dxa"/>
          <w:bottom w:w="0" w:type="dxa"/>
          <w:right w:w="5" w:type="dxa"/>
        </w:tblCellMar>
        <w:tblLook w:val="04a0" w:noHBand="0" w:noVBand="1" w:firstColumn="1" w:lastRow="0" w:lastColumn="0" w:firstRow="1"/>
      </w:tblPr>
      <w:tblGrid>
        <w:gridCol w:w="372"/>
        <w:gridCol w:w="2652"/>
        <w:gridCol w:w="3213"/>
        <w:gridCol w:w="3265"/>
        <w:gridCol w:w="2269"/>
        <w:gridCol w:w="2235"/>
      </w:tblGrid>
      <w:tr>
        <w:trPr>
          <w:cnfStyle w:val="100000000000" w:firstRow="1" w:lastRow="0" w:firstColumn="0" w:lastColumn="0" w:oddVBand="0" w:evenVBand="0" w:oddHBand="0" w:evenHBand="0" w:firstRowFirstColumn="0" w:firstRowLastColumn="0" w:lastRowFirstColumn="0" w:lastRowLastColumn="0"/>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keepNext w:val="true"/>
              <w:keepLines w:val="false"/>
              <w:widowControl w:val="false"/>
              <w:suppressAutoHyphens w:val="true"/>
              <w:spacing w:before="40" w:after="40"/>
              <w:jc w:val="center"/>
              <w:rPr>
                <w:b w:val="false"/>
                <w:bCs/>
                <w:sz w:val="24"/>
                <w:szCs w:val="24"/>
              </w:rPr>
            </w:pPr>
            <w:r>
              <w:rPr>
                <w:rFonts w:eastAsia="Wingdings 3" w:cs="Wingdings 3" w:ascii="Wingdings 3" w:hAnsi="Wingdings 3"/>
                <w:b w:val="false"/>
                <w:bCs/>
                <w:kern w:val="0"/>
                <w:sz w:val="24"/>
                <w:szCs w:val="24"/>
                <w:lang w:val="ru-RU" w:eastAsia="en-US" w:bidi="ar-SA"/>
              </w:rPr>
              <w:sym w:font="Wingdings 3" w:char="f0d4"/>
            </w:r>
          </w:p>
        </w:tc>
        <w:tc>
          <w:tcPr>
            <w:tcW w:w="13634" w:type="dxa"/>
            <w:gridSpan w:val="5"/>
            <w:tcBorders>
              <w:top w:val="single" w:sz="4" w:space="0" w:color="000000"/>
              <w:left w:val="single" w:sz="4" w:space="0" w:color="000000"/>
              <w:bottom w:val="single" w:sz="4" w:space="0" w:color="000000"/>
              <w:right w:val="single" w:sz="4" w:space="0" w:color="000000"/>
            </w:tcBorders>
          </w:tcPr>
          <w:p>
            <w:pPr>
              <w:pStyle w:val="Style25"/>
              <w:keepNext w:val="true"/>
              <w:keepLines w:val="false"/>
              <w:widowControl w:val="false"/>
              <w:suppressAutoHyphens w:val="true"/>
              <w:spacing w:before="40" w:after="40"/>
              <w:jc w:val="center"/>
              <w:rPr>
                <w:b w:val="false"/>
                <w:bCs/>
                <w:sz w:val="24"/>
                <w:szCs w:val="24"/>
              </w:rPr>
            </w:pPr>
            <w:r>
              <w:rPr>
                <w:rFonts w:eastAsia="Calibri" w:cs=""/>
                <w:b/>
                <w:bCs/>
                <w:kern w:val="0"/>
                <w:sz w:val="24"/>
                <w:szCs w:val="24"/>
                <w:lang w:val="ru-RU" w:eastAsia="en-US" w:bidi="ar-SA"/>
              </w:rPr>
              <w:t>Официальное размещение Извещения и Документации о закупке (подраздел </w:t>
            </w:r>
            <w:r>
              <w:rPr>
                <w:rFonts w:eastAsia="Calibri" w:cs=""/>
                <w:b/>
                <w:bCs/>
                <w:kern w:val="0"/>
                <w:sz w:val="24"/>
                <w:szCs w:val="24"/>
                <w:lang w:val="ru-RU" w:eastAsia="en-US" w:bidi="ar-SA"/>
              </w:rPr>
              <w:fldChar w:fldCharType="begin"/>
            </w:r>
            <w:r>
              <w:rPr>
                <w:sz w:val="24"/>
                <w:b/>
                <w:kern w:val="0"/>
                <w:szCs w:val="24"/>
                <w:bCs/>
                <w:rFonts w:eastAsia="Calibri" w:cs=""/>
                <w:lang w:val="ru-RU" w:eastAsia="en-US" w:bidi="ar-SA"/>
              </w:rPr>
              <w:instrText xml:space="preserve"> REF _Ref130286532 \r \h </w:instrText>
            </w:r>
            <w:r>
              <w:rPr>
                <w:sz w:val="24"/>
                <w:b/>
                <w:kern w:val="0"/>
                <w:szCs w:val="24"/>
                <w:bCs/>
                <w:rFonts w:eastAsia="Calibri" w:cs=""/>
                <w:lang w:val="ru-RU" w:eastAsia="en-US" w:bidi="ar-SA"/>
              </w:rPr>
              <w:fldChar w:fldCharType="separate"/>
            </w:r>
            <w:r>
              <w:rPr>
                <w:sz w:val="24"/>
                <w:b/>
                <w:kern w:val="0"/>
                <w:szCs w:val="24"/>
                <w:bCs/>
                <w:rFonts w:eastAsia="Calibri" w:cs=""/>
                <w:lang w:val="ru-RU" w:eastAsia="en-US" w:bidi="ar-SA"/>
              </w:rPr>
              <w:t>4.2</w:t>
            </w:r>
            <w:r>
              <w:rPr>
                <w:sz w:val="24"/>
                <w:b/>
                <w:kern w:val="0"/>
                <w:szCs w:val="24"/>
                <w:bCs/>
                <w:rFonts w:eastAsia="Calibri" w:cs=""/>
                <w:lang w:val="ru-RU" w:eastAsia="en-US" w:bidi="ar-SA"/>
              </w:rPr>
              <w:fldChar w:fldCharType="end"/>
            </w:r>
            <w:r>
              <w:rPr>
                <w:rFonts w:eastAsia="Calibri" w:cs=""/>
                <w:b/>
                <w:bCs/>
                <w:kern w:val="0"/>
                <w:sz w:val="24"/>
                <w:szCs w:val="24"/>
                <w:lang w:val="ru-RU" w:eastAsia="en-US" w:bidi="ar-SA"/>
              </w:rPr>
              <w:t>)</w:t>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865" w:type="dxa"/>
            <w:gridSpan w:val="2"/>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Подготовка заявки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_Ref130281199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4.3</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vMerge w:val="restart"/>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Предоставление разъяснений положений Документации о закупке</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_Ref130394205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4.4</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69" w:type="dxa"/>
            <w:vMerge w:val="restart"/>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Внесение изменений в Извещение и (или) Документацию о закупке</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_Ref125362076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4.5</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5" w:type="dxa"/>
            <w:vMerge w:val="restart"/>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_Ref132816134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4.19</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Подача заявок и их прием</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_Ref125362119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4.6</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13"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Изменение и отзыв заявок</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_Ref125362130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4.7</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326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11399" w:type="dxa"/>
            <w:gridSpan w:val="4"/>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Открытия доступа к первым частям заявок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_Ref132816188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4.8</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35"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первых частей заявок</w:t>
              <w:br/>
              <w:t>(отборочная стадия)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_Ref125362364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4.9</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(предоставление национального режима или запрета)</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_Ref149648944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Ошибка: источник перекрёстной ссылки не найден</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_Ref125362381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4.15</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69" w:type="dxa"/>
            <w:vMerge w:val="restart"/>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Признание закупки</w:t>
              <w:br/>
              <w:t>несостоявшейся</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_Ref125364149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4.18</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5" w:type="dxa"/>
            <w:vMerge w:val="restart"/>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 по обстоятельствам непреодолимой силы в соответствии с гражданским законодательством</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_Ref132816141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4.19</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Проведение аукциона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_Ref149649965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4.10</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865" w:type="dxa"/>
            <w:gridSpan w:val="2"/>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ко вторым частям заявок</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_Ref132801184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4.11</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vMerge w:val="restart"/>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_Ref125362381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4.15</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вторых частей заявок (отборочная стадия), в том числе (при необходимости) проведение аккредитации</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_Ref132797154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4.12</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13"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(предоставление национального режима или запрета)</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_Ref149648944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Ошибка: источник перекрёстной ссылки не найден</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865" w:type="dxa"/>
            <w:gridSpan w:val="2"/>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 ценовым предложениям</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_Ref149656136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4.13</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865" w:type="dxa"/>
            <w:gridSpan w:val="2"/>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Рассмотрения ценовых предложений</w:t>
              <w:br/>
              <w:t>(отборочная стадия)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_Ref149656148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4.14</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rHeight w:val="351" w:hRule="atLeast"/>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865" w:type="dxa"/>
            <w:gridSpan w:val="2"/>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Оценка и сопоставление заявок</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_Ref125362626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4.16</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65" w:type="dxa"/>
            <w:tcBorders>
              <w:top w:val="single" w:sz="4" w:space="0" w:color="000000"/>
              <w:left w:val="single" w:sz="4" w:space="0" w:color="000000"/>
              <w:bottom w:val="single" w:sz="4" w:space="0" w:color="000000"/>
              <w:right w:val="single" w:sz="4" w:space="0" w:color="000000"/>
            </w:tcBorders>
            <w:vAlign w:val="center"/>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(в части учета установленного преимущества в цене предложения, если применимо)</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_Ref149648944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Ошибка: источник перекрёстной ссылки не найден</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rHeight w:val="358" w:hRule="atLeast"/>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Подведение итогов закупки (определение Победителя)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_Ref125362658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4.17</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c>
          <w:tcPr>
            <w:tcW w:w="2235" w:type="dxa"/>
            <w:vMerge w:val="continue"/>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bCs/>
                <w:sz w:val="24"/>
                <w:szCs w:val="24"/>
              </w:rPr>
            </w:r>
          </w:p>
        </w:tc>
      </w:tr>
      <w:tr>
        <w:trPr/>
        <w:tc>
          <w:tcPr>
            <w:tcW w:w="372" w:type="dxa"/>
            <w:tcBorders>
              <w:top w:val="single" w:sz="4" w:space="0" w:color="000000"/>
              <w:left w:val="single" w:sz="4" w:space="0" w:color="000000"/>
              <w:bottom w:val="single" w:sz="4" w:space="0" w:color="000000"/>
              <w:right w:val="single" w:sz="4" w:space="0" w:color="000000"/>
            </w:tcBorders>
            <w:vAlign w:val="bottom"/>
          </w:tcPr>
          <w:p>
            <w:pPr>
              <w:pStyle w:val="Style25"/>
              <w:widowControl w:val="false"/>
              <w:suppressAutoHyphens w:val="true"/>
              <w:spacing w:before="40" w:after="40"/>
              <w:jc w:val="center"/>
              <w:rPr>
                <w:bCs/>
                <w:sz w:val="24"/>
                <w:szCs w:val="24"/>
              </w:rPr>
            </w:pPr>
            <w:r>
              <w:rPr>
                <w:rFonts w:eastAsia="Wingdings 3" w:cs="Wingdings 3" w:ascii="Wingdings 3" w:hAnsi="Wingdings 3"/>
                <w:bCs/>
                <w:kern w:val="0"/>
                <w:sz w:val="24"/>
                <w:szCs w:val="24"/>
                <w:u w:val="single"/>
                <w:lang w:val="ru-RU" w:eastAsia="en-US" w:bidi="ar-SA"/>
              </w:rPr>
              <w:sym w:font="Wingdings 3" w:char="f0d4"/>
            </w:r>
          </w:p>
        </w:tc>
        <w:tc>
          <w:tcPr>
            <w:tcW w:w="2652"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Заключение Договора</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_Ref138341423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5.2</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3213" w:type="dxa"/>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(в части ограничения на стадии заключения договора)</w:t>
              <w:br/>
              <w:t>(подраздел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_Ref149648944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Ошибка: источник перекрёстной ссылки не найден</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r>
          </w:p>
        </w:tc>
        <w:tc>
          <w:tcPr>
            <w:tcW w:w="7769" w:type="dxa"/>
            <w:gridSpan w:val="3"/>
            <w:tcBorders>
              <w:top w:val="single" w:sz="4" w:space="0" w:color="000000"/>
              <w:left w:val="single" w:sz="4" w:space="0" w:color="000000"/>
              <w:bottom w:val="single" w:sz="4" w:space="0" w:color="000000"/>
              <w:right w:val="single" w:sz="4" w:space="0" w:color="000000"/>
            </w:tcBorders>
          </w:tcPr>
          <w:p>
            <w:pPr>
              <w:pStyle w:val="Style25"/>
              <w:widowControl w:val="false"/>
              <w:suppressAutoHyphens w:val="true"/>
              <w:spacing w:before="40" w:after="40"/>
              <w:jc w:val="center"/>
              <w:rPr>
                <w:bCs/>
                <w:sz w:val="24"/>
                <w:szCs w:val="24"/>
              </w:rPr>
            </w:pPr>
            <w:r>
              <w:rPr>
                <w:rFonts w:eastAsia="Calibri" w:cs=""/>
                <w:bCs/>
                <w:kern w:val="0"/>
                <w:sz w:val="24"/>
                <w:szCs w:val="24"/>
                <w:lang w:val="ru-RU" w:eastAsia="en-US" w:bidi="ar-SA"/>
              </w:rPr>
              <w:t>Уклонение Победителя от заключения Договора (подраздел </w:t>
            </w:r>
            <w:r>
              <w:rPr>
                <w:rFonts w:eastAsia="Calibri" w:cs=""/>
                <w:bCs/>
                <w:kern w:val="0"/>
                <w:sz w:val="24"/>
                <w:szCs w:val="24"/>
                <w:lang w:val="ru-RU" w:eastAsia="en-US" w:bidi="ar-SA"/>
              </w:rPr>
              <w:fldChar w:fldCharType="begin"/>
            </w:r>
            <w:r>
              <w:rPr>
                <w:sz w:val="24"/>
                <w:kern w:val="0"/>
                <w:szCs w:val="24"/>
                <w:bCs/>
                <w:rFonts w:eastAsia="Calibri" w:cs=""/>
                <w:lang w:val="ru-RU" w:eastAsia="en-US" w:bidi="ar-SA"/>
              </w:rPr>
              <w:instrText xml:space="preserve"> REF _Ref125367068 \r \h </w:instrText>
            </w:r>
            <w:r>
              <w:rPr>
                <w:sz w:val="24"/>
                <w:kern w:val="0"/>
                <w:szCs w:val="24"/>
                <w:bCs/>
                <w:rFonts w:eastAsia="Calibri" w:cs=""/>
                <w:lang w:val="ru-RU" w:eastAsia="en-US" w:bidi="ar-SA"/>
              </w:rPr>
              <w:fldChar w:fldCharType="separate"/>
            </w:r>
            <w:r>
              <w:rPr>
                <w:sz w:val="24"/>
                <w:kern w:val="0"/>
                <w:szCs w:val="24"/>
                <w:bCs/>
                <w:rFonts w:eastAsia="Calibri" w:cs=""/>
                <w:lang w:val="ru-RU" w:eastAsia="en-US" w:bidi="ar-SA"/>
              </w:rPr>
              <w:t>5.3</w:t>
            </w:r>
            <w:r>
              <w:rPr>
                <w:sz w:val="24"/>
                <w:kern w:val="0"/>
                <w:szCs w:val="24"/>
                <w:bCs/>
                <w:rFonts w:eastAsia="Calibri" w:cs=""/>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bl>
    <w:p>
      <w:pPr>
        <w:sectPr>
          <w:headerReference w:type="default" r:id="rId11"/>
          <w:headerReference w:type="first" r:id="rId12"/>
          <w:footerReference w:type="default" r:id="rId13"/>
          <w:footerReference w:type="first" r:id="rId14"/>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20"/>
        <w:rPr/>
      </w:pPr>
      <w:bookmarkStart w:id="97" w:name="_Toc188946924"/>
      <w:bookmarkStart w:id="98" w:name="_Ref130286532"/>
      <w:r>
        <w:rPr/>
        <w:t>Официальное размещение Извещения и Документации о закупке</w:t>
      </w:r>
      <w:bookmarkEnd w:id="97"/>
      <w:bookmarkEnd w:id="98"/>
    </w:p>
    <w:p>
      <w:pPr>
        <w:pStyle w:val="Style21"/>
        <w:rPr/>
      </w:pPr>
      <w:r>
        <w:rPr/>
        <w:t>Извещение и Документация о закупке официально размещены на Официальном сайте (ЕИС) и доступны для ознакомления без взимания платы. Иные публикации не влекут для Организатора никаких последствий.</w:t>
      </w:r>
    </w:p>
    <w:p>
      <w:pPr>
        <w:pStyle w:val="Style21"/>
        <w:rPr/>
      </w:pPr>
      <w:r>
        <w:rP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 с последующим размещением ее на Официальном сайте (ЕИС) в течение 1 (одного) рабочего дня со дня устранения указанных неполадок.</w:t>
      </w:r>
    </w:p>
    <w:p>
      <w:pPr>
        <w:pStyle w:val="Style21"/>
        <w:rPr/>
      </w:pPr>
      <w:bookmarkStart w:id="99" w:name="_Ref125362785"/>
      <w:r>
        <w:rPr/>
        <w:t>Участники могут получить Документацию о закупке также через ЭП. Порядок получения информации через ЭП определяется Регламентом ЭП, с использованием которой проводится закупка.</w:t>
      </w:r>
      <w:bookmarkEnd w:id="99"/>
    </w:p>
    <w:p>
      <w:pPr>
        <w:pStyle w:val="Style21"/>
        <w:rPr/>
      </w:pPr>
      <w:r>
        <w:rP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pPr>
        <w:pStyle w:val="Style20"/>
        <w:rPr/>
      </w:pPr>
      <w:bookmarkStart w:id="100" w:name="_Toc188946925"/>
      <w:bookmarkStart w:id="101" w:name="_Ref130394681"/>
      <w:bookmarkStart w:id="102" w:name="_Ref130281199"/>
      <w:r>
        <w:rPr/>
        <w:t>Подготовка заявки</w:t>
      </w:r>
      <w:bookmarkEnd w:id="100"/>
      <w:bookmarkEnd w:id="101"/>
      <w:bookmarkEnd w:id="102"/>
    </w:p>
    <w:p>
      <w:pPr>
        <w:pStyle w:val="Style21"/>
        <w:rPr/>
      </w:pPr>
      <w:r>
        <w:rPr/>
        <w:t>Участник должен подготовить заявку с учетом требований Документации о закупке.</w:t>
      </w:r>
    </w:p>
    <w:p>
      <w:pPr>
        <w:pStyle w:val="Style21"/>
        <w:rPr/>
      </w:pPr>
      <w:r>
        <w:rPr/>
        <w:t>Участник самостоятельно несет все расходы, связанные с подготовкой и подачей заявки (подраздел </w:t>
      </w:r>
      <w:r>
        <w:rPr/>
        <w:fldChar w:fldCharType="begin"/>
      </w:r>
      <w:r>
        <w:rPr/>
        <w:instrText xml:space="preserve"> REF _Ref125362119 \r \h </w:instrText>
      </w:r>
      <w:r>
        <w:rPr/>
        <w:fldChar w:fldCharType="separate"/>
      </w:r>
      <w:r>
        <w:rPr/>
        <w:t>4.6</w:t>
      </w:r>
      <w:r>
        <w:rPr/>
        <w:fldChar w:fldCharType="end"/>
      </w:r>
      <w:r>
        <w:rP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pPr>
        <w:pStyle w:val="Style21"/>
        <w:rPr/>
      </w:pPr>
      <w:r>
        <w:rPr/>
        <w:t xml:space="preserve">Участник должен подготовить заявку, включающую в себя полный комплект документов согласно перечню, определенному </w:t>
      </w:r>
      <w:hyperlink w:anchor="Прил06_СоставЗаявки">
        <w:r>
          <w:rPr>
            <w:rStyle w:val="Style11"/>
          </w:rPr>
          <w:t>Приложением № 6 – Состав заявки</w:t>
        </w:r>
      </w:hyperlink>
      <w:r>
        <w:rPr/>
        <w:t xml:space="preserve">. Образцы форм документов, включаемых в состав заявки, а также инструкции по их подготовке, приведены в </w:t>
      </w:r>
      <w:hyperlink w:anchor="Прил04_ФормыЗаявки">
        <w:r>
          <w:rPr>
            <w:rStyle w:val="Style11"/>
          </w:rPr>
          <w:t>Приложение № 4</w:t>
        </w:r>
      </w:hyperlink>
      <w:r>
        <w:rPr/>
        <w:t>.</w:t>
      </w:r>
    </w:p>
    <w:p>
      <w:pPr>
        <w:pStyle w:val="Style21"/>
        <w:rPr/>
      </w:pPr>
      <w:r>
        <w:rPr/>
        <w:t xml:space="preserve">Непосредственно перед подачей заявки Участник должен разделить подготовленные документы на отдельные части: </w:t>
      </w:r>
      <w:bookmarkStart w:id="103" w:name="_Hlk132886098"/>
      <w:r>
        <w:rPr/>
        <w:t xml:space="preserve">первую часть и вторую часть </w:t>
      </w:r>
      <w:bookmarkEnd w:id="103"/>
      <w:r>
        <w:rPr/>
        <w:t xml:space="preserve">в соответствии с перечнем документов, входящих в каждую из частей, определенному </w:t>
      </w:r>
      <w:hyperlink w:anchor="Прил06_СоставЗаявки">
        <w:r>
          <w:rPr>
            <w:rStyle w:val="Style11"/>
          </w:rPr>
          <w:t>Приложением № 6 – Состав заявки</w:t>
        </w:r>
      </w:hyperlink>
      <w:r>
        <w:rPr/>
        <w:t>.</w:t>
      </w:r>
    </w:p>
    <w:p>
      <w:pPr>
        <w:pStyle w:val="Style21"/>
        <w:rPr/>
      </w:pPr>
      <w:r>
        <w:rPr/>
        <w:t>В первую часть заявки должны входить документы, содержащие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21"/>
        <w:rPr/>
      </w:pPr>
      <w:r>
        <w:rPr/>
        <w:t>Во вторую часть заявки должны входить документы, содержащие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w:t>
      </w:r>
    </w:p>
    <w:p>
      <w:pPr>
        <w:pStyle w:val="Style21"/>
        <w:rPr/>
      </w:pPr>
      <w:r>
        <w:rPr/>
        <w:t>При этом документы, входящие в состав первой части заявки, не должны подаваться на фирменном бланке Участника или иным образом содержать сведения, идентифицирующие его (наименование, адрес местонахождения, номер контактного телефона, адрес электронной почты, сайт в информационно-телекоммуникационной сети «Интернет» и т.п.).</w:t>
      </w:r>
    </w:p>
    <w:p>
      <w:pPr>
        <w:pStyle w:val="Style21"/>
        <w:rPr/>
      </w:pPr>
      <w:r>
        <w:rPr/>
        <w:t>В случае обнаружения в первой части заявки сведений об Участнике и (или) его ценовом предложении, такая заявка подлежит отклонению.</w:t>
      </w:r>
    </w:p>
    <w:p>
      <w:pPr>
        <w:pStyle w:val="Style21"/>
        <w:rPr/>
      </w:pPr>
      <w:bookmarkStart w:id="104" w:name="_Ref125365866"/>
      <w:bookmarkStart w:id="105" w:name="_Ref130394854"/>
      <w:r>
        <w:rP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(при получении двух и более заявок от одного Участника в рамках одного лота) все поданные им заявки подлежат отклонению.</w:t>
      </w:r>
      <w:bookmarkEnd w:id="104"/>
      <w:bookmarkEnd w:id="105"/>
    </w:p>
    <w:p>
      <w:pPr>
        <w:pStyle w:val="Style21"/>
        <w:rPr/>
      </w:pPr>
      <w:r>
        <w:rPr/>
        <w:t>Заявка должна быть действительна в течение срока проведения закупки и до истечения срока, отведенного на заключение Договора (пункт </w:t>
      </w:r>
      <w:r>
        <w:rPr/>
        <w:fldChar w:fldCharType="begin"/>
      </w:r>
      <w:r>
        <w:rPr/>
        <w:instrText xml:space="preserve"> REF _Ref130293821 \r \h </w:instrText>
      </w:r>
      <w:r>
        <w:rPr/>
        <w:fldChar w:fldCharType="separate"/>
      </w:r>
      <w:r>
        <w:rPr/>
        <w:t>5.2.1</w:t>
      </w:r>
      <w:r>
        <w:rPr/>
        <w:fldChar w:fldCharType="end"/>
      </w:r>
      <w:r>
        <w:rPr/>
        <w:t>). В любом случае этот срок должен быть не менее чем 90 (девяносто) календарных дней с даты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 Указание меньшего срока действия заявки в Письме о подаче оферты (форма 2) (</w:t>
      </w:r>
      <w:hyperlink w:anchor="Прил04_ФормыЗаявки">
        <w:r>
          <w:rPr>
            <w:rStyle w:val="Style11"/>
          </w:rPr>
          <w:t>Приложение № 4</w:t>
        </w:r>
      </w:hyperlink>
      <w:r>
        <w:rPr/>
        <w:t>) может служить основанием для отклонения заявки.</w:t>
      </w:r>
    </w:p>
    <w:p>
      <w:pPr>
        <w:pStyle w:val="Style21"/>
        <w:rPr/>
      </w:pPr>
      <w:r>
        <w:rPr/>
        <w:t>Все документы, входящие в состав заявки, должны быть подготовлены на русском языке. Исключение составляют документы, оригиналы которых выданы Участнику третьими лицами на ином языке: они могут быть представлены на языке оригинала при условии, что к ним приложен перевод этих документов на русский язык (в специально оговоренных случаях – с апостилем согласно Гаагской конвенции 1961 года).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 рассматривать документы, не переведенные на русский язык.</w:t>
      </w:r>
    </w:p>
    <w:p>
      <w:pPr>
        <w:pStyle w:val="Style21"/>
        <w:rPr/>
      </w:pPr>
      <w:r>
        <w:rPr/>
        <w:t>Все суммы денежных средств в документах, входящих в состав заявки, в том числе в ценовое предложение, должны быть выражены в российских рублях. Исключение составляют документы, оригиналы которых выданы Участнику третьими лицами с выражением сумм денежных средств в иных валютах: они могут быть представлены в валюте оригинала при условии, что к ним будут приложены комментарии с переводом этих сумм в российские рубли (по официальному курсу валюты, установленному Центральным банком Российской Федерации на дату выдачи документа, с указанием такого курса).</w:t>
      </w:r>
    </w:p>
    <w:p>
      <w:pPr>
        <w:pStyle w:val="Style21"/>
        <w:rPr/>
      </w:pPr>
      <w:bookmarkStart w:id="106" w:name="_Ref125370708"/>
      <w:bookmarkStart w:id="107" w:name="_Ref125370700"/>
      <w:r>
        <w:rPr/>
        <w:t>Итоговая стоимость заявки (цена Договора) без учета НДС не должна превышать установленную Заказчиком НМЦ (подраздел </w:t>
      </w:r>
      <w:r>
        <w:rPr/>
        <w:fldChar w:fldCharType="begin"/>
      </w:r>
      <w:r>
        <w:rPr/>
        <w:instrText xml:space="preserve"> REF _Ref125359973 \r \h </w:instrText>
      </w:r>
      <w:r>
        <w:rPr/>
        <w:fldChar w:fldCharType="separate"/>
      </w:r>
      <w:r>
        <w:rPr/>
        <w:t>1.2</w:t>
      </w:r>
      <w:r>
        <w:rPr/>
        <w:fldChar w:fldCharType="end"/>
      </w:r>
      <w:r>
        <w:rPr/>
        <w:t>), в противном случае заявка будет отклонена.</w:t>
      </w:r>
    </w:p>
    <w:p>
      <w:pPr>
        <w:pStyle w:val="Style21"/>
        <w:rPr/>
      </w:pPr>
      <w:r>
        <w:rPr/>
        <w:t xml:space="preserve">Итоговая стоимость заявки (цена Договора) должна включать в себя сумму всех расходов, предусмотренных </w:t>
      </w:r>
      <w:hyperlink w:anchor="Прил01_ТехТребования">
        <w:r>
          <w:rPr>
            <w:rStyle w:val="Style11"/>
          </w:rPr>
          <w:t>Техническими требованиями (Приложение № 1)</w:t>
        </w:r>
      </w:hyperlink>
      <w:r>
        <w:rPr/>
        <w:t xml:space="preserve"> и </w:t>
      </w:r>
      <w:hyperlink w:anchor="Прил02_ПроектДоговора">
        <w:r>
          <w:rPr>
            <w:rStyle w:val="Style11"/>
          </w:rPr>
          <w:t>Проектом договора (Приложение № 2)</w:t>
        </w:r>
      </w:hyperlink>
      <w:r>
        <w:rPr/>
        <w:t>, а также сумму налогов и других обязательных платежей, подлежащих уплате в соответствии с нормами законодательства (если иное не установлено Документацией о закупке). При этом сумма НДС (в случае его уплаты) выделяется отдельно и не входит в итоговую стоимость заявки Участника, являющегося плательщиком НДС.</w:t>
      </w:r>
      <w:bookmarkEnd w:id="106"/>
      <w:bookmarkEnd w:id="107"/>
    </w:p>
    <w:p>
      <w:pPr>
        <w:pStyle w:val="Style28"/>
        <w:rPr/>
      </w:pPr>
      <w:r>
        <w:rPr/>
      </w:r>
    </w:p>
    <w:p>
      <w:pPr>
        <w:pStyle w:val="Style21"/>
        <w:rPr/>
      </w:pPr>
      <w:bookmarkStart w:id="108" w:name="_Ref130379863"/>
      <w:r>
        <w:rPr/>
        <w:t xml:space="preserve">Участник в составе заявки предоставляет по установленной форме Технического предложения (форма 4; </w:t>
      </w:r>
      <w:hyperlink w:anchor="Прил04_ФормыЗаявки">
        <w:r>
          <w:rPr>
            <w:rStyle w:val="Style11"/>
          </w:rPr>
          <w:t>Приложение № 4</w:t>
        </w:r>
      </w:hyperlink>
      <w:r>
        <w:rPr/>
        <w:t xml:space="preserve">) подробное предложение в отношении поставляемой продукции на условиях, указанных в Документации о закупке, в том числе в </w:t>
      </w:r>
      <w:hyperlink w:anchor="Прил01_ТехТребования">
        <w:r>
          <w:rPr>
            <w:rStyle w:val="Style11"/>
          </w:rPr>
          <w:t>Технических требованиях (Приложение № 1)</w:t>
        </w:r>
      </w:hyperlink>
      <w:r>
        <w:rPr/>
        <w:t>.</w:t>
      </w:r>
      <w:bookmarkEnd w:id="108"/>
    </w:p>
    <w:p>
      <w:pPr>
        <w:pStyle w:val="Style21"/>
        <w:rPr/>
      </w:pPr>
      <w:r>
        <w:rPr/>
        <w:t xml:space="preserve">При описании продукции Участник обязан подтвердить соответствие поставляемой продукции требованиям Документации о закупке, в том числе требованиям, установленным в </w:t>
      </w:r>
      <w:hyperlink w:anchor="Прил01_ТехТребования">
        <w:r>
          <w:rPr>
            <w:rStyle w:val="Style11"/>
          </w:rPr>
          <w:t>Технических требованиях (Приложение № 1)</w:t>
        </w:r>
      </w:hyperlink>
      <w:r>
        <w:rPr/>
        <w:t>, в отношении всех показателей, которые в ней установлены. При этом должны указываться точные и не допускающие двусмысленного толкования показатели.</w:t>
      </w:r>
    </w:p>
    <w:p>
      <w:pPr>
        <w:pStyle w:val="Style21"/>
        <w:rPr/>
      </w:pPr>
      <w:r>
        <w:rPr/>
        <w:t xml:space="preserve">Если в </w:t>
      </w:r>
      <w:hyperlink w:anchor="Прил01_ТехТребования">
        <w:r>
          <w:rPr>
            <w:rStyle w:val="Style11"/>
          </w:rPr>
          <w:t>Технических требованиях (Приложение № 1)</w:t>
        </w:r>
      </w:hyperlink>
      <w:r>
        <w:rPr/>
        <w:t xml:space="preserve"> указаны товарные знаки, знаки обслуживания, фирменные наименования, патенты, полезные модели, промышленные образцы, наименование страны происхождения товара или наименование производителя, сопровождаемые словами «или эквивалент», и Участник предлагает продукцию, являющуюся эквивалентом требуемой, то он при описании продукции обязан подтвердить соответствие предлагаемой продукции показателям эквивалентности, установленным в </w:t>
      </w:r>
      <w:hyperlink w:anchor="Прил01_ТехТребования">
        <w:r>
          <w:rPr>
            <w:rStyle w:val="Style11"/>
          </w:rPr>
          <w:t>Технических требованиях (Приложение № 1)</w:t>
        </w:r>
      </w:hyperlink>
      <w:r>
        <w:rPr/>
        <w:t>.</w:t>
      </w:r>
    </w:p>
    <w:p>
      <w:pPr>
        <w:pStyle w:val="Style21"/>
        <w:rPr/>
      </w:pPr>
      <w:bookmarkStart w:id="109" w:name="_Ref130379876"/>
      <w:r>
        <w:rPr/>
        <w:t xml:space="preserve">При описании продукции Участник должен использовать общеизвестные (стандартные) показатели, термины и сокращения в соответствии с законодательством и </w:t>
      </w:r>
      <w:hyperlink w:anchor="Прил01_ТехТребования">
        <w:r>
          <w:rPr>
            <w:rStyle w:val="Style11"/>
          </w:rPr>
          <w:t>Техническими требованиями (Приложение № 1)</w:t>
        </w:r>
      </w:hyperlink>
      <w:r>
        <w:rPr/>
        <w:t>.</w:t>
      </w:r>
      <w:bookmarkEnd w:id="109"/>
    </w:p>
    <w:p>
      <w:pPr>
        <w:pStyle w:val="Style21"/>
        <w:rPr/>
      </w:pPr>
      <w:bookmarkStart w:id="110" w:name="_Ref130455500"/>
      <w:r>
        <w:rPr/>
        <w:t>В случае нарушения Участником требований к описанию продукции (пункты </w:t>
      </w:r>
      <w:r>
        <w:rPr/>
        <w:fldChar w:fldCharType="begin"/>
      </w:r>
      <w:r>
        <w:rPr/>
        <w:instrText xml:space="preserve"> REF _Ref130379863 \r \h </w:instrText>
      </w:r>
      <w:r>
        <w:rPr/>
        <w:fldChar w:fldCharType="separate"/>
      </w:r>
      <w:r>
        <w:rPr/>
        <w:t>4.3.15</w:t>
      </w:r>
      <w:r>
        <w:rPr/>
        <w:fldChar w:fldCharType="end"/>
      </w:r>
      <w:r>
        <w:rPr/>
        <w:t xml:space="preserve"> – </w:t>
      </w:r>
      <w:r>
        <w:rPr/>
        <w:fldChar w:fldCharType="begin"/>
      </w:r>
      <w:r>
        <w:rPr/>
        <w:instrText xml:space="preserve"> REF _Ref130379876 \r \h </w:instrText>
      </w:r>
      <w:r>
        <w:rPr/>
        <w:fldChar w:fldCharType="separate"/>
      </w:r>
      <w:r>
        <w:rPr/>
        <w:t>4.3.18</w:t>
      </w:r>
      <w:r>
        <w:rPr/>
        <w:fldChar w:fldCharType="end"/>
      </w:r>
      <w:r>
        <w:rPr/>
        <w:t>) Организатор вправе отклонить заявку такого Участника от дальнейшего участия в закупке.</w:t>
      </w:r>
      <w:bookmarkEnd w:id="110"/>
    </w:p>
    <w:p>
      <w:pPr>
        <w:pStyle w:val="Style21"/>
        <w:keepNext w:val="true"/>
        <w:rPr/>
      </w:pPr>
      <w:r>
        <w:rPr/>
        <w:t>Документы, входящие в заявку, не должны содержать недостоверные сведения или намеренно искаженную информацию. Также должны отсутствовать:</w:t>
      </w:r>
    </w:p>
    <w:p>
      <w:pPr>
        <w:pStyle w:val="Style22"/>
        <w:rPr/>
      </w:pPr>
      <w:r>
        <w:rPr/>
        <w:t>внутренние противоречия между различными частями и (или) документами заявки, в том числе по тексту внутри одного документа;</w:t>
      </w:r>
    </w:p>
    <w:p>
      <w:pPr>
        <w:pStyle w:val="Style22"/>
        <w:rPr/>
      </w:pPr>
      <w:bookmarkStart w:id="111" w:name="_Ref125714384"/>
      <w:bookmarkStart w:id="112" w:name="_Ref125370398"/>
      <w:r>
        <w:rPr/>
        <w:t>противоречия между документами заявки и сведениями, указанными Участником в структурированных формах на ЭП.</w:t>
      </w:r>
      <w:bookmarkEnd w:id="111"/>
      <w:bookmarkEnd w:id="112"/>
    </w:p>
    <w:p>
      <w:pPr>
        <w:pStyle w:val="Style21"/>
        <w:rPr/>
      </w:pPr>
      <w:r>
        <w:rPr/>
        <w:t>Представленные в составе заявки документы, оформленные / выданные государственными, лицензирующими, сертификационными, аккредитационными органами и (или) саморегулируемыми организациями, должны соответствовать императивным требованиям (при наличии) законодательства в отношении:</w:t>
      </w:r>
    </w:p>
    <w:p>
      <w:pPr>
        <w:pStyle w:val="Style22"/>
        <w:rPr/>
      </w:pPr>
      <w:r>
        <w:rPr/>
        <w:t>полномочий таких органов / лиц на оформление этих документов;</w:t>
      </w:r>
    </w:p>
    <w:p>
      <w:pPr>
        <w:pStyle w:val="Style22"/>
        <w:rPr/>
      </w:pPr>
      <w:r>
        <w:rPr/>
        <w:t>формы, объема и содержания этих документов.</w:t>
      </w:r>
    </w:p>
    <w:p>
      <w:pPr>
        <w:pStyle w:val="Style21"/>
        <w:keepNext w:val="true"/>
        <w:rPr/>
      </w:pPr>
      <w:r>
        <w:rPr/>
        <w:t>Участник должен подготовить заявку с соблюдением следующих условий:</w:t>
      </w:r>
    </w:p>
    <w:p>
      <w:pPr>
        <w:pStyle w:val="Style22"/>
        <w:rPr/>
      </w:pPr>
      <w:r>
        <w:rPr/>
        <w:t>документы заявки могут предоставляться как в графическом виде (в том числе в виде скан-копии, рекомендуемый формат: *.</w:t>
      </w:r>
      <w:r>
        <w:rPr>
          <w:lang w:val="en-US"/>
        </w:rPr>
        <w:t>pdf</w:t>
      </w:r>
      <w:r>
        <w:rPr/>
        <w:t>); так и в электронном виде (в формате Microsoft Word (*.doc</w:t>
      </w:r>
      <w:r>
        <w:rPr>
          <w:lang w:val="en-US"/>
        </w:rPr>
        <w:t>x</w:t>
      </w:r>
      <w:r>
        <w:rPr/>
        <w:t>), Microsoft Excel (*.xls</w:t>
      </w:r>
      <w:r>
        <w:rPr>
          <w:lang w:val="en-US"/>
        </w:rPr>
        <w:t>x</w:t>
      </w:r>
      <w:r>
        <w:rPr/>
        <w:t>), и других). Исключение составляют документы, выданные Участнику третьими лицами, которые должны быть предоставлены только в графическом виде (в том числе в виде скан-копии, рекомендуемый формат: *.</w:t>
      </w:r>
      <w:r>
        <w:rPr>
          <w:lang w:val="en-US"/>
        </w:rPr>
        <w:t>pdf</w:t>
      </w:r>
      <w:r>
        <w:rPr/>
        <w:t>);</w:t>
      </w:r>
    </w:p>
    <w:p>
      <w:pPr>
        <w:pStyle w:val="Style22"/>
        <w:rPr/>
      </w:pPr>
      <w:r>
        <w:rPr/>
        <w:t>электронные копии документов, заверенные третьей стороной,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pPr>
        <w:pStyle w:val="Style22"/>
        <w:rPr/>
      </w:pPr>
      <w:r>
        <w:rPr/>
        <w:t>все файлы не должны иметь защиты от их открытия, изменения, копирования их содержимого или их печати;</w:t>
      </w:r>
    </w:p>
    <w:p>
      <w:pPr>
        <w:pStyle w:val="Style22"/>
        <w:rPr/>
      </w:pPr>
      <w:r>
        <w:rPr/>
        <w:t>файлы электронной заявки рекомендуется именовать так, чтобы можно было идентифицировать содержание данного файла заявки (указать в названии файла содержащийся в нем документ). Каждый документ рекомендуется размещать в отдельном файле;</w:t>
      </w:r>
    </w:p>
    <w:p>
      <w:pPr>
        <w:pStyle w:val="Style22"/>
        <w:rPr/>
      </w:pPr>
      <w:r>
        <w:rPr/>
        <w:t>если какой-либо документ представлен в нечитаемом виде, данный документ считается непредставленным.</w:t>
      </w:r>
    </w:p>
    <w:p>
      <w:pPr>
        <w:pStyle w:val="Style21"/>
        <w:rPr/>
      </w:pPr>
      <w:r>
        <w:rPr/>
        <w:t>Никакие исправления в документах заявки не имеют силу, за исключением 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pPr>
        <w:pStyle w:val="Style20"/>
        <w:rPr/>
      </w:pPr>
      <w:bookmarkStart w:id="113" w:name="_Ref125366672"/>
      <w:bookmarkStart w:id="114" w:name="_Ref130394205"/>
      <w:bookmarkStart w:id="115" w:name="_Ref130394785"/>
      <w:bookmarkStart w:id="116" w:name="_Ref130394802"/>
      <w:bookmarkStart w:id="117" w:name="_Ref125361260"/>
      <w:bookmarkStart w:id="118" w:name="_Toc188946926"/>
      <w:bookmarkStart w:id="119" w:name="_Ref125362071"/>
      <w:r>
        <w:rPr/>
        <w:t>Разъяснение Документации о закупке</w:t>
      </w:r>
      <w:bookmarkEnd w:id="113"/>
      <w:bookmarkEnd w:id="114"/>
      <w:bookmarkEnd w:id="115"/>
      <w:bookmarkEnd w:id="116"/>
      <w:bookmarkEnd w:id="117"/>
      <w:bookmarkEnd w:id="118"/>
      <w:bookmarkEnd w:id="119"/>
    </w:p>
    <w:p>
      <w:pPr>
        <w:pStyle w:val="Style21"/>
        <w:rPr/>
      </w:pPr>
      <w:r>
        <w:rPr/>
        <w:t>Участники вправе обратиться к Организатору за разъяснениями Документации о закупке.</w:t>
      </w:r>
    </w:p>
    <w:p>
      <w:pPr>
        <w:pStyle w:val="Style21"/>
        <w:rPr/>
      </w:pPr>
      <w:r>
        <w:rPr/>
        <w:t>Запросы подаются в соответствии с Регламентами и инструкциями Оператора ЭП, опубликованными на сайте соответствующей ЭП.</w:t>
      </w:r>
    </w:p>
    <w:p>
      <w:pPr>
        <w:pStyle w:val="Style21"/>
        <w:rPr/>
      </w:pPr>
      <w:r>
        <w:rPr/>
        <w:t>Организатор обязуется ответить на любой вопрос, поступивший не позднее чем за 3 (три) рабочих дня до даты окончания срока подачи заявок. В случае поступления вопросов с нарушением установленного срока Организатор вправе не предоставлять разъяснения.</w:t>
      </w:r>
    </w:p>
    <w:p>
      <w:pPr>
        <w:pStyle w:val="Style21"/>
        <w:rPr/>
      </w:pPr>
      <w:r>
        <w:rP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rPr/>
        <w:fldChar w:fldCharType="begin"/>
      </w:r>
      <w:r>
        <w:rPr/>
        <w:instrText xml:space="preserve"> REF _Ref125359973 \r \h </w:instrText>
      </w:r>
      <w:r>
        <w:rPr/>
        <w:fldChar w:fldCharType="separate"/>
      </w:r>
      <w:r>
        <w:rPr/>
        <w:t>1.2</w:t>
      </w:r>
      <w:r>
        <w:rPr/>
        <w:fldChar w:fldCharType="end"/>
      </w:r>
      <w:r>
        <w:rPr/>
        <w:t>, но в любом случае не позднее чем в течение 3 (трех) рабочих дней с даты поступления такого запроса. Копия ответа размещается Организатором на ЭП.</w:t>
      </w:r>
    </w:p>
    <w:p>
      <w:pPr>
        <w:pStyle w:val="Style21"/>
        <w:rPr/>
      </w:pPr>
      <w:r>
        <w:rPr/>
        <w:t>Организатор также вправе по собственной инициативе (без получения запросов от Участников) официально разместить разъяснения Документации о закупке.</w:t>
      </w:r>
    </w:p>
    <w:p>
      <w:pPr>
        <w:pStyle w:val="Style21"/>
        <w:rPr/>
      </w:pPr>
      <w:r>
        <w:rPr/>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r>
          <w:rPr>
            <w:rStyle w:val="Style11"/>
          </w:rPr>
          <w:t>Проекта договора (Приложения № 2)</w:t>
        </w:r>
      </w:hyperlink>
      <w:r>
        <w:rPr>
          <w:rStyle w:val="Style11"/>
        </w:rPr>
        <w:t>,</w:t>
      </w:r>
      <w:r>
        <w:rPr/>
        <w:t xml:space="preserve"> в противном случае вносятся изменения в Документацию о закупке. При этом Участники обязаны учитывать разъяснения Организатора при подготовке своих заявок. Все риски и последствия за подачу заявки без учета официально размещенных разъяснений несет Участник.</w:t>
      </w:r>
    </w:p>
    <w:p>
      <w:pPr>
        <w:pStyle w:val="Style21"/>
        <w:rPr/>
      </w:pPr>
      <w:r>
        <w:rP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 вправе на нее ссылаться.</w:t>
      </w:r>
    </w:p>
    <w:p>
      <w:pPr>
        <w:pStyle w:val="Style20"/>
        <w:rPr/>
      </w:pPr>
      <w:bookmarkStart w:id="120" w:name="_Toc188946927"/>
      <w:bookmarkStart w:id="121" w:name="_Ref125362076"/>
      <w:bookmarkStart w:id="122" w:name="_Ref125364404"/>
      <w:bookmarkStart w:id="123" w:name="_Ref125363891"/>
      <w:r>
        <w:rPr/>
        <w:t>Изменения Извещения и (или) Документации о закупке</w:t>
      </w:r>
      <w:bookmarkEnd w:id="120"/>
      <w:bookmarkEnd w:id="121"/>
      <w:bookmarkEnd w:id="122"/>
      <w:bookmarkEnd w:id="123"/>
    </w:p>
    <w:p>
      <w:pPr>
        <w:pStyle w:val="Style21"/>
        <w:rPr/>
      </w:pPr>
      <w:r>
        <w:rPr/>
        <w:t>Организатор в любой момент до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 вправе внести изменения в Извещение и (или) Документацию о закупке. При этом официальному размещению подлежит обновленная редакция Извещения и (или) Документации о закупке, а также перечень внесенных изменений в них.</w:t>
      </w:r>
    </w:p>
    <w:p>
      <w:pPr>
        <w:pStyle w:val="Style21"/>
        <w:keepNext w:val="true"/>
        <w:rPr/>
      </w:pPr>
      <w:r>
        <w:rPr/>
        <w:t>После окончания срока подачи заявок допускается изменение только в части установленных Документацией о закупке дат (</w:t>
      </w:r>
      <w:bookmarkStart w:id="124" w:name="_Hlk149650101"/>
      <w:r>
        <w:rPr/>
        <w:t>и если необходимо времени</w:t>
      </w:r>
      <w:bookmarkEnd w:id="124"/>
      <w:r>
        <w:rPr/>
        <w:t>):</w:t>
      </w:r>
    </w:p>
    <w:p>
      <w:pPr>
        <w:pStyle w:val="Style22"/>
        <w:rPr/>
      </w:pPr>
      <w:r>
        <w:rPr/>
        <w:t>рассмотрения первых частей заявок;</w:t>
      </w:r>
    </w:p>
    <w:p>
      <w:pPr>
        <w:pStyle w:val="Style22"/>
        <w:rPr/>
      </w:pPr>
      <w:r>
        <w:rPr/>
        <w:t>проведения аукциона;</w:t>
      </w:r>
    </w:p>
    <w:p>
      <w:pPr>
        <w:pStyle w:val="Style22"/>
        <w:rPr/>
      </w:pPr>
      <w:r>
        <w:rPr/>
        <w:t>рассмотрения вторых частей заявок;</w:t>
      </w:r>
    </w:p>
    <w:p>
      <w:pPr>
        <w:pStyle w:val="Style22"/>
        <w:rPr/>
      </w:pPr>
      <w:r>
        <w:rPr/>
        <w:t>подведения итогов закупки;</w:t>
      </w:r>
    </w:p>
    <w:p>
      <w:pPr>
        <w:pStyle w:val="Style25"/>
        <w:ind w:left="1134" w:hanging="0"/>
        <w:rPr/>
      </w:pPr>
      <w:bookmarkStart w:id="125" w:name="_Ref125550844"/>
      <w:r>
        <w:rPr/>
        <w:t>в пределах срока действия заявок и с уведомлением Участников, подавших заявки.</w:t>
      </w:r>
      <w:bookmarkEnd w:id="125"/>
    </w:p>
    <w:p>
      <w:pPr>
        <w:pStyle w:val="Style21"/>
        <w:rPr/>
      </w:pPr>
      <w:r>
        <w:rPr/>
        <w:t>Текст изменений официально размещается в течение 3 (трех) календарных дней со дня принятия решения о внесении указанных изменений. Все Участники, официально получившие Документацию о закупке через ЭП, получат соответствующие уведомления в порядке, установленном Регламентом ЭП.</w:t>
      </w:r>
    </w:p>
    <w:p>
      <w:pPr>
        <w:pStyle w:val="Style21"/>
        <w:rPr/>
      </w:pPr>
      <w:r>
        <w:rPr/>
        <w:t>При внесении изменений в Документацию о закупке (за исключением указанного в пункте </w:t>
      </w:r>
      <w:r>
        <w:rPr/>
        <w:fldChar w:fldCharType="begin"/>
      </w:r>
      <w:r>
        <w:rPr/>
        <w:instrText xml:space="preserve"> REF _Ref125550844 \r \h </w:instrText>
      </w:r>
      <w:r>
        <w:rPr/>
        <w:fldChar w:fldCharType="separate"/>
      </w:r>
      <w:r>
        <w:rPr/>
      </w:r>
      <w:r>
        <w:rPr/>
        <w:fldChar w:fldCharType="end"/>
      </w:r>
      <w:r>
        <w:rPr/>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 половины от минимального срока подачи заявок, установленного в Положении о закупке для данного способа, а именно:</w:t>
      </w:r>
    </w:p>
    <w:p>
      <w:pPr>
        <w:pStyle w:val="Style22"/>
        <w:rPr/>
      </w:pPr>
      <w:r>
        <w:rPr/>
        <w:t>4 (четырех) календарных дней, если НМЦ закупки (подраздел </w:t>
      </w:r>
      <w:r>
        <w:rPr/>
        <w:fldChar w:fldCharType="begin"/>
      </w:r>
      <w:r>
        <w:rPr/>
        <w:instrText xml:space="preserve"> REF _Ref125359973 \r \h </w:instrText>
      </w:r>
      <w:r>
        <w:rPr/>
        <w:fldChar w:fldCharType="separate"/>
      </w:r>
      <w:r>
        <w:rPr/>
        <w:t>1.2</w:t>
      </w:r>
      <w:r>
        <w:rPr/>
        <w:fldChar w:fldCharType="end"/>
      </w:r>
      <w:r>
        <w:rPr/>
        <w:t>) не превышает 30 000 000 (тридцать миллионов) рублей без НДС;</w:t>
      </w:r>
    </w:p>
    <w:p>
      <w:pPr>
        <w:pStyle w:val="Style22"/>
        <w:rPr/>
      </w:pPr>
      <w:r>
        <w:rPr/>
        <w:t>8 (восьми) календарных дней, если НМЦ закупки (подраздел </w:t>
      </w:r>
      <w:r>
        <w:rPr/>
        <w:fldChar w:fldCharType="begin"/>
      </w:r>
      <w:r>
        <w:rPr/>
        <w:instrText xml:space="preserve"> REF _Ref125359973 \r \h </w:instrText>
      </w:r>
      <w:r>
        <w:rPr/>
        <w:fldChar w:fldCharType="separate"/>
      </w:r>
      <w:r>
        <w:rPr/>
        <w:t>1.2</w:t>
      </w:r>
      <w:r>
        <w:rPr/>
        <w:fldChar w:fldCharType="end"/>
      </w:r>
      <w:r>
        <w:rPr/>
        <w:t>) превышает 30 000 000 (тридцать миллионов) рублей без НДС.</w:t>
      </w:r>
    </w:p>
    <w:p>
      <w:pPr>
        <w:pStyle w:val="Style21"/>
        <w:rPr/>
      </w:pPr>
      <w:r>
        <w:rP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pPr>
        <w:pStyle w:val="Style20"/>
        <w:rPr/>
      </w:pPr>
      <w:bookmarkStart w:id="126" w:name="_Toc188946928"/>
      <w:bookmarkStart w:id="127" w:name="_Ref125362119"/>
      <w:r>
        <w:rPr/>
        <w:t>Подача заявок и их прием</w:t>
      </w:r>
      <w:bookmarkEnd w:id="126"/>
      <w:bookmarkEnd w:id="127"/>
    </w:p>
    <w:p>
      <w:pPr>
        <w:pStyle w:val="Style21"/>
        <w:rPr/>
      </w:pPr>
      <w:r>
        <w:rPr/>
        <w:t>Участник вправе подать одну подготовленную заявку на участие в закупке в любое время начиная с даты официального размещения Извещения и до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 При этом первая и вторая части заявок подаются Участниками одновременно. Заявки, поданные позднее установленного срока, не могут быть приняты Организатором, независимо от причин опоздания. Ценовые предложения Участниками вместе с заявкой не подаются – порядок подачи ценового предложения в рамках процедуры аукциона установлен в подразделе </w:t>
      </w:r>
      <w:r>
        <w:rPr/>
        <w:fldChar w:fldCharType="begin"/>
      </w:r>
      <w:r>
        <w:rPr/>
        <w:instrText xml:space="preserve"> REF _Ref149650136 \r \h </w:instrText>
      </w:r>
      <w:r>
        <w:rPr/>
        <w:fldChar w:fldCharType="separate"/>
      </w:r>
      <w:r>
        <w:rPr/>
        <w:t>4.10</w:t>
      </w:r>
      <w:r>
        <w:rPr/>
        <w:fldChar w:fldCharType="end"/>
      </w:r>
      <w:r>
        <w:rPr/>
        <w:t>.</w:t>
      </w:r>
    </w:p>
    <w:p>
      <w:pPr>
        <w:pStyle w:val="Style21"/>
        <w:rPr/>
      </w:pPr>
      <w:r>
        <w:rP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Документации о закупке (включая все приложения к ней).</w:t>
      </w:r>
    </w:p>
    <w:p>
      <w:pPr>
        <w:pStyle w:val="Style21"/>
        <w:rPr/>
      </w:pPr>
      <w:r>
        <w:rPr/>
        <w:t>Заявка должна быть подготовлена в форме электронного документа и подана с использованием функционала ЭП в доступном для прочтения формате. При этом Участник должен сканировать документы после того, как они будут оформлены в соответствии с требованиями Документации о закупке.</w:t>
      </w:r>
    </w:p>
    <w:p>
      <w:pPr>
        <w:pStyle w:val="Style21"/>
        <w:rPr/>
      </w:pPr>
      <w:r>
        <w:rPr/>
        <w:t>Заявка должна быть подписана электронной подписью лица, которое является уполномоченным представителем Участника.</w:t>
      </w:r>
    </w:p>
    <w:p>
      <w:pPr>
        <w:pStyle w:val="Style21"/>
        <w:rPr/>
      </w:pPr>
      <w:r>
        <w:rPr/>
        <w:t>Правила подачи заявок также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p>
    <w:p>
      <w:pPr>
        <w:pStyle w:val="Style21"/>
        <w:rPr/>
      </w:pPr>
      <w:r>
        <w:rPr/>
        <w:t>Если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p>
    <w:p>
      <w:pPr>
        <w:pStyle w:val="Style21"/>
        <w:rPr/>
      </w:pPr>
      <w:r>
        <w:rPr/>
        <w:t>Оператор ЭП до окончания срока подачи заявок обеспечивает конфиденциальность информации, содержащейся в поданных заявках.</w:t>
      </w:r>
    </w:p>
    <w:p>
      <w:pPr>
        <w:pStyle w:val="Style20"/>
        <w:rPr/>
      </w:pPr>
      <w:bookmarkStart w:id="128" w:name="_Ref125363819"/>
      <w:bookmarkStart w:id="129" w:name="_Ref125362130"/>
      <w:bookmarkStart w:id="130" w:name="_Ref125362192"/>
      <w:bookmarkStart w:id="131" w:name="_Ref125365136"/>
      <w:bookmarkStart w:id="132" w:name="_Toc188946929"/>
      <w:r>
        <w:rPr/>
        <w:t>Изменение и отзыв заявок</w:t>
      </w:r>
      <w:bookmarkEnd w:id="128"/>
      <w:bookmarkEnd w:id="129"/>
      <w:bookmarkEnd w:id="130"/>
      <w:bookmarkEnd w:id="131"/>
      <w:bookmarkEnd w:id="132"/>
    </w:p>
    <w:p>
      <w:pPr>
        <w:pStyle w:val="Style21"/>
        <w:rPr/>
      </w:pPr>
      <w:r>
        <w:rPr/>
        <w:t>Участник вправе изменить или отозвать поданную им ранее заявку до момента окончания срока подачи заявок. Внесение изменений в заявку, отзыв заявки после этого времени не допускаются, кроме случаев, прямо предусмотренных Документацией о закупке.</w:t>
      </w:r>
    </w:p>
    <w:p>
      <w:pPr>
        <w:pStyle w:val="Style21"/>
        <w:rPr/>
      </w:pPr>
      <w:r>
        <w:rPr/>
        <w:t>Отзыв Участником ранее поданной заявки является отказом от участия в закупке, отозванные заявки не рассматриваются Организатором по существу.</w:t>
      </w:r>
    </w:p>
    <w:p>
      <w:pPr>
        <w:pStyle w:val="Style21"/>
        <w:rPr/>
      </w:pPr>
      <w:r>
        <w:rPr/>
        <w:t>Изменение и отзыв Участником ранее поданной заявки осуществляется в порядке, аналогичном порядку подачи и приема заявок, установленному в подразделе </w:t>
      </w:r>
      <w:r>
        <w:rPr/>
        <w:fldChar w:fldCharType="begin"/>
      </w:r>
      <w:r>
        <w:rPr/>
        <w:instrText xml:space="preserve"> REF _Ref125362119 \w \h </w:instrText>
      </w:r>
      <w:r>
        <w:rPr/>
        <w:fldChar w:fldCharType="separate"/>
      </w:r>
      <w:r>
        <w:rPr/>
        <w:t>4.6</w:t>
      </w:r>
      <w:r>
        <w:rPr/>
        <w:fldChar w:fldCharType="end"/>
      </w:r>
      <w:r>
        <w:rPr/>
        <w:t>.</w:t>
      </w:r>
    </w:p>
    <w:p>
      <w:pPr>
        <w:pStyle w:val="Style21"/>
        <w:rPr/>
      </w:pPr>
      <w:r>
        <w:rPr/>
        <w:t>Изменения и отзыв заявки осуществляется посредством функционала ЭП (подробный порядок определяется Регламентом ЭП).</w:t>
      </w:r>
    </w:p>
    <w:p>
      <w:pPr>
        <w:pStyle w:val="Style20"/>
        <w:rPr/>
      </w:pPr>
      <w:bookmarkStart w:id="133" w:name="_Toc188946930"/>
      <w:bookmarkStart w:id="134" w:name="_Ref132816188"/>
      <w:r>
        <w:rPr/>
        <w:t>Открытие доступа к первым частям заявок</w:t>
      </w:r>
      <w:bookmarkEnd w:id="133"/>
      <w:bookmarkEnd w:id="134"/>
    </w:p>
    <w:p>
      <w:pPr>
        <w:pStyle w:val="Style21"/>
        <w:rPr/>
      </w:pPr>
      <w:bookmarkStart w:id="135" w:name="_Hlk149310876"/>
      <w:r>
        <w:rPr/>
        <w:t>Оператор ЭП направляет в адрес Организатора первые части заявок в срок не позднее 1 (одного) дня, следующего за днем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w:t>
      </w:r>
      <w:bookmarkEnd w:id="135"/>
    </w:p>
    <w:p>
      <w:pPr>
        <w:pStyle w:val="Style21"/>
        <w:rPr/>
      </w:pPr>
      <w:bookmarkStart w:id="136" w:name="_Hlk149310910"/>
      <w:r>
        <w:rPr/>
        <w:t>Подробные правила открытия Организатору доступа к первым частям заявок определяются Регламентом ЭП, с использованием которой проводится закупка. При этом Оператор ЭП обеспечивает конфиденциальность сведений о наименовании Участников, в том числе сведений, указанных в сертификатах ключей электронной подписи, которой подписана заявка, а также обеспечивает конфиденциальность сведений, содержащихся в первых частях заявок, от Участников такой закупки.</w:t>
      </w:r>
      <w:bookmarkEnd w:id="136"/>
    </w:p>
    <w:p>
      <w:pPr>
        <w:pStyle w:val="Style20"/>
        <w:rPr/>
      </w:pPr>
      <w:bookmarkStart w:id="137" w:name="_Ref125362364"/>
      <w:bookmarkStart w:id="138" w:name="_Ref125366689"/>
      <w:bookmarkStart w:id="139" w:name="_Toc188946931"/>
      <w:r>
        <w:rPr/>
        <w:t>Рассмотрение первых частей заявок (отборочная стадия)</w:t>
      </w:r>
      <w:bookmarkEnd w:id="137"/>
      <w:bookmarkEnd w:id="138"/>
      <w:bookmarkEnd w:id="139"/>
    </w:p>
    <w:p>
      <w:pPr>
        <w:pStyle w:val="Style21"/>
        <w:rPr/>
      </w:pPr>
      <w:r>
        <w:rPr/>
        <w:t>Дата окончания срока рассмотрения первых частей заявок установлена в подразделе </w:t>
      </w:r>
      <w:r>
        <w:rPr/>
        <w:fldChar w:fldCharType="begin"/>
      </w:r>
      <w:r>
        <w:rPr/>
        <w:instrText xml:space="preserve"> REF _Ref125359973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1"/>
        <w:rPr/>
      </w:pPr>
      <w:r>
        <w:rPr/>
        <w:t xml:space="preserve">В рамках рассмотрения первых частей заявок (отборочной стадии) осуществляется проверка каждой заявки на предмет соответствия </w:t>
      </w:r>
      <w:hyperlink w:anchor="Прил07_ОтборочныеКритерии">
        <w:r>
          <w:rPr>
            <w:rStyle w:val="Style11"/>
          </w:rPr>
          <w:t>Отборочным критериям рассмотрения заявок (Приложение № 7)</w:t>
        </w:r>
      </w:hyperlink>
      <w:r>
        <w:rPr/>
        <w:t>.</w:t>
      </w:r>
    </w:p>
    <w:p>
      <w:pPr>
        <w:pStyle w:val="Style21"/>
        <w:rPr/>
      </w:pPr>
      <w:r>
        <w:rPr/>
        <w:t>Рассмотрение первых частей заявок проводится на основании представленных в составе заявки документов и сведений.</w:t>
      </w:r>
    </w:p>
    <w:p>
      <w:pPr>
        <w:pStyle w:val="Style21"/>
        <w:keepNext w:val="true"/>
        <w:rPr/>
      </w:pPr>
      <w:bookmarkStart w:id="140" w:name="_Ref125551456"/>
      <w:r>
        <w:rPr/>
        <w:t>По результатам рассмотрения первых частей заявок (проведения отборочной стадии) Закупочная комиссия отклоняет заявки по следующим основаниям:</w:t>
      </w:r>
      <w:bookmarkEnd w:id="140"/>
    </w:p>
    <w:p>
      <w:pPr>
        <w:pStyle w:val="Style22"/>
        <w:rPr/>
      </w:pPr>
      <w:r>
        <w:rPr/>
        <w:t>несоответствие первой части заявки по составу</w:t>
      </w:r>
      <w:r>
        <w:rPr>
          <w:rStyle w:val="FootnoteReference"/>
        </w:rPr>
        <w:footnoteReference w:id="4"/>
      </w:r>
      <w:r>
        <w:rPr/>
        <w:t>, содержанию и соблюдению требований Документации о закупке к подготовке (оформлению) заявки, в том числе наличие:</w:t>
      </w:r>
    </w:p>
    <w:p>
      <w:pPr>
        <w:pStyle w:val="Style23"/>
        <w:rPr/>
      </w:pPr>
      <w:r>
        <w:rPr/>
        <w:t>недостоверных сведений или намеренно искаженной информации или документов;</w:t>
      </w:r>
    </w:p>
    <w:p>
      <w:pPr>
        <w:pStyle w:val="Style23"/>
        <w:rPr/>
      </w:pPr>
      <w:r>
        <w:rPr/>
        <w:t>внутренних противоречий между различными частями и (или) документами первой части заявки, в том числе по тексту внутри одного документа;</w:t>
      </w:r>
    </w:p>
    <w:p>
      <w:pPr>
        <w:pStyle w:val="Style22"/>
        <w:rPr/>
      </w:pPr>
      <w:r>
        <w:rPr/>
        <w:t>несоответствие предлагаемой продукции требованиям Документации о закупке, в том числе порядка описания такой продукции (включая требования по предоставлению информации и перечня документов, которые подтверждают страну происхождения товара – для случаев запрета или ограничения, установленных законодательством о национальном режиме);</w:t>
      </w:r>
    </w:p>
    <w:p>
      <w:pPr>
        <w:pStyle w:val="Style22"/>
        <w:rPr/>
      </w:pPr>
      <w:r>
        <w:rPr/>
        <w:t>несоответствие предлагаемых договорных условий требованиям Документации о закупке;</w:t>
      </w:r>
    </w:p>
    <w:p>
      <w:pPr>
        <w:pStyle w:val="Style22"/>
        <w:rPr/>
      </w:pPr>
      <w:r>
        <w:rPr/>
        <w:t>наличие в документах первой части заявки сведений об Участники и (или) о его ценовом предложении.</w:t>
      </w:r>
    </w:p>
    <w:p>
      <w:pPr>
        <w:pStyle w:val="Style21"/>
        <w:keepNext w:val="true"/>
        <w:rPr/>
      </w:pPr>
      <w:r>
        <w:rPr/>
        <w:t>Решение Закупочной комиссии по рассмотрению первых частей заявок оформляется протоколом, в котором, как минимум, указываются</w:t>
      </w:r>
      <w:r>
        <w:rPr>
          <w:rStyle w:val="FootnoteReference"/>
        </w:rPr>
        <w:footnoteReference w:id="5"/>
      </w:r>
      <w:r>
        <w:rPr/>
        <w:t>:</w:t>
      </w:r>
    </w:p>
    <w:p>
      <w:pPr>
        <w:pStyle w:val="Style22"/>
        <w:rPr/>
      </w:pPr>
      <w:r>
        <w:rPr/>
        <w:t>дата подписания протокола;</w:t>
      </w:r>
    </w:p>
    <w:p>
      <w:pPr>
        <w:pStyle w:val="Style22"/>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2"/>
        <w:rPr/>
      </w:pPr>
      <w:r>
        <w:rPr/>
        <w:t>идентификационные номера, присваиваемые Оператором ЭП;</w:t>
      </w:r>
    </w:p>
    <w:p>
      <w:pPr>
        <w:pStyle w:val="Style22"/>
        <w:keepNext w:val="true"/>
        <w:rPr/>
      </w:pPr>
      <w:r>
        <w:rPr/>
        <w:t>результаты рассмотрения первых частей заявок с указанием, в том числе:</w:t>
      </w:r>
    </w:p>
    <w:p>
      <w:pPr>
        <w:pStyle w:val="Style23"/>
        <w:rPr/>
      </w:pPr>
      <w:r>
        <w:rPr/>
        <w:t>количества заявок, которые были отклонены по результатам рассмотрения первых частей заявок;</w:t>
      </w:r>
    </w:p>
    <w:p>
      <w:pPr>
        <w:pStyle w:val="Style23"/>
        <w:rPr/>
      </w:pPr>
      <w:r>
        <w:rPr/>
        <w:t>оснований отклонения каждой заявки с указанием положений Документации о закупке, которым не соответствует первая часть такой заявка;</w:t>
      </w:r>
    </w:p>
    <w:p>
      <w:pPr>
        <w:pStyle w:val="Style22"/>
        <w:rPr/>
      </w:pPr>
      <w:r>
        <w:rPr/>
        <w:t>причины, по которым закупка признана несостоявшейся в соответствии с подразделом </w:t>
      </w:r>
      <w:r>
        <w:rPr/>
        <w:fldChar w:fldCharType="begin"/>
      </w:r>
      <w:r>
        <w:rPr/>
        <w:instrText xml:space="preserve"> REF _Ref125364149 \w \h </w:instrText>
      </w:r>
      <w:r>
        <w:rPr/>
        <w:fldChar w:fldCharType="separate"/>
      </w:r>
      <w:r>
        <w:rPr/>
        <w:t>4.18</w:t>
      </w:r>
      <w:r>
        <w:rPr/>
        <w:fldChar w:fldCharType="end"/>
      </w:r>
      <w:r>
        <w:rPr/>
        <w:t xml:space="preserve"> (в случае ее признания таковой).</w:t>
      </w:r>
    </w:p>
    <w:p>
      <w:pPr>
        <w:pStyle w:val="Style21"/>
        <w:rPr/>
      </w:pPr>
      <w:r>
        <w:rPr/>
        <w:t>Протокол рассмотрения первых частей заявок направляется Организатором Оператору ЭП не позднее 3 (трех) календарных дней с даты подписания такого протокола, но в любом случае до начала проведения аукциона; после чего он официально размещается (подраздел </w:t>
      </w:r>
      <w:r>
        <w:rPr/>
        <w:fldChar w:fldCharType="begin"/>
      </w:r>
      <w:r>
        <w:rPr/>
        <w:instrText xml:space="preserve"> REF _Ref130286532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0"/>
        <w:rPr/>
      </w:pPr>
      <w:bookmarkStart w:id="141" w:name="_Toc188946932"/>
      <w:bookmarkStart w:id="142" w:name="_Ref149650136"/>
      <w:bookmarkStart w:id="143" w:name="_Ref149649965"/>
      <w:r>
        <w:rPr/>
        <w:t>Проведение аукциона</w:t>
      </w:r>
      <w:bookmarkEnd w:id="141"/>
      <w:bookmarkEnd w:id="142"/>
      <w:bookmarkEnd w:id="143"/>
    </w:p>
    <w:p>
      <w:pPr>
        <w:pStyle w:val="Style21"/>
        <w:rPr/>
      </w:pPr>
      <w:r>
        <w:rPr/>
        <w:t>Процедура аукциона проводится на ЭП в порядке, предусмотренном настоящим подразделом и Регламентом ЭП.</w:t>
      </w:r>
    </w:p>
    <w:p>
      <w:pPr>
        <w:pStyle w:val="Style21"/>
        <w:rPr/>
      </w:pPr>
      <w:r>
        <w:rPr/>
        <w:t>Оператор ЭП обеспечивает непрерывность проведения аукциона, надежность функционирования используемых программных и технических средств, равный доступ Участников к участию в нем, а также выполнение предусмотренного Регламентом ЭП порядка на протяжении всего срока проведения аукциона.</w:t>
      </w:r>
    </w:p>
    <w:p>
      <w:pPr>
        <w:pStyle w:val="Style21"/>
        <w:rPr/>
      </w:pPr>
      <w:r>
        <w:rPr/>
        <w:t>В аукционе могут участвовать только Участники, заявки которых были признаны Закупочной комиссией соответствующими по результатам рассмотрения первых частей заявок (подраздел </w:t>
      </w:r>
      <w:r>
        <w:rPr/>
        <w:fldChar w:fldCharType="begin"/>
      </w:r>
      <w:r>
        <w:rPr/>
        <w:instrText xml:space="preserve"> REF _Ref125362364 \r \h </w:instrText>
      </w:r>
      <w:r>
        <w:rPr/>
        <w:fldChar w:fldCharType="separate"/>
      </w:r>
      <w:r>
        <w:rPr/>
        <w:t>4.9</w:t>
      </w:r>
      <w:r>
        <w:rPr/>
        <w:fldChar w:fldCharType="end"/>
      </w:r>
      <w:r>
        <w:rPr/>
        <w:t>).</w:t>
      </w:r>
    </w:p>
    <w:p>
      <w:pPr>
        <w:pStyle w:val="Style21"/>
        <w:rPr/>
      </w:pPr>
      <w:r>
        <w:rPr/>
        <w:t>Дата и время проведения аукциона установлены в подразделе </w:t>
      </w:r>
      <w:r>
        <w:rPr/>
        <w:fldChar w:fldCharType="begin"/>
      </w:r>
      <w:r>
        <w:rPr/>
        <w:instrText xml:space="preserve"> REF _Ref125359973 \r \h </w:instrText>
      </w:r>
      <w:r>
        <w:rPr/>
        <w:fldChar w:fldCharType="separate"/>
      </w:r>
      <w:r>
        <w:rPr/>
        <w:t>1.2</w:t>
      </w:r>
      <w:r>
        <w:rPr/>
        <w:fldChar w:fldCharType="end"/>
      </w:r>
      <w:r>
        <w:rPr/>
        <w:t>. Организатор по согласованию с Заказчиком вправе, при необходимости, изменить их, официально разместив информацию об этом.</w:t>
      </w:r>
    </w:p>
    <w:p>
      <w:pPr>
        <w:pStyle w:val="Style21"/>
        <w:rPr/>
      </w:pPr>
      <w:r>
        <w:rPr/>
        <w:t>Аукцион проводится путем снижения НМЦ, а затем текущей минимальной ценовой ставки – на произвольную величину в пределах «шага аукциона» (подраздел </w:t>
      </w:r>
      <w:r>
        <w:rPr/>
        <w:fldChar w:fldCharType="begin"/>
      </w:r>
      <w:r>
        <w:rPr/>
        <w:instrText xml:space="preserve"> REF _Ref125359973 \r \h </w:instrText>
      </w:r>
      <w:r>
        <w:rPr/>
        <w:fldChar w:fldCharType="separate"/>
      </w:r>
      <w:r>
        <w:rPr/>
        <w:t>1.2</w:t>
      </w:r>
      <w:r>
        <w:rPr/>
        <w:fldChar w:fldCharType="end"/>
      </w:r>
      <w:r>
        <w:rPr/>
        <w:t xml:space="preserve">). </w:t>
      </w:r>
      <w:bookmarkStart w:id="144" w:name="_Hlk149642663"/>
      <w:r>
        <w:rPr/>
        <w:t>Снижение стоимости заявки на величину, меньше «шага аукциона», не допускается.</w:t>
      </w:r>
      <w:bookmarkEnd w:id="144"/>
      <w:r>
        <w:rPr/>
        <w:t xml:space="preserve"> Снижение стоимости заявки на величину, превышающую «шаг аукциона», не допускается.</w:t>
      </w:r>
    </w:p>
    <w:p>
      <w:pPr>
        <w:pStyle w:val="Style21"/>
        <w:rPr/>
      </w:pPr>
      <w:r>
        <w:rPr/>
        <w:t>Аукцион проводится однократно, при этом в ходе аукциона Участники вправе неоднократно посредством новой ценовой ставки предлагать снижение стоимости своей заявки до момента окончания аукциона, за исключением случая, когда предыдущая ценовая ставка была сделана этим же Участником.</w:t>
      </w:r>
    </w:p>
    <w:p>
      <w:pPr>
        <w:pStyle w:val="Style21"/>
        <w:rPr/>
      </w:pPr>
      <w:r>
        <w:rPr/>
        <w:t>Участники подают ценовые ставки анонимно для других Участников под присвоенными им Оператором ЭП идентификационными номерами.</w:t>
      </w:r>
    </w:p>
    <w:p>
      <w:pPr>
        <w:pStyle w:val="Style21"/>
        <w:rPr/>
      </w:pPr>
      <w:r>
        <w:rPr/>
        <w:t>При проведении аукциона Оператором ЭП устанавливается время приема ценовых ставок Участников до окончания аукциона. Если в течение указанного времени, а также 10 (десяти) минут после поступления последней ценовой ставки ни одной более низкой ценовой ставки не поступило, процедура аукциона автоматически завершается с помощью программных и технических средств ЭП.</w:t>
      </w:r>
    </w:p>
    <w:p>
      <w:pPr>
        <w:pStyle w:val="Style21"/>
        <w:rPr/>
      </w:pPr>
      <w:r>
        <w:rPr/>
        <w:t>Каждая новая ценовая ставка Участника должна быть меньше предыдущей, а также не должна равняться нулю. Изменение стоимости заявки, предлагаемой Участником в процессе проведения аукциона, не должно повлечь за собой изменение иных условий заявки, в том числе отклонения (в сторону ухудшения) от требований, условий Заказчика, описанных в Документации о закупке, коммерческих интересов Заказчика.</w:t>
      </w:r>
    </w:p>
    <w:p>
      <w:pPr>
        <w:pStyle w:val="Style21"/>
        <w:rPr/>
      </w:pPr>
      <w:r>
        <w:rPr/>
        <w:t>Если в ходе аукциона стоимость заявки снижена до нуля, ход аукциона на понижение стоимости автоматически, без изменения состава Участников, переходит на повышение стоимости заявки.</w:t>
      </w:r>
    </w:p>
    <w:p>
      <w:pPr>
        <w:pStyle w:val="Style21"/>
        <w:rPr/>
      </w:pPr>
      <w:bookmarkStart w:id="145" w:name="_Ref149645598"/>
      <w:r>
        <w:rPr/>
        <w:t xml:space="preserve">Участники, принявшие участие в процедуре аукциона, обязаны в течение 1 (одного) рабочего дня после завершения аукциона разместить на ЭП полный комплект документов, входящих в ценовое предложение согласно перечню, определенному </w:t>
      </w:r>
      <w:hyperlink w:anchor="Прил06_СоставЗаявки">
        <w:r>
          <w:rPr>
            <w:rStyle w:val="Style11"/>
          </w:rPr>
          <w:t>Приложением № 6 – Состав заявки</w:t>
        </w:r>
      </w:hyperlink>
      <w:r>
        <w:rPr/>
        <w:t>, в соответствии с заявленной им в ходе проведения аукциона ценовой ставкой.</w:t>
      </w:r>
      <w:bookmarkEnd w:id="145"/>
    </w:p>
    <w:p>
      <w:pPr>
        <w:pStyle w:val="Style21"/>
        <w:rPr/>
      </w:pPr>
      <w:r>
        <w:rPr/>
        <w:t>Участники, которые не приняли участие в процедуре аукциона (не подали ни одного предложения по снижению стоимости заявки – ценовой ставки), считаются не подавшими ценовые предложения, и заявки таких Участников отклоняются на этапе рассмотрения вторых частей заявок (подраздел </w:t>
      </w:r>
      <w:r>
        <w:rPr/>
        <w:fldChar w:fldCharType="begin"/>
      </w:r>
      <w:r>
        <w:rPr/>
        <w:instrText xml:space="preserve"> REF _Ref132797154 \r \h </w:instrText>
      </w:r>
      <w:r>
        <w:rPr/>
        <w:fldChar w:fldCharType="separate"/>
      </w:r>
      <w:r>
        <w:rPr/>
        <w:t>4.12</w:t>
      </w:r>
      <w:r>
        <w:rPr/>
        <w:fldChar w:fldCharType="end"/>
      </w:r>
      <w:r>
        <w:rPr/>
        <w:t>).</w:t>
      </w:r>
    </w:p>
    <w:p>
      <w:pPr>
        <w:pStyle w:val="Style20"/>
        <w:rPr/>
      </w:pPr>
      <w:bookmarkStart w:id="146" w:name="_Toc188946933"/>
      <w:bookmarkStart w:id="147" w:name="_Ref132801184"/>
      <w:r>
        <w:rPr/>
        <w:t>Открытие доступа ко вторым частям заявок</w:t>
      </w:r>
      <w:bookmarkEnd w:id="146"/>
      <w:bookmarkEnd w:id="147"/>
    </w:p>
    <w:p>
      <w:pPr>
        <w:pStyle w:val="Style21"/>
        <w:rPr/>
      </w:pPr>
      <w:bookmarkStart w:id="148" w:name="_Hlk149645475"/>
      <w:r>
        <w:rPr/>
        <w:t>Оператор ЭП в срок, установленный в подразделе </w:t>
      </w:r>
      <w:r>
        <w:rPr/>
        <w:fldChar w:fldCharType="begin"/>
      </w:r>
      <w:r>
        <w:rPr/>
        <w:instrText xml:space="preserve"> REF _Ref125359973 \r \h </w:instrText>
      </w:r>
      <w:r>
        <w:rPr/>
        <w:fldChar w:fldCharType="separate"/>
      </w:r>
      <w:r>
        <w:rPr/>
        <w:t>1.2</w:t>
      </w:r>
      <w:r>
        <w:rPr/>
        <w:fldChar w:fldCharType="end"/>
      </w:r>
      <w:r>
        <w:rPr/>
        <w:t>, направляет в адрес Организатора вторые части заявок Участников, которые приняли участие в процедуре аукциона.</w:t>
      </w:r>
      <w:bookmarkEnd w:id="148"/>
    </w:p>
    <w:p>
      <w:pPr>
        <w:pStyle w:val="Style21"/>
        <w:rPr/>
      </w:pPr>
      <w:r>
        <w:rPr/>
        <w:t>Срок направления Оператором ЭП вторых частей заявок в адрес Организатора не может быть ранее даты и времени официального размещения протокола рассмотрения первых частей заявок, а также даты и времени окончания процедуры аукциона – подачи Участниками ценовых предложений.</w:t>
      </w:r>
    </w:p>
    <w:p>
      <w:pPr>
        <w:pStyle w:val="Style21"/>
        <w:rPr/>
      </w:pPr>
      <w:r>
        <w:rPr/>
        <w:t>Подробные правила открытия Организатору доступа ко вторым частям заявок определяются Регламентом ЭП, с использованием которой проводится закупка. Оператор ЭП обеспечивает конфиденциальность сведений содержащихся во вторых частях заявок Участников такой закупки.</w:t>
      </w:r>
    </w:p>
    <w:p>
      <w:pPr>
        <w:pStyle w:val="Style20"/>
        <w:rPr/>
      </w:pPr>
      <w:bookmarkStart w:id="149" w:name="_Toc188946934"/>
      <w:bookmarkStart w:id="150" w:name="_Ref132797154"/>
      <w:r>
        <w:rPr/>
        <w:t>Рассмотрение вторых частей заявок (отборочная стадия), в том числе (при необходимости) проведение аккредитации</w:t>
      </w:r>
      <w:bookmarkEnd w:id="149"/>
      <w:bookmarkEnd w:id="150"/>
    </w:p>
    <w:p>
      <w:pPr>
        <w:pStyle w:val="Style21"/>
        <w:rPr/>
      </w:pPr>
      <w:r>
        <w:rPr/>
        <w:t>Дата окончания срока рассмотрения вторых частей заявок установлена в подразделе </w:t>
      </w:r>
      <w:r>
        <w:rPr/>
        <w:fldChar w:fldCharType="begin"/>
      </w:r>
      <w:r>
        <w:rPr/>
        <w:instrText xml:space="preserve"> REF _Ref125359973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1"/>
        <w:rPr/>
      </w:pPr>
      <w:r>
        <w:rPr/>
        <w:t xml:space="preserve">В рамках рассмотрения вторых частей заявок (отборочной стадии) осуществляется проверка каждой заявки, не отклоненной по результатам рассмотрения первых частей заявок, на предмет соответствия </w:t>
      </w:r>
      <w:hyperlink w:anchor="Прил07_ОтборочныеКритерии">
        <w:r>
          <w:rPr>
            <w:rStyle w:val="Style11"/>
          </w:rPr>
          <w:t>Отборочным критериям рассмотрения заявок (Приложение № 7)</w:t>
        </w:r>
      </w:hyperlink>
      <w:r>
        <w:rPr/>
        <w:t>, в том числе проводится процедура аккредитации Участников (при необходимости).</w:t>
      </w:r>
    </w:p>
    <w:p>
      <w:pPr>
        <w:pStyle w:val="Style21"/>
        <w:rPr/>
      </w:pPr>
      <w:r>
        <w:rPr/>
        <w:t>Рассмотрение вторых частей заявок проводится на основании представленных в составе заявки документов и сведений.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pPr>
        <w:pStyle w:val="Style21"/>
        <w:keepNext w:val="true"/>
        <w:rPr/>
      </w:pPr>
      <w:bookmarkStart w:id="151" w:name="_Ref132793926"/>
      <w:r>
        <w:rPr/>
        <w:t>По результатам рассмотрения вторых частей заявок (проведения отборочной стадии) Закупочная комиссия отклоняет заявки по следующим основаниям:</w:t>
      </w:r>
      <w:bookmarkEnd w:id="151"/>
    </w:p>
    <w:p>
      <w:pPr>
        <w:pStyle w:val="Style22"/>
        <w:rPr/>
      </w:pPr>
      <w:r>
        <w:rPr/>
        <w:t>несоответствие второй части заявки по составу, содержанию и соблюдению требований Документации о закупке к подготовке (оформлению) заявки, в том числе наличие:</w:t>
      </w:r>
    </w:p>
    <w:p>
      <w:pPr>
        <w:pStyle w:val="Style23"/>
        <w:rPr/>
      </w:pPr>
      <w:r>
        <w:rPr/>
        <w:t>недостоверных сведений или намеренно искаженной информации или документов;</w:t>
      </w:r>
    </w:p>
    <w:p>
      <w:pPr>
        <w:pStyle w:val="Style23"/>
        <w:rPr/>
      </w:pPr>
      <w:r>
        <w:rPr/>
        <w:t>внутренних противоречий между различными частями и (или) документами второй части заявки и (или) ценового предложения, в том числе по тексту внутри одного документа;</w:t>
      </w:r>
    </w:p>
    <w:p>
      <w:pPr>
        <w:pStyle w:val="Style23"/>
        <w:rPr/>
      </w:pPr>
      <w:r>
        <w:rPr/>
        <w:t>противоречий между документами заявки и сведениями, указанными Участником в структурированных формах на ЭП;</w:t>
      </w:r>
    </w:p>
    <w:p>
      <w:pPr>
        <w:pStyle w:val="Style22"/>
        <w:rPr/>
      </w:pPr>
      <w:r>
        <w:rPr/>
        <w:t>несоответствие предлагаемой продукции требованиям Документации о закупке, с учетом представленных во второй части заявки соответствующих подтверждающих документов;</w:t>
      </w:r>
    </w:p>
    <w:p>
      <w:pPr>
        <w:pStyle w:val="Style22"/>
        <w:rPr/>
      </w:pPr>
      <w:r>
        <w:rPr/>
        <w:t>несоответствие Участников требованиям Документации о закупке;</w:t>
      </w:r>
    </w:p>
    <w:p>
      <w:pPr>
        <w:pStyle w:val="Style22"/>
        <w:rPr/>
      </w:pPr>
      <w:r>
        <w:rPr/>
        <w:t>несоответствие привлекаемых субподрядчиков (соисполнителей) требованиям Документации о закупке;</w:t>
      </w:r>
    </w:p>
    <w:p>
      <w:pPr>
        <w:pStyle w:val="Style22"/>
        <w:rPr/>
      </w:pPr>
      <w:r>
        <w:rPr/>
        <w:t>отсутствие поданного Участником ценового предложения в связи с тем, что он не принял участие в процедуре аукциона (не подал ни одного предложения по снижению стоимости заявки – ценовой ставки).</w:t>
      </w:r>
    </w:p>
    <w:p>
      <w:pPr>
        <w:pStyle w:val="Style21"/>
        <w:keepNext w:val="true"/>
        <w:rPr/>
      </w:pPr>
      <w:r>
        <w:rPr/>
        <w:t>Решение Закупочной комиссии по рассмотрению вторых частей заявок оформляется протоколом, в котором, как минимум, указываются</w:t>
      </w:r>
      <w:r>
        <w:rPr>
          <w:rStyle w:val="FootnoteReference"/>
        </w:rPr>
        <w:footnoteReference w:id="6"/>
      </w:r>
      <w:r>
        <w:rPr/>
        <w:t>:</w:t>
      </w:r>
    </w:p>
    <w:p>
      <w:pPr>
        <w:pStyle w:val="Style22"/>
        <w:rPr/>
      </w:pPr>
      <w:r>
        <w:rPr/>
        <w:t>дата подписания протокола;</w:t>
      </w:r>
    </w:p>
    <w:p>
      <w:pPr>
        <w:pStyle w:val="Style22"/>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2"/>
        <w:rPr/>
      </w:pPr>
      <w:r>
        <w:rPr/>
        <w:t>наименования Участников, заявки которых не были отклонены по результатам рассмотрения первых частей заявок, и (или) их идентификационные номера, присваиваемые Оператором ЭП, с указанием стоимости такой заявки (цены Договора), полученной по результатам процедуры аукциона;</w:t>
      </w:r>
    </w:p>
    <w:p>
      <w:pPr>
        <w:pStyle w:val="Style22"/>
        <w:keepNext w:val="true"/>
        <w:rPr/>
      </w:pPr>
      <w:r>
        <w:rPr/>
        <w:t>результаты рассмотрения вторых частей заявок с указанием, в том числе:</w:t>
      </w:r>
    </w:p>
    <w:p>
      <w:pPr>
        <w:pStyle w:val="Style23"/>
        <w:rPr/>
      </w:pPr>
      <w:r>
        <w:rPr/>
        <w:t>количества заявок, которые были отклонены по результатам рассмотрения вторых частей заявок;</w:t>
      </w:r>
    </w:p>
    <w:p>
      <w:pPr>
        <w:pStyle w:val="Style23"/>
        <w:rPr/>
      </w:pPr>
      <w:r>
        <w:rPr/>
        <w:t>оснований отклонения каждой заявки с указанием положений Документации о закупке, которым не соответствует вторая часть такой заявка;</w:t>
      </w:r>
    </w:p>
    <w:p>
      <w:pPr>
        <w:pStyle w:val="Style22"/>
        <w:rPr/>
      </w:pPr>
      <w:r>
        <w:rPr/>
        <w:t>причины, по которым закупка признана несостоявшейся в соответствии с подразделом </w:t>
      </w:r>
      <w:r>
        <w:rPr/>
        <w:fldChar w:fldCharType="begin"/>
      </w:r>
      <w:r>
        <w:rPr/>
        <w:instrText xml:space="preserve"> REF _Ref125364149 \w \h </w:instrText>
      </w:r>
      <w:r>
        <w:rPr/>
        <w:fldChar w:fldCharType="separate"/>
      </w:r>
      <w:r>
        <w:rPr/>
        <w:t>4.18</w:t>
      </w:r>
      <w:r>
        <w:rPr/>
        <w:fldChar w:fldCharType="end"/>
      </w:r>
      <w:r>
        <w:rPr/>
        <w:t xml:space="preserve"> (в случае ее признания таковой).</w:t>
      </w:r>
    </w:p>
    <w:p>
      <w:pPr>
        <w:pStyle w:val="Style21"/>
        <w:rPr/>
      </w:pPr>
      <w:r>
        <w:rPr/>
        <w:t>Протокол рассмотрения вторых частей заявок направляется Организатором Оператору ЭП не позднее 3 (трех) календарных дней с даты подписания такого протокола, после чего он официально размещается (подраздел </w:t>
      </w:r>
      <w:r>
        <w:rPr/>
        <w:fldChar w:fldCharType="begin"/>
      </w:r>
      <w:r>
        <w:rPr/>
        <w:instrText xml:space="preserve"> REF _Ref130286532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0"/>
        <w:rPr/>
      </w:pPr>
      <w:bookmarkStart w:id="152" w:name="_Toc188946935"/>
      <w:bookmarkStart w:id="153" w:name="_Ref149656136"/>
      <w:r>
        <w:rPr/>
        <w:t>Открытие доступа к ценовым предложениям</w:t>
      </w:r>
      <w:bookmarkEnd w:id="152"/>
      <w:bookmarkEnd w:id="153"/>
    </w:p>
    <w:p>
      <w:pPr>
        <w:pStyle w:val="Style21"/>
        <w:rPr/>
      </w:pPr>
      <w:r>
        <w:rPr/>
        <w:t>Оператор ЭП, после официального размещения протокола рассмотрения вторых частей заявок, направляет в адрес Организатора ценовые предложения, поданные Участниками в соответствии с пунктом </w:t>
      </w:r>
      <w:r>
        <w:rPr/>
        <w:fldChar w:fldCharType="begin"/>
      </w:r>
      <w:r>
        <w:rPr/>
        <w:instrText xml:space="preserve"> REF _Ref149645598 \r \h </w:instrText>
      </w:r>
      <w:r>
        <w:rPr/>
        <w:fldChar w:fldCharType="separate"/>
      </w:r>
      <w:r>
        <w:rPr/>
        <w:t>4.10.11</w:t>
      </w:r>
      <w:r>
        <w:rPr/>
        <w:fldChar w:fldCharType="end"/>
      </w:r>
      <w:r>
        <w:rPr/>
        <w:t>, с указанием информации о наименовании всех Участников, подавших ценовые предложения в рамках участия в процедуре аукциона.</w:t>
      </w:r>
    </w:p>
    <w:p>
      <w:pPr>
        <w:pStyle w:val="Style21"/>
        <w:rPr/>
      </w:pPr>
      <w:r>
        <w:rPr/>
        <w:t>Подробные правила открытия Организатору доступа ко ценовым предложениям определяются Регламентом ЭП, с использованием которой проводится закупка.</w:t>
      </w:r>
    </w:p>
    <w:p>
      <w:pPr>
        <w:pStyle w:val="Style20"/>
        <w:rPr/>
      </w:pPr>
      <w:bookmarkStart w:id="154" w:name="_Toc188946936"/>
      <w:bookmarkStart w:id="155" w:name="_Ref149656148"/>
      <w:r>
        <w:rPr/>
        <w:t>Рассмотрение ценовых предложений (отборочная стадия)</w:t>
      </w:r>
      <w:bookmarkEnd w:id="154"/>
      <w:bookmarkEnd w:id="155"/>
    </w:p>
    <w:p>
      <w:pPr>
        <w:pStyle w:val="Style21"/>
        <w:rPr/>
      </w:pPr>
      <w:r>
        <w:rPr/>
        <w:t xml:space="preserve">В рамках рассмотрения ценовых предложений (отборочной стадии) осуществляется проверка заявок Участников, принявших участие в процедуре аукциона, на предмет соответствия </w:t>
      </w:r>
      <w:hyperlink w:anchor="Прил07_ОтборочныеКритерии">
        <w:r>
          <w:rPr>
            <w:rStyle w:val="Style11"/>
          </w:rPr>
          <w:t>Отборочным критериям рассмотрения заявок (Приложение № 7)</w:t>
        </w:r>
      </w:hyperlink>
      <w:r>
        <w:rPr/>
        <w:t>.</w:t>
      </w:r>
    </w:p>
    <w:p>
      <w:pPr>
        <w:pStyle w:val="Style21"/>
        <w:keepNext w:val="true"/>
        <w:rPr/>
      </w:pPr>
      <w:r>
        <w:rPr/>
        <w:t>При выявлении в рамках рассмотрения ценовых предложений наличия арифметических ошибок, в том числе:</w:t>
      </w:r>
    </w:p>
    <w:p>
      <w:pPr>
        <w:pStyle w:val="Style22"/>
        <w:rPr/>
      </w:pPr>
      <w:r>
        <w:rPr/>
        <w:t>в результате суммирования единичных расценок;</w:t>
      </w:r>
    </w:p>
    <w:p>
      <w:pPr>
        <w:pStyle w:val="Style22"/>
        <w:rPr/>
      </w:pPr>
      <w:r>
        <w:rPr/>
        <w:t>в итогах умножения единичных расценок на объем продукции;</w:t>
      </w:r>
    </w:p>
    <w:p>
      <w:pPr>
        <w:pStyle w:val="Style22"/>
        <w:rPr/>
      </w:pPr>
      <w:r>
        <w:rPr/>
        <w:t>в вычислении суммы НДС и итоговой стоимости заявки с учетом НДС;</w:t>
      </w:r>
    </w:p>
    <w:p>
      <w:pPr>
        <w:pStyle w:val="Style22"/>
        <w:rPr/>
      </w:pPr>
      <w:r>
        <w:rPr/>
        <w:t>иных внутренних противоречий в составе заявки,</w:t>
      </w:r>
    </w:p>
    <w:p>
      <w:pPr>
        <w:pStyle w:val="Style25"/>
        <w:ind w:left="1134" w:hanging="0"/>
        <w:rPr/>
      </w:pPr>
      <w:r>
        <w:rPr/>
        <w:t>Организатор исходит из преимущества общей итоговой стоимости (без учета НДС), указанной в структурированных формах на ЭП и подписанной усиленной квалифицированной электронной подписью уполномоченного лица Участника. При уклонении Участника от заключения договора на вышеуказанных условиях заявка такого Участника подлежит отклонению решением Закупочной комиссии.</w:t>
      </w:r>
    </w:p>
    <w:p>
      <w:pPr>
        <w:pStyle w:val="Style21"/>
        <w:rPr/>
      </w:pPr>
      <w:r>
        <w:rPr/>
        <w:t>По результатам рассмотрения ценовых предложений (проведения отборочной стадии) Закупочная комиссия отклоняет заявки по следующему основанию: несоответствие ценового предложения Участника по составу, содержанию и соблюдению требований Документации о закупке, в том числе наличие:</w:t>
      </w:r>
    </w:p>
    <w:p>
      <w:pPr>
        <w:pStyle w:val="Style22"/>
        <w:rPr/>
      </w:pPr>
      <w:r>
        <w:rPr/>
        <w:t>недостоверных сведений</w:t>
      </w:r>
      <w:r>
        <w:rPr>
          <w:rStyle w:val="FootnoteReference"/>
        </w:rPr>
        <w:footnoteReference w:id="7"/>
      </w:r>
      <w:r>
        <w:rPr/>
        <w:t xml:space="preserve"> или намеренно искаженной информации или документов;</w:t>
      </w:r>
    </w:p>
    <w:p>
      <w:pPr>
        <w:pStyle w:val="Style22"/>
        <w:rPr/>
      </w:pPr>
      <w:r>
        <w:rPr/>
        <w:t>внутренних противоречий между различными частями и (или) документами заявки, в том числе по тексту внутри одного документа;</w:t>
      </w:r>
    </w:p>
    <w:p>
      <w:pPr>
        <w:pStyle w:val="Style21"/>
        <w:rPr/>
      </w:pPr>
      <w:r>
        <w:rPr/>
        <w:t>Решение Закупочной комиссии по рассмотрению ценовых предложений Участников вносится в итоговый протокол по результатам закупки.</w:t>
      </w:r>
    </w:p>
    <w:p>
      <w:pPr>
        <w:pStyle w:val="Style20"/>
        <w:rPr/>
      </w:pPr>
      <w:bookmarkStart w:id="156" w:name="_Ref125362381"/>
      <w:bookmarkStart w:id="157" w:name="_Ref125362425"/>
      <w:bookmarkStart w:id="158" w:name="_Ref125362610"/>
      <w:bookmarkStart w:id="159" w:name="_Toc188946937"/>
      <w:bookmarkStart w:id="160" w:name="_Ref125362464"/>
      <w:r>
        <w:rPr/>
        <w:t>Дополнительные запросы разъяснений заявок</w:t>
      </w:r>
      <w:bookmarkEnd w:id="156"/>
      <w:bookmarkEnd w:id="157"/>
      <w:bookmarkEnd w:id="158"/>
      <w:bookmarkEnd w:id="159"/>
      <w:bookmarkEnd w:id="160"/>
    </w:p>
    <w:p>
      <w:pPr>
        <w:pStyle w:val="Style21"/>
        <w:rPr/>
      </w:pPr>
      <w:bookmarkStart w:id="161" w:name="_Ref125365611"/>
      <w:r>
        <w:rPr/>
        <w:t>В рамках процедуры рассмотрения заявок (первых частей заявок, вторых частей заявок и ценовых предложений) Организатор вправе направить в адрес Участника дополнительный запрос разъяснений и (или) дополнений его заявки, влияющих на отклонение или оценку и сопоставление его заявки, в следующих случаях:</w:t>
      </w:r>
      <w:bookmarkEnd w:id="161"/>
    </w:p>
    <w:p>
      <w:pPr>
        <w:pStyle w:val="Style22"/>
        <w:keepNext w:val="true"/>
        <w:rPr/>
      </w:pPr>
      <w:r>
        <w:rPr/>
        <w:t>в составе заявки (в какой-либо ее части) отсутствуют, представлены не в полном объеме или в нечитаемом виде документы или сведения, необходимые для определения:</w:t>
      </w:r>
    </w:p>
    <w:p>
      <w:pPr>
        <w:pStyle w:val="Style23"/>
        <w:rPr/>
      </w:pPr>
      <w:r>
        <w:rPr/>
        <w:t>соответствия Участника требованиям Документации о закупке;</w:t>
      </w:r>
    </w:p>
    <w:p>
      <w:pPr>
        <w:pStyle w:val="Style23"/>
        <w:rPr/>
      </w:pPr>
      <w:bookmarkStart w:id="162" w:name="_Hlk132793683"/>
      <w:r>
        <w:rPr/>
        <w:t>наличия соответствующих полномочий на подписание заявки от имени Участника у лица, подписавшего заявку</w:t>
      </w:r>
      <w:bookmarkEnd w:id="162"/>
      <w:r>
        <w:rPr/>
        <w:t>;</w:t>
      </w:r>
    </w:p>
    <w:p>
      <w:pPr>
        <w:pStyle w:val="Style23"/>
        <w:rPr/>
      </w:pPr>
      <w:r>
        <w:rPr/>
        <w:t>соответствия заявки требованиям Документации о закупке в части характеристик предлагаемой продукции и договорных условий, расчета цены Договора;</w:t>
      </w:r>
    </w:p>
    <w:p>
      <w:pPr>
        <w:pStyle w:val="Style22"/>
        <w:rPr/>
      </w:pPr>
      <w:bookmarkStart w:id="163" w:name="_Ref135033677"/>
      <w:r>
        <w:rPr/>
        <w:t>в составе заявки (в какой-либо ее части)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вторых частей заявок процедуры аккредитации (при необходимости);</w:t>
      </w:r>
    </w:p>
    <w:p>
      <w:pPr>
        <w:pStyle w:val="Style22"/>
        <w:rPr/>
      </w:pPr>
      <w:r>
        <w:rPr/>
        <w:t>в заявке (в какой-либо ее части) имеются разночтения или положения, допускающие неоднозначное толкование, не позволяющие определить соответствие заявки или Участника (в том числе не позволяющие провести в отношении него процедуру аккредитации (при необходимости)</w:t>
      </w:r>
      <w:r>
        <w:rPr>
          <w:rStyle w:val="FootnoteReference"/>
        </w:rPr>
        <w:footnoteReference w:id="8"/>
      </w:r>
      <w:r>
        <w:rPr/>
        <w:t>) требованиям Документации о закупке или осуществить оценку и сопоставление заявок.</w:t>
      </w:r>
      <w:bookmarkEnd w:id="163"/>
    </w:p>
    <w:p>
      <w:pPr>
        <w:pStyle w:val="Style21"/>
        <w:rPr/>
      </w:pPr>
      <w:r>
        <w:rPr/>
        <w:t>Если в рамках рассмотрения заявок (вторых частей заявок), проводится процедура аккредитации, Организатор вправе направить в адрес Участника дополнительный запрос разъяснений и (или) дополнений его заявки, влияющих на прохождение аккредитации таким Участником (в том числе в случае, указанном в подпункте </w:t>
      </w:r>
      <w:r>
        <w:rPr/>
        <w:fldChar w:fldCharType="begin"/>
      </w:r>
      <w:r>
        <w:rPr/>
        <w:instrText xml:space="preserve"> REF _Ref135033677 \r \h </w:instrText>
      </w:r>
      <w:r>
        <w:rPr/>
        <w:fldChar w:fldCharType="separate"/>
      </w:r>
      <w:r>
        <w:rPr/>
        <w:t>4.15.1б)</w:t>
      </w:r>
      <w:r>
        <w:rPr/>
        <w:fldChar w:fldCharType="end"/>
      </w:r>
      <w:r>
        <w:rPr/>
        <w:t>).</w:t>
      </w:r>
    </w:p>
    <w:p>
      <w:pPr>
        <w:pStyle w:val="Style21"/>
        <w:rPr/>
      </w:pPr>
      <w:r>
        <w:rP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pPr>
        <w:pStyle w:val="Style21"/>
        <w:rPr/>
      </w:pPr>
      <w:r>
        <w:rPr/>
        <w:t>При направлении дополнительных запросов разъяснений заявок не допускается создание преимущественных условий Участнику или нескольким Участникам закупки.</w:t>
      </w:r>
    </w:p>
    <w:p>
      <w:pPr>
        <w:pStyle w:val="Style21"/>
        <w:rPr/>
      </w:pPr>
      <w:r>
        <w:rPr/>
        <w:t>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направляются Участнику если в соответствии с пунктами </w:t>
      </w:r>
      <w:r>
        <w:rPr/>
        <w:fldChar w:fldCharType="begin"/>
      </w:r>
      <w:r>
        <w:rPr/>
        <w:instrText xml:space="preserve"> REF _Ref125551456 \r \h </w:instrText>
      </w:r>
      <w:r>
        <w:rPr/>
        <w:fldChar w:fldCharType="separate"/>
      </w:r>
      <w:r>
        <w:rPr/>
        <w:t>4.9.4</w:t>
      </w:r>
      <w:r>
        <w:rPr/>
        <w:fldChar w:fldCharType="end"/>
      </w:r>
      <w:r>
        <w:rPr/>
        <w:t xml:space="preserve">, </w:t>
      </w:r>
      <w:r>
        <w:rPr/>
        <w:fldChar w:fldCharType="begin"/>
      </w:r>
      <w:r>
        <w:rPr/>
        <w:instrText xml:space="preserve"> REF _Ref132793926 \r \h </w:instrText>
      </w:r>
      <w:r>
        <w:rPr/>
        <w:fldChar w:fldCharType="separate"/>
      </w:r>
      <w:r>
        <w:rPr/>
        <w:t>4.12.4</w:t>
      </w:r>
      <w:r>
        <w:rPr/>
        <w:fldChar w:fldCharType="end"/>
      </w:r>
      <w:r>
        <w:rPr/>
        <w:t xml:space="preserve"> имеются прямые основания для отклонения заявки такого Участника, не относящиеся к случаям, перечисленным в пункте </w:t>
      </w:r>
      <w:r>
        <w:rPr/>
        <w:fldChar w:fldCharType="begin"/>
      </w:r>
      <w:r>
        <w:rPr/>
        <w:instrText xml:space="preserve"> REF _Ref125365611 \w \h </w:instrText>
      </w:r>
      <w:r>
        <w:rPr/>
        <w:fldChar w:fldCharType="separate"/>
      </w:r>
      <w:r>
        <w:rPr/>
        <w:t>4.15.1</w:t>
      </w:r>
      <w:r>
        <w:rPr/>
        <w:fldChar w:fldCharType="end"/>
      </w:r>
      <w:r>
        <w:rPr/>
        <w:t>.</w:t>
      </w:r>
    </w:p>
    <w:p>
      <w:pPr>
        <w:pStyle w:val="Style21"/>
        <w:rPr/>
      </w:pPr>
      <w:r>
        <w:rPr/>
        <w:t>Срок предоставления Участниками разъяснений своих заявок устанавливается одинаковый для всех и составляет не менее 2 (двух) рабочих дней с момента направления запроса в адрес Участника.</w:t>
      </w:r>
    </w:p>
    <w:p>
      <w:pPr>
        <w:pStyle w:val="Style21"/>
        <w:rPr/>
      </w:pPr>
      <w:r>
        <w:rPr/>
        <w:t>Направление Организатором дополнительных запросов и ответов Участников на данные запросы осуществляется с помощью программных и технических средств ЭП в порядке, предусмотренном Регламентом ЭП (ответы Участников, поступившие не через ЭП, к рассмотрению не принимаются).</w:t>
      </w:r>
    </w:p>
    <w:p>
      <w:pPr>
        <w:pStyle w:val="Style21"/>
        <w:rPr/>
      </w:pPr>
      <w:r>
        <w:rPr/>
        <w:t>Непредставление или представление не в полном объеме запрашиваемых документов и (или) разъяснений в установленный в запросе срок служит основанием для отклонения заявки такого Участника по условиям пунктов </w:t>
      </w:r>
      <w:r>
        <w:rPr/>
        <w:fldChar w:fldCharType="begin"/>
      </w:r>
      <w:r>
        <w:rPr/>
        <w:instrText xml:space="preserve"> REF _Ref125551456 \r \h </w:instrText>
      </w:r>
      <w:r>
        <w:rPr/>
        <w:fldChar w:fldCharType="separate"/>
      </w:r>
      <w:r>
        <w:rPr/>
        <w:t>4.9.4</w:t>
      </w:r>
      <w:r>
        <w:rPr/>
        <w:fldChar w:fldCharType="end"/>
      </w:r>
      <w:r>
        <w:rPr/>
        <w:t xml:space="preserve">, </w:t>
      </w:r>
      <w:r>
        <w:rPr/>
        <w:fldChar w:fldCharType="begin"/>
      </w:r>
      <w:r>
        <w:rPr/>
        <w:instrText xml:space="preserve"> REF _Ref132793926 \r \h </w:instrText>
      </w:r>
      <w:r>
        <w:rPr/>
        <w:fldChar w:fldCharType="separate"/>
      </w:r>
      <w:r>
        <w:rPr/>
        <w:t>4.12.4</w:t>
      </w:r>
      <w:r>
        <w:rPr/>
        <w:fldChar w:fldCharType="end"/>
      </w:r>
      <w:r>
        <w:rPr/>
        <w:t>.</w:t>
      </w:r>
    </w:p>
    <w:p>
      <w:pPr>
        <w:pStyle w:val="Style20"/>
        <w:rPr/>
      </w:pPr>
      <w:bookmarkStart w:id="164" w:name="_Ref125365519"/>
      <w:bookmarkStart w:id="165" w:name="_Ref125362626"/>
      <w:bookmarkStart w:id="166" w:name="_Ref125365335"/>
      <w:bookmarkStart w:id="167" w:name="_Ref125366534"/>
      <w:bookmarkStart w:id="168" w:name="_Ref125369041"/>
      <w:bookmarkStart w:id="169" w:name="_Ref125369308"/>
      <w:bookmarkStart w:id="170" w:name="_Toc188946938"/>
      <w:r>
        <w:rPr/>
        <w:t>Оценка и сопоставление заявок</w:t>
      </w:r>
      <w:bookmarkEnd w:id="164"/>
      <w:bookmarkEnd w:id="165"/>
      <w:bookmarkEnd w:id="166"/>
      <w:bookmarkEnd w:id="167"/>
      <w:bookmarkEnd w:id="168"/>
      <w:bookmarkEnd w:id="169"/>
      <w:bookmarkEnd w:id="170"/>
    </w:p>
    <w:p>
      <w:pPr>
        <w:pStyle w:val="Style21"/>
        <w:rPr/>
      </w:pPr>
      <w:r>
        <w:rPr/>
        <w:t xml:space="preserve">Оценка, признанных Закупочной комиссией соответствующими по результатам рассмотрения заявок (первых частей заявок, вторых частей заявок и ценовых предложений) осуществляется в соответствии с </w:t>
      </w:r>
      <w:hyperlink w:anchor="Прил08_ПорядокОценки">
        <w:r>
          <w:rPr>
            <w:rStyle w:val="Style11"/>
          </w:rPr>
          <w:t>Порядком и критериями оценки и сопоставления заявок (Приложение № 8)</w:t>
        </w:r>
      </w:hyperlink>
      <w:r>
        <w:rPr/>
        <w:t>, то есть:</w:t>
      </w:r>
    </w:p>
    <w:p>
      <w:pPr>
        <w:pStyle w:val="Style22"/>
        <w:rPr/>
      </w:pPr>
      <w:r>
        <w:rPr/>
        <w:t>в соответствии с единственным ценовым критерием оценки (критерием выбора Победителя) – стоимость заявки (цена Договора);</w:t>
      </w:r>
    </w:p>
    <w:p>
      <w:pPr>
        <w:pStyle w:val="Style22"/>
        <w:rPr/>
      </w:pPr>
      <w:r>
        <w:rPr/>
        <w:t>в едином базисе без учета НДС.</w:t>
      </w:r>
    </w:p>
    <w:p>
      <w:pPr>
        <w:pStyle w:val="Style21"/>
        <w:rPr/>
      </w:pPr>
      <w:r>
        <w:rPr/>
        <w:t>Оценка и сопоставление заявок, а также их ранжировка, осуществляется с учетом применения законодательства о национальном режиме, в т.ч. ПП 1875 (подраздел </w:t>
      </w:r>
      <w:r>
        <w:rPr/>
        <w:fldChar w:fldCharType="begin"/>
      </w:r>
      <w:r>
        <w:rPr/>
        <w:instrText xml:space="preserve"> REF _Ref149648944 \r \h </w:instrText>
      </w:r>
      <w:r>
        <w:rPr/>
        <w:fldChar w:fldCharType="separate"/>
      </w:r>
      <w:r>
        <w:rPr/>
        <w:t>Ошибка: источник перекрёстной ссылки не найден</w:t>
      </w:r>
      <w:r>
        <w:rPr/>
        <w:fldChar w:fldCharType="end"/>
      </w:r>
      <w:r>
        <w:rPr/>
        <w:t>).</w:t>
      </w:r>
    </w:p>
    <w:p>
      <w:pPr>
        <w:pStyle w:val="Style21"/>
        <w:rPr/>
      </w:pPr>
      <w:r>
        <w:rPr/>
        <w:t>По результатам оценки заявок Закупочная комиссия в течение 1 (одного) рабочего дня осуществляет их сопоставление – ранжирует все соответствующие по результатам рассмотрения заявки по мере повышения их стоимости (цены Договора). При этом первое место в ранжировке присваивается заявке с наименьшей стоимостью заявки</w:t>
      </w:r>
      <w:r>
        <w:rPr>
          <w:rStyle w:val="FootnoteReference"/>
        </w:rPr>
        <w:footnoteReference w:id="9"/>
      </w:r>
      <w:r>
        <w:rPr/>
        <w:t>.</w:t>
      </w:r>
    </w:p>
    <w:p>
      <w:pPr>
        <w:pStyle w:val="Style21"/>
        <w:rPr/>
      </w:pPr>
      <w:bookmarkStart w:id="171" w:name="_Ref130985951"/>
      <w:bookmarkStart w:id="172" w:name="_Ref130458671"/>
      <w:bookmarkStart w:id="173" w:name="_Ref125370507"/>
      <w:bookmarkStart w:id="174" w:name="_Ref125369991"/>
      <w:bookmarkStart w:id="175" w:name="_Ref125366064"/>
      <w:bookmarkEnd w:id="171"/>
      <w:bookmarkEnd w:id="172"/>
      <w:bookmarkEnd w:id="173"/>
      <w:bookmarkEnd w:id="174"/>
      <w:bookmarkEnd w:id="175"/>
      <w:r>
        <w:rPr/>
        <w:t>Результаты оценки и сопоставления заявок указываются в итоговом протоколе по результатам закупки.</w:t>
      </w:r>
    </w:p>
    <w:p>
      <w:pPr>
        <w:pStyle w:val="Style20"/>
        <w:rPr/>
      </w:pPr>
      <w:bookmarkStart w:id="176" w:name="_Ref125362658"/>
      <w:bookmarkStart w:id="177" w:name="_Ref125367242"/>
      <w:bookmarkStart w:id="178" w:name="_Toc188946939"/>
      <w:bookmarkStart w:id="179" w:name="_Ref125366091"/>
      <w:bookmarkStart w:id="180" w:name="_Ref132816300"/>
      <w:bookmarkEnd w:id="180"/>
      <w:r>
        <w:rPr/>
        <w:t>Подведение итогов закупки (определение Победителя)</w:t>
      </w:r>
      <w:bookmarkEnd w:id="176"/>
      <w:bookmarkEnd w:id="177"/>
      <w:bookmarkEnd w:id="178"/>
      <w:bookmarkEnd w:id="179"/>
    </w:p>
    <w:p>
      <w:pPr>
        <w:pStyle w:val="Style21"/>
        <w:rPr/>
      </w:pPr>
      <w:r>
        <w:rPr/>
        <w:t>Дата окончания срока подведения итогов закупки указана в подразделе </w:t>
      </w:r>
      <w:r>
        <w:rPr/>
        <w:fldChar w:fldCharType="begin"/>
      </w:r>
      <w:r>
        <w:rPr/>
        <w:instrText xml:space="preserve"> REF _Ref125359973 \r \h </w:instrText>
      </w:r>
      <w:r>
        <w:rPr/>
        <w:fldChar w:fldCharType="separate"/>
      </w:r>
      <w:r>
        <w:rPr/>
        <w:t>1.2</w:t>
      </w:r>
      <w:r>
        <w:rPr/>
        <w:fldChar w:fldCharType="end"/>
      </w:r>
      <w:r>
        <w:rPr/>
        <w:t>. Организатор по согласованию с Заказчиком вправе, при необходимости, изменить данный срок, официально разместив информацию об этом.</w:t>
      </w:r>
    </w:p>
    <w:p>
      <w:pPr>
        <w:pStyle w:val="Style21"/>
        <w:rPr/>
      </w:pPr>
      <w:r>
        <w:rPr/>
        <w:t>На основании полученных результатов оценки и сопоставления заявок Организатор подводит итоги закупки. Победителем закупки признается Участник, заявка которого заняла 1 (первое) место в ранжировке заявок по итогам рассмотрения, оценки и сопоставления заявок.</w:t>
      </w:r>
    </w:p>
    <w:p>
      <w:pPr>
        <w:pStyle w:val="Style21"/>
        <w:rPr/>
      </w:pPr>
      <w:r>
        <w:rPr/>
        <w:t>Если к моменту подведения итогов закупки с выбором в качестве Победителя ранее аккредитованного Участника прошло более 6 (шести) календарных месяцев с даты присвоения ему статуса «аккредитован» / «аккредитация не требуется», перед окончательным определением Победителя проводится процедура актуализации статуса аккредитации данного Участника. Если по результатам такой проверки Участнику присвоен статус «не аккредитован», его заявка отклоняется, а Закупочная комиссия имеет право выбрать в качестве Победителя иного Участника, занявшего следующее после него место в ранжировке заявок, из числа остальных действующих заявок (при наличии у него актуального статуса аккредитации).</w:t>
      </w:r>
    </w:p>
    <w:p>
      <w:pPr>
        <w:pStyle w:val="Style21"/>
        <w:keepNext w:val="true"/>
        <w:rPr/>
      </w:pPr>
      <w:bookmarkStart w:id="181" w:name="_Ref125365974"/>
      <w:r>
        <w:rPr/>
        <w:t>Решение Закупочной комиссии по определению Победителя оформляется итоговым протоколом по результатам закупки, в котором, как минимум, указываются</w:t>
      </w:r>
      <w:r>
        <w:rPr>
          <w:rStyle w:val="FootnoteReference"/>
        </w:rPr>
        <w:footnoteReference w:id="10"/>
      </w:r>
      <w:r>
        <w:rPr/>
        <w:t>:</w:t>
      </w:r>
      <w:bookmarkEnd w:id="181"/>
    </w:p>
    <w:p>
      <w:pPr>
        <w:pStyle w:val="Style22"/>
        <w:rPr/>
      </w:pPr>
      <w:r>
        <w:rPr/>
        <w:t>дата подписания протокола;</w:t>
      </w:r>
    </w:p>
    <w:p>
      <w:pPr>
        <w:pStyle w:val="Style22"/>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2"/>
        <w:rPr/>
      </w:pPr>
      <w:r>
        <w:rPr/>
        <w:t>наименования Участников, заявки которых были допущены по результатам рассмотрения вторых частей заявок, и (или) их идентификационные номера, присваиваемые Оператором ЭП;</w:t>
      </w:r>
    </w:p>
    <w:p>
      <w:pPr>
        <w:pStyle w:val="Style22"/>
        <w:keepNext w:val="true"/>
        <w:rPr/>
      </w:pPr>
      <w:r>
        <w:rPr/>
        <w:t>результаты рассмотрения ценовых предложений Участников с указанием, в том числе:</w:t>
      </w:r>
    </w:p>
    <w:p>
      <w:pPr>
        <w:pStyle w:val="Style23"/>
        <w:rPr/>
      </w:pPr>
      <w:r>
        <w:rPr/>
        <w:t>количества заявок, которые были отклонены (отдельно по результатам рассмотрения первых частей заявок, по результатам рассмотрения вторых частей заявок и результатам рассмотрения ценовых предложений);</w:t>
      </w:r>
    </w:p>
    <w:p>
      <w:pPr>
        <w:pStyle w:val="Style23"/>
        <w:rPr/>
      </w:pPr>
      <w:r>
        <w:rPr/>
        <w:t>оснований отклонения каждой заявки с указанием положений Документации о закупке, которым не соответствует такая заявка;</w:t>
      </w:r>
    </w:p>
    <w:p>
      <w:pPr>
        <w:pStyle w:val="Style22"/>
        <w:rPr/>
      </w:pPr>
      <w:r>
        <w:rPr/>
        <w:t>результаты дополнительного рассмотрения заявок (при возникновении оснований для отклонения заявок по результатам проведения актуализации статуса аккредитации, если такая процедура проводились) с указанием, в том числе:</w:t>
      </w:r>
    </w:p>
    <w:p>
      <w:pPr>
        <w:pStyle w:val="Style23"/>
        <w:rPr/>
      </w:pPr>
      <w:r>
        <w:rPr/>
        <w:t>количества заявок, которые были отклонены;</w:t>
      </w:r>
    </w:p>
    <w:p>
      <w:pPr>
        <w:pStyle w:val="Style23"/>
        <w:rPr/>
      </w:pPr>
      <w:r>
        <w:rPr/>
        <w:t>оснований отклонения каждой заявки с указанием положений Документации о закупке, которым не соответствует такая заявка;</w:t>
      </w:r>
    </w:p>
    <w:p>
      <w:pPr>
        <w:pStyle w:val="Style22"/>
        <w:rPr/>
      </w:pPr>
      <w:r>
        <w:rPr/>
        <w:t>порядковые номера каждой заявки (с указанием стоимостей заявок (цен Договоров), не отклоненной по результатам рассмотрения ценовых предложений, в том числе с учетом результатов актуализации статуса аккредитации (если указанная процедура проводилась), в ранжировке заявок;</w:t>
      </w:r>
    </w:p>
    <w:p>
      <w:pPr>
        <w:pStyle w:val="Style22"/>
        <w:rPr/>
      </w:pPr>
      <w:r>
        <w:rPr/>
        <w:t>наименование Победителя закупки или Единственного участника несостоявшейся закупки, с которым планируется заключить Договор;</w:t>
      </w:r>
    </w:p>
    <w:p>
      <w:pPr>
        <w:pStyle w:val="Style22"/>
        <w:rPr/>
      </w:pPr>
      <w:r>
        <w:rPr/>
        <w:t>причины, по которым закупка признана несостоявшейся (в случае ее признания таковой),</w:t>
      </w:r>
    </w:p>
    <w:p>
      <w:pPr>
        <w:pStyle w:val="Style25"/>
        <w:ind w:left="1134" w:hanging="0"/>
        <w:rPr/>
      </w:pPr>
      <w:r>
        <w:rPr/>
        <w:t>после чего Организатор официально размещает его в течение 3 (трех) календарных дней с даты подписания такого протокола.</w:t>
      </w:r>
    </w:p>
    <w:p>
      <w:pPr>
        <w:pStyle w:val="Style21"/>
        <w:rPr/>
      </w:pPr>
      <w:r>
        <w:rPr/>
        <w:t>Победитель дополнительно уведомляется о результатах проводимой закупки с использованием ЭП – уведомление направляется Оператором ЭП согласно Регламенту ЭП.</w:t>
      </w:r>
    </w:p>
    <w:p>
      <w:pPr>
        <w:pStyle w:val="Style21"/>
        <w:rPr/>
      </w:pPr>
      <w:r>
        <w:rPr/>
        <w:t>Если между официальным размещением итогового протокола по результатам закупки и подписанием Договора изменится Победитель (например, вследствие уклонения Победителя или потери им статуса), информация о новом Победителе официально размещается Организатором в том же порядке.</w:t>
      </w:r>
    </w:p>
    <w:p>
      <w:pPr>
        <w:pStyle w:val="Style21"/>
        <w:rPr/>
      </w:pPr>
      <w:r>
        <w:rPr/>
        <w:t>Любой Участник после официального размещения итогового протокола по результатам закупки вправе направить Организатору запрос о разъяснении результатов рассмотрения и (или) оценки и сопоставления своей заявки в порядке, аналогичном порядку направления запросов на разъяснение Документации о закупке (подраздел </w:t>
      </w:r>
      <w:r>
        <w:rPr/>
        <w:fldChar w:fldCharType="begin"/>
      </w:r>
      <w:r>
        <w:rPr/>
        <w:instrText xml:space="preserve"> REF _Ref130394205 \r \h </w:instrText>
      </w:r>
      <w:r>
        <w:rPr/>
        <w:fldChar w:fldCharType="separate"/>
      </w:r>
      <w:r>
        <w:rPr/>
        <w:t>4.4</w:t>
      </w:r>
      <w:r>
        <w:rPr/>
        <w:fldChar w:fldCharType="end"/>
      </w:r>
      <w:r>
        <w:rPr/>
        <w:t>). Организатор в течение 10 (десяти) рабочих дней со дня поступления такого запроса обязан предоставить такому Участнику соответствующие разъяснения. При этом в отношении иных Участников разъяснения не предоставляются.</w:t>
      </w:r>
    </w:p>
    <w:p>
      <w:pPr>
        <w:pStyle w:val="Style20"/>
        <w:rPr/>
      </w:pPr>
      <w:bookmarkStart w:id="182" w:name="_Ref125364149"/>
      <w:bookmarkStart w:id="183" w:name="_Ref125364187"/>
      <w:bookmarkStart w:id="184" w:name="_Ref125365305"/>
      <w:bookmarkStart w:id="185" w:name="_Ref125365570"/>
      <w:bookmarkStart w:id="186" w:name="_Ref125366631"/>
      <w:bookmarkStart w:id="187" w:name="_Ref125366796"/>
      <w:bookmarkStart w:id="188" w:name="_Toc188946940"/>
      <w:bookmarkStart w:id="189" w:name="_Ref130458671_Копия_1"/>
      <w:bookmarkStart w:id="190" w:name="_Ref132816300_Копия_1"/>
      <w:bookmarkStart w:id="191" w:name="_Ref125366064_Копия_1"/>
      <w:bookmarkStart w:id="192" w:name="_Ref125369991_Копия_1"/>
      <w:bookmarkStart w:id="193" w:name="_Ref125370507_Копия_1"/>
      <w:bookmarkStart w:id="194" w:name="_Ref130985951_Копия_1"/>
      <w:bookmarkEnd w:id="189"/>
      <w:bookmarkEnd w:id="190"/>
      <w:bookmarkEnd w:id="191"/>
      <w:bookmarkEnd w:id="192"/>
      <w:bookmarkEnd w:id="193"/>
      <w:bookmarkEnd w:id="194"/>
      <w:r>
        <w:rPr/>
        <w:t>Признание закупки несостоявшейся</w:t>
      </w:r>
      <w:bookmarkEnd w:id="182"/>
      <w:bookmarkEnd w:id="183"/>
      <w:bookmarkEnd w:id="184"/>
      <w:bookmarkEnd w:id="185"/>
      <w:bookmarkEnd w:id="186"/>
      <w:bookmarkEnd w:id="187"/>
      <w:bookmarkEnd w:id="188"/>
    </w:p>
    <w:p>
      <w:pPr>
        <w:pStyle w:val="Style21"/>
        <w:keepNext w:val="true"/>
        <w:rPr/>
      </w:pPr>
      <w:r>
        <w:rPr/>
        <w:t>Закупка признается несостоявшейся в следующих случаях:</w:t>
      </w:r>
    </w:p>
    <w:p>
      <w:pPr>
        <w:pStyle w:val="Style22"/>
        <w:rPr/>
      </w:pPr>
      <w:r>
        <w:rPr/>
        <w:t>если по окончанию срока подачи заявок поступило менее 2 (двух) заявок (с учетом возможных отзывов заявок);</w:t>
      </w:r>
    </w:p>
    <w:p>
      <w:pPr>
        <w:pStyle w:val="Style22"/>
        <w:rPr/>
      </w:pPr>
      <w:r>
        <w:rPr/>
        <w:t>по результатам рассмотрения первых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2"/>
        <w:rPr/>
      </w:pPr>
      <w:r>
        <w:rPr/>
        <w:t>по результатам проведения процедуры аукциона не поступило ни одного ценового предложения Участника – ценовой ставки;</w:t>
      </w:r>
    </w:p>
    <w:p>
      <w:pPr>
        <w:pStyle w:val="Style22"/>
        <w:rPr/>
      </w:pPr>
      <w:r>
        <w:rPr/>
        <w:t>по результатам рассмотрения вторых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2"/>
        <w:rPr/>
      </w:pPr>
      <w:r>
        <w:rPr/>
        <w:t>по результатам рассмотрения ценовых предложений Закупочной комиссией принято решение о признании менее 2 (двух) заявок соответствующими требованиям Документации о закупки.</w:t>
      </w:r>
    </w:p>
    <w:p>
      <w:pPr>
        <w:pStyle w:val="Style21"/>
        <w:rPr/>
      </w:pPr>
      <w:r>
        <w:rPr/>
        <w:t>Указанные обстоятельства в случае их наступления фиксируются в соответствующем протоколе, оформляемом по результатам проведения закупки (или ее этапа).</w:t>
      </w:r>
    </w:p>
    <w:p>
      <w:pPr>
        <w:pStyle w:val="Style21"/>
        <w:keepNext w:val="true"/>
        <w:rPr/>
      </w:pPr>
      <w:r>
        <w:rPr/>
        <w:t>В случае признания закупки несостоявшейся Заказчик вправе (с учетом условий, предусмотренных Положением о закупке):</w:t>
      </w:r>
    </w:p>
    <w:p>
      <w:pPr>
        <w:pStyle w:val="Style22"/>
        <w:rPr/>
      </w:pPr>
      <w:r>
        <w:rPr/>
        <w:t>принять решение о проведении повторной закупки (в том числе с возможностью снятия признака закупки только среди субъектов МСП);</w:t>
      </w:r>
    </w:p>
    <w:p>
      <w:pPr>
        <w:pStyle w:val="Style22"/>
        <w:rPr/>
      </w:pPr>
      <w:r>
        <w:rPr/>
        <w:t>заключить договор с Единственным участником несостоявшейся закупки (раздел </w:t>
      </w:r>
      <w:r>
        <w:rPr/>
        <w:fldChar w:fldCharType="begin"/>
      </w:r>
      <w:r>
        <w:rPr/>
        <w:instrText xml:space="preserve"> REF _Ref126142429 \r \h </w:instrText>
      </w:r>
      <w:r>
        <w:rPr/>
        <w:fldChar w:fldCharType="separate"/>
      </w:r>
      <w:r>
        <w:rPr/>
        <w:t>5</w:t>
      </w:r>
      <w:r>
        <w:rPr/>
        <w:fldChar w:fldCharType="end"/>
      </w:r>
      <w:r>
        <w:rPr/>
        <w:t>);</w:t>
      </w:r>
    </w:p>
    <w:p>
      <w:pPr>
        <w:pStyle w:val="Style22"/>
        <w:rPr/>
      </w:pPr>
      <w:r>
        <w:rPr/>
        <w:t>отказаться от дополнительного повторного проведения данной закупки (при отсутствии заявок, соответствующих установленным требованиям, по результатам повторного проведения закупки).</w:t>
      </w:r>
    </w:p>
    <w:p>
      <w:pPr>
        <w:pStyle w:val="Style20"/>
        <w:rPr/>
      </w:pPr>
      <w:bookmarkStart w:id="195" w:name="_Toc188946941"/>
      <w:bookmarkStart w:id="196" w:name="_Ref132816141"/>
      <w:bookmarkStart w:id="197" w:name="_Ref132816134"/>
      <w:bookmarkStart w:id="198" w:name="_Ref126141962"/>
      <w:r>
        <w:rPr/>
        <w:t>Отказ от проведения закупки</w:t>
      </w:r>
      <w:bookmarkEnd w:id="198"/>
      <w:r>
        <w:rPr/>
        <w:t xml:space="preserve"> (отмена закупки)</w:t>
      </w:r>
      <w:bookmarkEnd w:id="195"/>
      <w:bookmarkEnd w:id="196"/>
      <w:bookmarkEnd w:id="197"/>
    </w:p>
    <w:p>
      <w:pPr>
        <w:pStyle w:val="Style21"/>
        <w:rPr/>
      </w:pPr>
      <w:r>
        <w:rP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pPr>
        <w:pStyle w:val="Style21"/>
        <w:rPr/>
      </w:pPr>
      <w:r>
        <w:rP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pPr>
        <w:pStyle w:val="Style21"/>
        <w:rPr/>
      </w:pPr>
      <w:r>
        <w:rPr/>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 гражданским законодательством.</w:t>
      </w:r>
    </w:p>
    <w:p>
      <w:pPr>
        <w:pStyle w:val="Style20"/>
        <w:rPr/>
      </w:pPr>
      <w:bookmarkStart w:id="199" w:name="_Toc188946942"/>
      <w:bookmarkStart w:id="200" w:name="_Ref130455226"/>
      <w:r>
        <w:rPr/>
        <w:t>Особенности проведения закупки с необходимостью обеспечения заявки</w:t>
      </w:r>
      <w:bookmarkEnd w:id="199"/>
      <w:bookmarkEnd w:id="200"/>
    </w:p>
    <w:p>
      <w:pPr>
        <w:pStyle w:val="Style21"/>
        <w:rPr/>
      </w:pPr>
      <w:r>
        <w:rPr/>
        <w:t>Нормы настоящего подраздела применяются, если подразделом </w:t>
      </w:r>
      <w:r>
        <w:rPr/>
        <w:fldChar w:fldCharType="begin"/>
      </w:r>
      <w:r>
        <w:rPr/>
        <w:instrText xml:space="preserve"> REF _Ref125359973 \r \h </w:instrText>
      </w:r>
      <w:r>
        <w:rPr/>
        <w:fldChar w:fldCharType="separate"/>
      </w:r>
      <w:r>
        <w:rPr/>
        <w:t>1.2</w:t>
      </w:r>
      <w:r>
        <w:rPr/>
        <w:fldChar w:fldCharType="end"/>
      </w:r>
      <w:r>
        <w:rPr/>
        <w:t xml:space="preserve"> предусмотрена обязанность Участников предоставить обеспечение заявки на участие в закупке.</w:t>
      </w:r>
    </w:p>
    <w:p>
      <w:pPr>
        <w:pStyle w:val="Style21"/>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1"/>
        <w:rPr/>
      </w:pPr>
      <w:r>
        <w:rPr/>
        <w:t>Обязательства Участников, связанные с подачей заявок, обеспечиваются в форме, порядке и размере в соответствии с подразделом </w:t>
      </w:r>
      <w:r>
        <w:rPr/>
        <w:fldChar w:fldCharType="begin"/>
      </w:r>
      <w:r>
        <w:rPr/>
        <w:instrText xml:space="preserve"> REF _Ref125359973 \r \h </w:instrText>
      </w:r>
      <w:r>
        <w:rPr/>
        <w:fldChar w:fldCharType="separate"/>
      </w:r>
      <w:r>
        <w:rPr/>
        <w:t>1.2</w:t>
      </w:r>
      <w:r>
        <w:rPr/>
        <w:fldChar w:fldCharType="end"/>
      </w:r>
      <w:r>
        <w:rPr/>
        <w:t>. Выбор формы (способа) обеспечения из числа предусмотренных осуществляется Участниками самостоятельно.</w:t>
      </w:r>
    </w:p>
    <w:p>
      <w:pPr>
        <w:pStyle w:val="Style21"/>
        <w:rPr/>
      </w:pPr>
      <w:r>
        <w:rPr/>
        <w:t>В случае выбора Участником обеспечения заявки в виде денежных средств, такие денежные средства в требуемом размере должны быть внесены до момента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 и размещенный на официальном сайте Министерства финансов Российской Федерации</w:t>
      </w:r>
      <w:r>
        <w:rPr>
          <w:rStyle w:val="FootnoteReference"/>
        </w:rPr>
        <w:footnoteReference w:id="11"/>
      </w:r>
      <w:r>
        <w:rPr/>
        <w:t xml:space="preserve"> и на сайте ЭП, с использованием которой проводится настоящая закупка, при условии соответствия банка требованиям к финансовой устойчивости (в том числе в части собственных средств (капитала), активов, доходности, ликвидности, структуры собственности), устанавливаемым Правительством Российской Федерации, а также наличия соответствующего соглашения об интеграции и обмене информацией с Оператором ЭП.</w:t>
      </w:r>
    </w:p>
    <w:p>
      <w:pPr>
        <w:pStyle w:val="Style21"/>
        <w:rPr/>
      </w:pPr>
      <w:r>
        <w:rPr/>
        <w:t>В течение 1 (одного) часа с момента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 Оператор ЭП направляет в банк, в котором Участником открыт специальный банковский счет, информацию о таком Участнике и размере денежных средств, необходимом для обеспечения заявки. Банк в течение 1 (одного) часа с момента получения указанной информации осуществляет блокирование при наличии на специальном банковском счете Участника незаблокированных денежных средств в размере обеспечения заявки и информирует об этом Оператора ЭП.</w:t>
      </w:r>
    </w:p>
    <w:p>
      <w:pPr>
        <w:pStyle w:val="Style21"/>
        <w:rPr/>
      </w:pPr>
      <w:r>
        <w:rPr/>
        <w:t>Блокирование денежных средств не осуществляется в случае отсутствия на специальном банковском счете Участника денежных средств в требуемом размере, либо в случае приостановления операций по такому счету в соответствии с законодательством, о чем Оператор ЭП информируется в течение 1 (одного) часа.</w:t>
      </w:r>
    </w:p>
    <w:p>
      <w:pPr>
        <w:pStyle w:val="Style21"/>
        <w:rPr/>
      </w:pPr>
      <w:r>
        <w:rPr/>
        <w:t>Если блокирование денежных средств не может быть осуществлено, Оператор ЭП возвращает заявку подавшему ее Участнику в течение 1 (одного) часа с момента получения соответствующей информации от банка. Такая заявка автоматически отклоняется Оператором ЭП от дальнейшего участия в закупке, а сведения о ней не направляются в адрес Организатора.</w:t>
      </w:r>
    </w:p>
    <w:p>
      <w:pPr>
        <w:pStyle w:val="Style21"/>
        <w:keepNext w:val="true"/>
        <w:rPr/>
      </w:pPr>
      <w:r>
        <w:rPr/>
        <w:t>В случае выбора Участником обеспечения заявки путем предоставления независимой гарантии, такая независимая гарантия составляется с учетом требований статей 368 – 379 ГК РФ, а также следующих условий:</w:t>
      </w:r>
    </w:p>
    <w:p>
      <w:pPr>
        <w:pStyle w:val="Style22"/>
        <w:rPr/>
      </w:pPr>
      <w:r>
        <w:rPr/>
        <w:t>независимая гарантия должна быть безотзывной и безусловной (гарантия по первому требованию);</w:t>
      </w:r>
    </w:p>
    <w:p>
      <w:pPr>
        <w:pStyle w:val="Style22"/>
        <w:rPr/>
      </w:pPr>
      <w:r>
        <w:rPr/>
        <w:t>сумма независимой гарантии должна быть выражена в российских рублях и составлять не менее суммы, установленной в подразделе </w:t>
      </w:r>
      <w:r>
        <w:rPr/>
        <w:fldChar w:fldCharType="begin"/>
      </w:r>
      <w:r>
        <w:rPr/>
        <w:instrText xml:space="preserve"> REF _Ref125359973 \r \h </w:instrText>
      </w:r>
      <w:r>
        <w:rPr/>
        <w:fldChar w:fldCharType="separate"/>
      </w:r>
      <w:r>
        <w:rPr/>
        <w:t>1.2</w:t>
      </w:r>
      <w:r>
        <w:rPr/>
        <w:fldChar w:fldCharType="end"/>
      </w:r>
      <w:r>
        <w:rPr/>
        <w:t>;</w:t>
      </w:r>
    </w:p>
    <w:p>
      <w:pPr>
        <w:pStyle w:val="Style22"/>
        <w:rPr/>
      </w:pPr>
      <w:r>
        <w:rPr/>
        <w:t>бенефициаром в независимой гарантии должен быть указан Заказчик, принципалом – Участник, гарантом – организация, выдавшая независимую гарантию (подпункт </w:t>
      </w:r>
      <w:r>
        <w:rPr/>
        <w:fldChar w:fldCharType="begin"/>
      </w:r>
      <w:r>
        <w:rPr/>
        <w:instrText xml:space="preserve"> REF _Ref132716380 \w \h </w:instrText>
      </w:r>
      <w:r>
        <w:rPr/>
        <w:fldChar w:fldCharType="separate"/>
      </w:r>
      <w:r>
        <w:rPr/>
        <w:t>4.20.8л)</w:t>
      </w:r>
      <w:r>
        <w:rPr/>
        <w:fldChar w:fldCharType="end"/>
      </w:r>
      <w:r>
        <w:rPr/>
        <w:t>);</w:t>
      </w:r>
    </w:p>
    <w:p>
      <w:pPr>
        <w:pStyle w:val="Style22"/>
        <w:rPr/>
      </w:pPr>
      <w:r>
        <w:rPr/>
        <w:t>в независимой гарантии должно быть предусмотрено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ГК РФ оснований для отказа в удовлетворении этого требования;</w:t>
      </w:r>
    </w:p>
    <w:p>
      <w:pPr>
        <w:pStyle w:val="Style22"/>
        <w:rPr/>
      </w:pPr>
      <w:r>
        <w:rPr/>
        <w:t>в независимой гарантии должен быть указан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w:t>
      </w:r>
    </w:p>
    <w:p>
      <w:pPr>
        <w:pStyle w:val="Style22"/>
        <w:rPr/>
      </w:pPr>
      <w:r>
        <w:rPr/>
        <w:t>в независимой гарантии должен быть указан срок действия независимой гарантии, который не может составлять менее одного месяца с даты окончания срока подачи заявок (подраздел </w:t>
      </w:r>
      <w:r>
        <w:rPr/>
        <w:fldChar w:fldCharType="begin"/>
      </w:r>
      <w:r>
        <w:rPr/>
        <w:instrText xml:space="preserve"> REF _Ref125359973 \r \h </w:instrText>
      </w:r>
      <w:r>
        <w:rPr/>
        <w:fldChar w:fldCharType="separate"/>
      </w:r>
      <w:r>
        <w:rPr/>
        <w:t>1.2</w:t>
      </w:r>
      <w:r>
        <w:rPr/>
        <w:fldChar w:fldCharType="end"/>
      </w:r>
      <w:r>
        <w:rPr/>
        <w:t>);</w:t>
      </w:r>
    </w:p>
    <w:p>
      <w:pPr>
        <w:pStyle w:val="Style22"/>
        <w:rPr/>
      </w:pPr>
      <w:r>
        <w:rPr/>
        <w:t>независимая гарантия не должна содержать условие о предоставлении Заказчиком гаранту судебных актов, подтверждающих неисполнение Участником обязательств, обеспечиваемых независимой гарантией;</w:t>
      </w:r>
    </w:p>
    <w:p>
      <w:pPr>
        <w:pStyle w:val="Style22"/>
        <w:rPr/>
      </w:pPr>
      <w:r>
        <w:rPr/>
        <w:t>в независимой гарантии должно быть предусмотрено безусловное право Заказчика на истребование суммы независимой гарантии полностью или частично, в случае нарушения Участником закупки своих обязательств (пункт </w:t>
      </w:r>
      <w:r>
        <w:rPr/>
        <w:fldChar w:fldCharType="begin"/>
      </w:r>
      <w:r>
        <w:rPr/>
        <w:instrText xml:space="preserve"> REF _Ref132716182 \r \h </w:instrText>
      </w:r>
      <w:r>
        <w:rPr/>
        <w:fldChar w:fldCharType="separate"/>
      </w:r>
      <w:r>
        <w:rPr/>
        <w:t>4.20.14</w:t>
      </w:r>
      <w:r>
        <w:rPr/>
        <w:fldChar w:fldCharType="end"/>
      </w:r>
      <w:r>
        <w:rPr/>
        <w:t>);</w:t>
      </w:r>
    </w:p>
    <w:p>
      <w:pPr>
        <w:pStyle w:val="Style22"/>
        <w:rPr/>
      </w:pPr>
      <w:r>
        <w:rPr/>
        <w:t>независимая гарантия должна содержать условия, предусмотренные Законом 223-ФЗ, а также соответствовать дополнительным требованиям к независимой гарантии, используемой для целей проведения конкурентных закупок с участием субъектов МСП, устанавливаемым Правительством Российской Федерации;</w:t>
      </w:r>
    </w:p>
    <w:p>
      <w:pPr>
        <w:pStyle w:val="Style22"/>
        <w:rPr/>
      </w:pPr>
      <w:r>
        <w:rPr/>
        <w:t>в независимой гарантии не должно быть условий или требований, противоречащих вышеизложенному или делающих вышеизложенное неисполнимым;</w:t>
      </w:r>
    </w:p>
    <w:p>
      <w:pPr>
        <w:pStyle w:val="Style22"/>
        <w:rPr/>
      </w:pPr>
      <w:bookmarkStart w:id="201" w:name="_Ref132716380"/>
      <w:r>
        <w:rPr/>
        <w:t>независимая гарантия должна быть выдана организацией из числа указанных в части 1 статьи 45 Закона 44-ФЗ;</w:t>
      </w:r>
      <w:bookmarkEnd w:id="201"/>
    </w:p>
    <w:p>
      <w:pPr>
        <w:pStyle w:val="Style22"/>
        <w:rPr/>
      </w:pPr>
      <w:r>
        <w:rPr/>
        <w:t>независимая гарантия должна быть подчинена материальному праву Российской Федерации и регулироваться «Унифицированными правилами для гарантий по требованию, включая типовые формы (URDG 758) (Публикация Международной торговой палаты № 758). Редакция 2010 года» в той мере, в какой указанные правила не противоречат императивным нормам законодательства, а также предусматривать Арбитражный суд по месту нахождения Заказчика в качестве органа, компетентного разрешать споры из независимой гарантии;</w:t>
      </w:r>
    </w:p>
    <w:p>
      <w:pPr>
        <w:pStyle w:val="Style22"/>
        <w:rPr/>
      </w:pPr>
      <w:r>
        <w:rPr/>
        <w:t>информация о независимой гарантии должна быть включена в реестр независимых гарантий, предусмотренный частью 8 статьи </w:t>
      </w:r>
      <w:r>
        <w:rPr>
          <w:lang w:val="en-US"/>
        </w:rPr>
        <w:t>4</w:t>
      </w:r>
      <w:r>
        <w:rPr/>
        <w:t>5 Закона 44</w:t>
        <w:noBreakHyphen/>
        <w:t>ФЗ.</w:t>
      </w:r>
    </w:p>
    <w:p>
      <w:pPr>
        <w:pStyle w:val="Style21"/>
        <w:rPr/>
      </w:pPr>
      <w:r>
        <w:rPr/>
        <w:t>В случае выбора Участником обеспечения заявки путем предоставления независимой гарантии он должен предоставить в составе своей заявки копию такой гарантии, подтверждающую наличие обеспечения заявки в требуемом размере и соответствующую требованиям к условиям такой гарантии. В противном случае обеспечение заявки считается невнесенным, и Организатор обязан отклонить заявку такого Участника.</w:t>
      </w:r>
    </w:p>
    <w:p>
      <w:pPr>
        <w:pStyle w:val="Style21"/>
        <w:rPr/>
      </w:pPr>
      <w:r>
        <w:rPr/>
        <w:t>Несоответствие независимой гарантии, предоставленной Участником закупки, предусмотренным настоящей Документацией о закупке требованиям, является основанием для отклонения заявки такого Участника.</w:t>
      </w:r>
    </w:p>
    <w:p>
      <w:pPr>
        <w:pStyle w:val="Style21"/>
        <w:rPr/>
      </w:pPr>
      <w:r>
        <w:rPr/>
        <w:t>При многолотовой закупке (подраздел </w:t>
      </w:r>
      <w:r>
        <w:rPr/>
        <w:fldChar w:fldCharType="begin"/>
      </w:r>
      <w:r>
        <w:rPr/>
        <w:instrText xml:space="preserve"> REF _Ref149317181 \n \h </w:instrText>
      </w:r>
      <w:r>
        <w:rPr/>
        <w:fldChar w:fldCharType="separate"/>
      </w:r>
      <w:r>
        <w:rPr/>
        <w:t>4.21</w:t>
      </w:r>
      <w:r>
        <w:rPr/>
        <w:fldChar w:fldCharType="end"/>
      </w:r>
      <w:r>
        <w:rP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 которые Участник подал заявку и по которым он был признан Победителем.</w:t>
      </w:r>
    </w:p>
    <w:p>
      <w:pPr>
        <w:pStyle w:val="Style21"/>
        <w:rPr/>
      </w:pPr>
      <w:r>
        <w:rPr/>
        <w:t>Подать заявку (принять участие в закупке) могут только Участники, предоставившие надлежащее обеспечение их заявок.</w:t>
      </w:r>
    </w:p>
    <w:p>
      <w:pPr>
        <w:pStyle w:val="Style21"/>
        <w:rPr/>
      </w:pPr>
      <w:r>
        <w:rPr/>
        <w:t>Требование об обеспечении заявки в равной мере распространяется на всех Участников.</w:t>
      </w:r>
    </w:p>
    <w:p>
      <w:pPr>
        <w:pStyle w:val="Style21"/>
        <w:keepNext w:val="true"/>
        <w:rPr/>
      </w:pPr>
      <w:bookmarkStart w:id="202" w:name="_Ref132716182"/>
      <w:r>
        <w:rP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bookmarkEnd w:id="202"/>
    </w:p>
    <w:p>
      <w:pPr>
        <w:pStyle w:val="Style22"/>
        <w:rPr/>
      </w:pPr>
      <w:r>
        <w:rPr/>
        <w:t>обязательство заключить Договор в установленном Документацией о закупке порядке (раздел </w:t>
      </w:r>
      <w:r>
        <w:rPr/>
        <w:fldChar w:fldCharType="begin"/>
      </w:r>
      <w:r>
        <w:rPr/>
        <w:instrText xml:space="preserve"> REF _Ref130224037 \r \h </w:instrText>
      </w:r>
      <w:r>
        <w:rPr/>
        <w:fldChar w:fldCharType="separate"/>
      </w:r>
      <w:r>
        <w:rPr/>
        <w:t>5</w:t>
      </w:r>
      <w:r>
        <w:rPr/>
        <w:fldChar w:fldCharType="end"/>
      </w:r>
      <w:r>
        <w:rPr/>
        <w:t>), в том числе предоставить Сведения о цепочке собственников, включая бенефициаров (в том числе конечных) (</w:t>
      </w:r>
      <w:hyperlink w:anchor="Прил05_ФормыПобедителя">
        <w:r>
          <w:rPr>
            <w:rStyle w:val="Style11"/>
          </w:rPr>
          <w:t>Приложение № 5</w:t>
        </w:r>
      </w:hyperlink>
      <w:r>
        <w:rPr/>
        <w:t>), а также предоставить иные документы в соответствии с условиями подраздела </w:t>
      </w:r>
      <w:r>
        <w:rPr/>
        <w:fldChar w:fldCharType="begin"/>
      </w:r>
      <w:r>
        <w:rPr/>
        <w:instrText xml:space="preserve"> REF _Ref138341423 \r \h </w:instrText>
      </w:r>
      <w:r>
        <w:rPr/>
        <w:fldChar w:fldCharType="separate"/>
      </w:r>
      <w:r>
        <w:rPr/>
        <w:t>5.2</w:t>
      </w:r>
      <w:r>
        <w:rPr/>
        <w:fldChar w:fldCharType="end"/>
      </w:r>
      <w:r>
        <w:rPr/>
        <w:t>;</w:t>
      </w:r>
    </w:p>
    <w:p>
      <w:pPr>
        <w:pStyle w:val="Style22"/>
        <w:rPr/>
      </w:pPr>
      <w:r>
        <w:rPr/>
        <w:t xml:space="preserve">обязательство предоставить до заключения договора Заказчику обеспечение исполнения договора – если </w:t>
      </w:r>
      <w:hyperlink w:anchor="Прил02_ПроектДоговора">
        <w:r>
          <w:rPr>
            <w:rStyle w:val="Style11"/>
          </w:rPr>
          <w:t>Проект договора (Приложение № 2)</w:t>
        </w:r>
      </w:hyperlink>
      <w:r>
        <w:rPr/>
        <w:t xml:space="preserve"> предусматривает обеспечение исполнения договора с соответствующими обязательствами (в порядке и сроки, предусмотренные </w:t>
      </w:r>
      <w:hyperlink w:anchor="Прил02_ПроектДоговора">
        <w:r>
          <w:rPr>
            <w:rStyle w:val="Style11"/>
          </w:rPr>
          <w:t>Проектом договора</w:t>
        </w:r>
      </w:hyperlink>
      <w:r>
        <w:rPr/>
        <w:t>).</w:t>
      </w:r>
    </w:p>
    <w:p>
      <w:pPr>
        <w:pStyle w:val="Style21"/>
        <w:rPr/>
      </w:pPr>
      <w:r>
        <w:rPr/>
        <w:t>В случае невыполнения Победителем указанных выше обязательств Организатор вправе удержать обеспечение заявки путем обращения в соответствующую организацию-гарант. При этом в случае предоставления Участником обеспечения в виде денежных средств, сумма обеспечения заявки, внесенная на специальный банковский счет, перечисляется банком-гарантом на счет Заказчика (подраздел </w:t>
      </w:r>
      <w:r>
        <w:rPr/>
        <w:fldChar w:fldCharType="begin"/>
      </w:r>
      <w:r>
        <w:rPr/>
        <w:instrText xml:space="preserve"> REF _Ref125359973 \r \h </w:instrText>
      </w:r>
      <w:r>
        <w:rPr/>
        <w:fldChar w:fldCharType="separate"/>
      </w:r>
      <w:r>
        <w:rPr/>
        <w:t>1.2</w:t>
      </w:r>
      <w:r>
        <w:rPr/>
        <w:fldChar w:fldCharType="end"/>
      </w:r>
      <w:r>
        <w:rPr/>
        <w:t>).</w:t>
      </w:r>
    </w:p>
    <w:p>
      <w:pPr>
        <w:pStyle w:val="Style21"/>
        <w:keepNext w:val="true"/>
        <w:rPr/>
      </w:pPr>
      <w:r>
        <w:rPr/>
        <w:t>Возврат обеспечения заявки (в случае предоставления Участником обеспечения в виде денежных средств) осуществляется Организатором в срок не более 7 (семи) рабочих дней с даты:</w:t>
      </w:r>
    </w:p>
    <w:p>
      <w:pPr>
        <w:pStyle w:val="Style22"/>
        <w:rPr/>
      </w:pPr>
      <w:r>
        <w:rPr/>
        <w:t>принятия решения об отказе от проведения закупки – всем Участникам, подавшим заявки к моменту принятия такого решения;</w:t>
      </w:r>
    </w:p>
    <w:p>
      <w:pPr>
        <w:pStyle w:val="Style22"/>
        <w:rPr/>
      </w:pPr>
      <w:r>
        <w:rP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pPr>
        <w:pStyle w:val="Style22"/>
        <w:rPr/>
      </w:pPr>
      <w:r>
        <w:rPr/>
        <w:t>официального размещения итогового протокола по результатам закупки – всем Участникам, кроме Победителя;</w:t>
      </w:r>
    </w:p>
    <w:p>
      <w:pPr>
        <w:pStyle w:val="Style22"/>
        <w:rPr/>
      </w:pPr>
      <w:r>
        <w:rPr/>
        <w:t>заключения Договора по результатам закупки – Победителю, с которым заключен Договор;</w:t>
      </w:r>
    </w:p>
    <w:p>
      <w:pPr>
        <w:pStyle w:val="Style22"/>
        <w:rPr/>
      </w:pPr>
      <w:r>
        <w:rPr/>
        <w:t>признания закупки несостоявшейся – Участнику, которому обеспечение не было возвращено по иным основаниям.</w:t>
      </w:r>
    </w:p>
    <w:p>
      <w:pPr>
        <w:pStyle w:val="Style21"/>
        <w:rPr/>
      </w:pPr>
      <w:r>
        <w:rPr/>
        <w:t>Возврат обеспечения заявки может быть задержан в случае поступления в установленном законодательством порядке жалобы по закупке (подраздел </w:t>
      </w:r>
      <w:r>
        <w:rPr/>
        <w:fldChar w:fldCharType="begin"/>
      </w:r>
      <w:r>
        <w:rPr/>
        <w:instrText xml:space="preserve"> REF _Ref125363536 \r \h </w:instrText>
      </w:r>
      <w:r>
        <w:rPr/>
        <w:fldChar w:fldCharType="separate"/>
      </w:r>
      <w:r>
        <w:rPr/>
        <w:t>2.3</w:t>
      </w:r>
      <w:r>
        <w:rPr/>
        <w:fldChar w:fldCharType="end"/>
      </w:r>
      <w:r>
        <w:rPr/>
        <w:t>) – на время рассмотрения жалобы.</w:t>
      </w:r>
    </w:p>
    <w:p>
      <w:pPr>
        <w:pStyle w:val="Style20"/>
        <w:rPr/>
      </w:pPr>
      <w:bookmarkStart w:id="203" w:name="_Ref130225422"/>
      <w:bookmarkStart w:id="204" w:name="_Ref149317181"/>
      <w:bookmarkStart w:id="205" w:name="_Toc188946943"/>
      <w:r>
        <w:rPr/>
        <w:t>Особенности проведения многолотовой закупки</w:t>
      </w:r>
      <w:bookmarkEnd w:id="203"/>
      <w:bookmarkEnd w:id="204"/>
      <w:bookmarkEnd w:id="205"/>
    </w:p>
    <w:p>
      <w:pPr>
        <w:pStyle w:val="Style21"/>
        <w:rPr/>
      </w:pPr>
      <w:r>
        <w:rPr/>
        <w:t>Нормы настоящего подраздела применяются, если подразделом </w:t>
      </w:r>
      <w:r>
        <w:rPr/>
        <w:fldChar w:fldCharType="begin"/>
      </w:r>
      <w:r>
        <w:rPr/>
        <w:instrText xml:space="preserve"> REF _Ref125359973 \r \h </w:instrText>
      </w:r>
      <w:r>
        <w:rPr/>
        <w:fldChar w:fldCharType="separate"/>
      </w:r>
      <w:r>
        <w:rPr/>
        <w:t>1.2</w:t>
      </w:r>
      <w:r>
        <w:rPr/>
        <w:fldChar w:fldCharType="end"/>
      </w:r>
      <w:r>
        <w:rPr/>
        <w:t xml:space="preserve"> предусмотрено проведение многолотовой закупки.</w:t>
      </w:r>
    </w:p>
    <w:p>
      <w:pPr>
        <w:pStyle w:val="Style21"/>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1"/>
        <w:rPr/>
      </w:pPr>
      <w:r>
        <w:rPr/>
        <w:t>Многолотовая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rPr/>
        <w:t>указан номер конкретного лота, относятся ко всем лотам одновременно.</w:t>
      </w:r>
    </w:p>
    <w:p>
      <w:pPr>
        <w:pStyle w:val="Style21"/>
        <w:rPr/>
      </w:pPr>
      <w:r>
        <w:rPr/>
        <w:t>Участник может подать одну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 В многолотовой закупке подача Участником по одной заявке на каждый лот, не считается подачей второй заявки на закупку.</w:t>
      </w:r>
    </w:p>
    <w:p>
      <w:pPr>
        <w:pStyle w:val="Style21"/>
        <w:keepNext w:val="true"/>
        <w:rPr/>
      </w:pPr>
      <w:r>
        <w:rPr/>
        <w:t>В случае подачи заявки на несколько лотов дополнительно должны быть соблюдены следующие требования:</w:t>
      </w:r>
    </w:p>
    <w:p>
      <w:pPr>
        <w:pStyle w:val="Style22"/>
        <w:rPr/>
      </w:pPr>
      <w:r>
        <w:rPr/>
        <w:t>Письмо о подаче оферты (форма 2) (</w:t>
      </w:r>
      <w:hyperlink w:anchor="Прил04_ФормыЗаявки">
        <w:r>
          <w:rPr>
            <w:rStyle w:val="Style11"/>
          </w:rPr>
          <w:t>Приложение № 4</w:t>
        </w:r>
      </w:hyperlink>
      <w:r>
        <w:rPr/>
        <w:t>) должно содержать указание номера и названия каждого лота;</w:t>
      </w:r>
    </w:p>
    <w:p>
      <w:pPr>
        <w:pStyle w:val="Style22"/>
        <w:rPr/>
      </w:pPr>
      <w:r>
        <w:rPr/>
        <w:t xml:space="preserve">Коммерческое предложение (форма 3), Техническое предложение (форма 4), Календарный график (форма 5), План распределения объемов поставки продукции (форма 11) – </w:t>
      </w:r>
      <w:hyperlink w:anchor="Прил04_ФормыЗаявки">
        <w:r>
          <w:rPr>
            <w:rStyle w:val="Style11"/>
          </w:rPr>
          <w:t>Приложение № 4</w:t>
        </w:r>
      </w:hyperlink>
      <w:r>
        <w:rPr/>
        <w:t>, должны быть подготовлены отдельно по каждому из лотов с указанием номера и названия лота.</w:t>
      </w:r>
    </w:p>
    <w:p>
      <w:pPr>
        <w:pStyle w:val="Style21"/>
        <w:rPr/>
      </w:pPr>
      <w:r>
        <w:rPr/>
        <w:t>Решения, принимаемые в ходе процедуры закупки, в том числе решения в рамках рассмотрения (первых частей заявок, вторых частей заявок и ценовых предложений), оценки и сопоставления заявок, определения Победителя, признания закупки несостоявшейся, отказа от дальнейшего ее проведения и т.д., осуществляются раздельно и независимо по каждому из лотов. При этом Организатор вправе оформить по каждому лоту отдельный протокол закупки или сформировать общий по всем лотам протокол закупки, в который в отношении каждого лота вносятся сведения, подлежащие официальному размещению.</w:t>
      </w:r>
    </w:p>
    <w:p>
      <w:pPr>
        <w:pStyle w:val="Style19"/>
        <w:rPr/>
      </w:pPr>
      <w:bookmarkStart w:id="206" w:name="_Ref125367087"/>
      <w:bookmarkStart w:id="207" w:name="_Ref125367083"/>
      <w:bookmarkStart w:id="208" w:name="_Ref125366769"/>
      <w:bookmarkStart w:id="209" w:name="_Ref125363439"/>
      <w:bookmarkStart w:id="210" w:name="_Ref125362671"/>
      <w:bookmarkStart w:id="211" w:name="_Ref125361212"/>
      <w:bookmarkStart w:id="212" w:name="_Toc188946944"/>
      <w:bookmarkStart w:id="213" w:name="_Ref130224037"/>
      <w:bookmarkStart w:id="214" w:name="_Ref126142429"/>
      <w:r>
        <w:rPr/>
        <w:t>Порядок заключения Договора</w:t>
      </w:r>
      <w:bookmarkEnd w:id="206"/>
      <w:bookmarkEnd w:id="207"/>
      <w:bookmarkEnd w:id="208"/>
      <w:bookmarkEnd w:id="209"/>
      <w:bookmarkEnd w:id="210"/>
      <w:bookmarkEnd w:id="211"/>
      <w:bookmarkEnd w:id="212"/>
      <w:bookmarkEnd w:id="213"/>
      <w:bookmarkEnd w:id="214"/>
    </w:p>
    <w:p>
      <w:pPr>
        <w:pStyle w:val="Style20"/>
        <w:rPr/>
      </w:pPr>
      <w:bookmarkStart w:id="215" w:name="_Toc188946945"/>
      <w:r>
        <w:rPr/>
        <w:t>Общие положения</w:t>
      </w:r>
      <w:bookmarkEnd w:id="215"/>
    </w:p>
    <w:p>
      <w:pPr>
        <w:pStyle w:val="Style21"/>
        <w:rPr/>
      </w:pPr>
      <w:r>
        <w:rPr/>
        <w:t>Нормы настоящего раздела </w:t>
      </w:r>
      <w:r>
        <w:rPr/>
        <w:fldChar w:fldCharType="begin"/>
      </w:r>
      <w:r>
        <w:rPr/>
        <w:instrText xml:space="preserve"> REF _Ref126142429 \r \h </w:instrText>
      </w:r>
      <w:r>
        <w:rPr/>
        <w:fldChar w:fldCharType="separate"/>
      </w:r>
      <w:r>
        <w:rPr/>
        <w:t>5</w:t>
      </w:r>
      <w:r>
        <w:rPr/>
        <w:fldChar w:fldCharType="end"/>
      </w:r>
      <w:r>
        <w:rPr/>
        <w:t xml:space="preserve"> также применяются в отношении Единственного участника несостоявшейся закупки, с которым принято решение о заключении договора (к нему применяются те же нормы, что и в отношении Победителя).</w:t>
      </w:r>
    </w:p>
    <w:p>
      <w:pPr>
        <w:pStyle w:val="Style20"/>
        <w:rPr/>
      </w:pPr>
      <w:bookmarkStart w:id="216" w:name="_Ref125368755"/>
      <w:bookmarkStart w:id="217" w:name="_Ref138341423"/>
      <w:bookmarkStart w:id="218" w:name="_Toc188946946"/>
      <w:bookmarkStart w:id="219" w:name="_Ref125366947"/>
      <w:r>
        <w:rPr/>
        <w:t>Заключение Договора</w:t>
      </w:r>
      <w:bookmarkEnd w:id="216"/>
      <w:bookmarkEnd w:id="217"/>
      <w:bookmarkEnd w:id="218"/>
      <w:bookmarkEnd w:id="219"/>
    </w:p>
    <w:p>
      <w:pPr>
        <w:pStyle w:val="Style21"/>
        <w:rPr/>
      </w:pPr>
      <w:bookmarkStart w:id="220" w:name="_Ref130293821"/>
      <w:bookmarkStart w:id="221" w:name="_Ref125362935"/>
      <w:r>
        <w:rPr/>
        <w:t>Договор между Заказчиком и Победителем заключается не ранее чем через 10 (десять) календарных дней и не позднее чем через 20 (двадцать) календарных дней с даты официального размещения итогового протокола по результатам закупки.</w:t>
      </w:r>
      <w:bookmarkEnd w:id="220"/>
      <w:bookmarkEnd w:id="221"/>
    </w:p>
    <w:p>
      <w:pPr>
        <w:pStyle w:val="Style21"/>
        <w:rPr/>
      </w:pPr>
      <w:r>
        <w:rPr/>
        <w:t>Договор не может быть заключен, если это запрещено законодательством о национальном режиме в случаях, установленных в подразделе</w:t>
      </w:r>
      <w:r>
        <w:rPr/>
        <w:fldChar w:fldCharType="begin"/>
      </w:r>
      <w:r>
        <w:rPr/>
        <w:instrText xml:space="preserve"> REF _Ref186183588 \r \h </w:instrText>
      </w:r>
      <w:r>
        <w:rPr/>
        <w:fldChar w:fldCharType="separate"/>
      </w:r>
      <w:r>
        <w:rPr/>
        <w:t>Ошибка: источник перекрёстной ссылки не найден</w:t>
      </w:r>
      <w:r>
        <w:rPr/>
        <w:fldChar w:fldCharType="end"/>
      </w:r>
      <w:r>
        <w:rPr/>
        <w:t>.</w:t>
      </w:r>
    </w:p>
    <w:p>
      <w:pPr>
        <w:pStyle w:val="Style21"/>
        <w:rPr/>
      </w:pPr>
      <w:bookmarkStart w:id="222" w:name="_Ref125363464"/>
      <w:r>
        <w:rPr/>
        <w:t>В целях заключения Договора Участник, признанный Победителем, обязан в срок не позднее 3 (трех) рабочих дней с даты официального размещения Организатором итогового протокола по результатам закупки, направить по адресу, определенному в подразделе </w:t>
      </w:r>
      <w:r>
        <w:rPr/>
        <w:fldChar w:fldCharType="begin"/>
      </w:r>
      <w:r>
        <w:rPr/>
        <w:instrText xml:space="preserve"> REF _Ref125359973 \r \h </w:instrText>
      </w:r>
      <w:r>
        <w:rPr/>
        <w:fldChar w:fldCharType="separate"/>
      </w:r>
      <w:r>
        <w:rPr/>
        <w:t>1.2</w:t>
      </w:r>
      <w:r>
        <w:rPr/>
        <w:fldChar w:fldCharType="end"/>
      </w:r>
      <w:r>
        <w:rPr/>
        <w:t xml:space="preserve"> как место подачи документов в отношении цепочки собственников, включая конечных бенефициаров, Справку о цепочке собственников, включая бенефициаров (в том числе конечных), по форме в соответствии с </w:t>
      </w:r>
      <w:hyperlink w:anchor="Прил05_ФормыПобедителя">
        <w:r>
          <w:rPr>
            <w:rStyle w:val="Style11"/>
          </w:rPr>
          <w:t>Приложением № 5</w:t>
        </w:r>
      </w:hyperlink>
      <w:r>
        <w:rPr/>
        <w:t>, с приложением подтверждающих документов согласно перечню, установленному в Приложении 1 к указанной справке. Данные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bookmarkEnd w:id="222"/>
    </w:p>
    <w:p>
      <w:pPr>
        <w:pStyle w:val="Style21"/>
        <w:rPr/>
      </w:pPr>
      <w:r>
        <w:rPr/>
        <w:t xml:space="preserve">В срок не позднее 3 (трех) рабочих дней с даты официального размещения Организатором итогового протокола по результатам закупки, Победитель обязан предоставить Заказчику (скан-копия в формате </w:t>
      </w:r>
      <w:r>
        <w:rPr>
          <w:lang w:val="en-US"/>
        </w:rPr>
        <w:t>pdf</w:t>
      </w:r>
      <w:r>
        <w:rPr/>
        <w:t xml:space="preserve">)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11"/>
          </w:rPr>
          <w:t>Приложением № 5</w:t>
        </w:r>
      </w:hyperlink>
      <w:r>
        <w:rPr/>
        <w:t>.</w:t>
      </w:r>
    </w:p>
    <w:p>
      <w:pPr>
        <w:pStyle w:val="Style21"/>
        <w:keepNext w:val="true"/>
        <w:rPr/>
      </w:pPr>
      <w:bookmarkStart w:id="223" w:name="_Ref125551072"/>
      <w:r>
        <w:rPr/>
        <w:t>Перед заключением Договора Победитель обязан предоставить Заказчику, не позднее сроков, установленных в пункте </w:t>
      </w:r>
      <w:r>
        <w:rPr/>
        <w:fldChar w:fldCharType="begin"/>
      </w:r>
      <w:r>
        <w:rPr/>
        <w:instrText xml:space="preserve"> REF _Ref130293821 \w \h </w:instrText>
      </w:r>
      <w:r>
        <w:rPr/>
        <w:fldChar w:fldCharType="separate"/>
      </w:r>
      <w:r>
        <w:rPr/>
        <w:t>5.2.1</w:t>
      </w:r>
      <w:r>
        <w:rPr/>
        <w:fldChar w:fldCharType="end"/>
      </w:r>
      <w:r>
        <w:rPr/>
        <w:t>, в целях подтверждения своего соответствия обязательному требованию к Участникам, указанному в пункте </w:t>
      </w:r>
      <w:r>
        <w:rPr/>
        <w:fldChar w:fldCharType="begin"/>
      </w:r>
      <w:r>
        <w:rPr/>
        <w:instrText xml:space="preserve"> REF _Ref125552433 \w \h </w:instrText>
      </w:r>
      <w:r>
        <w:rPr/>
        <w:fldChar w:fldCharType="separate"/>
      </w:r>
      <w:r>
        <w:rPr/>
        <w:t>1</w:t>
      </w:r>
      <w:r>
        <w:rPr/>
        <w:fldChar w:fldCharType="end"/>
      </w:r>
      <w:r>
        <w:rPr/>
        <w:t xml:space="preserve"> подраздела </w:t>
      </w:r>
      <w:r>
        <w:rPr/>
        <w:fldChar w:fldCharType="begin"/>
      </w:r>
      <w:r>
        <w:rPr/>
        <w:instrText xml:space="preserve"> REF _Ref125361435 \w \h </w:instrText>
      </w:r>
      <w:r>
        <w:rPr/>
        <w:fldChar w:fldCharType="separate"/>
      </w:r>
      <w:r>
        <w:rPr/>
        <w:t>8.2</w:t>
      </w:r>
      <w:r>
        <w:rPr/>
        <w:fldChar w:fldCharType="end"/>
      </w:r>
      <w:r>
        <w:rPr/>
        <w:t xml:space="preserve"> (</w:t>
      </w:r>
      <w:hyperlink w:anchor="Прил03_ТребованияУчастникам">
        <w:r>
          <w:rPr>
            <w:rStyle w:val="Style11"/>
          </w:rPr>
          <w:t>Приложение № 3</w:t>
        </w:r>
      </w:hyperlink>
      <w:r>
        <w:rPr/>
        <w:t xml:space="preserve">), следующие документы (скан-копии в формате </w:t>
      </w:r>
      <w:r>
        <w:rPr>
          <w:lang w:val="en-US"/>
        </w:rPr>
        <w:t>pdf</w:t>
      </w:r>
      <w:r>
        <w:rPr/>
        <w:t>)</w:t>
      </w:r>
      <w:r>
        <w:rPr>
          <w:rStyle w:val="FootnoteReference"/>
        </w:rPr>
        <w:footnoteReference w:id="12"/>
      </w:r>
      <w:r>
        <w:rPr/>
        <w:t>:</w:t>
      </w:r>
      <w:bookmarkEnd w:id="223"/>
    </w:p>
    <w:p>
      <w:pPr>
        <w:pStyle w:val="Style22"/>
        <w:keepNext w:val="true"/>
        <w:rPr/>
      </w:pPr>
      <w:r>
        <w:rPr/>
        <w:t>для юридического лица:</w:t>
      </w:r>
    </w:p>
    <w:p>
      <w:pPr>
        <w:pStyle w:val="Style23"/>
        <w:rPr/>
      </w:pPr>
      <w:r>
        <w:rPr/>
        <w:t>копия устава в действующей редакции с отметкой ИФНС либо копия нотариально заверенного устава (с отметкой нотариуса);</w:t>
      </w:r>
    </w:p>
    <w:p>
      <w:pPr>
        <w:pStyle w:val="Style23"/>
        <w:rPr/>
      </w:pPr>
      <w:bookmarkStart w:id="224" w:name="_Ref125638686"/>
      <w:r>
        <w:rPr/>
        <w:t>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 заверенные Победителем;</w:t>
      </w:r>
      <w:bookmarkEnd w:id="224"/>
    </w:p>
    <w:p>
      <w:pPr>
        <w:pStyle w:val="Style23"/>
        <w:rPr/>
      </w:pPr>
      <w:r>
        <w:rPr/>
        <w:t>дополнительно предоставляется машиночитаемая доверенность (посредством информационных систем, на которых проводится закупка) на физическое лицо, которое подписывает договор;</w:t>
      </w:r>
    </w:p>
    <w:p>
      <w:pPr>
        <w:pStyle w:val="Style22"/>
        <w:rPr/>
      </w:pPr>
      <w:r>
        <w:rPr/>
        <w:t>для лица, зарегистрированного вне Российской Федерации: выписка из торгового реестра страны регистрации иностранного Участника;</w:t>
      </w:r>
    </w:p>
    <w:p>
      <w:pPr>
        <w:pStyle w:val="Style22"/>
        <w:rPr/>
      </w:pPr>
      <w:r>
        <w:rPr/>
        <w:t>для физического лица: нотариально заверенная копия всех страниц документа, удостоверяющего личность (паспорта);</w:t>
      </w:r>
    </w:p>
    <w:p>
      <w:pPr>
        <w:pStyle w:val="Style22"/>
        <w:rPr/>
      </w:pPr>
      <w:bookmarkStart w:id="225" w:name="_Ref125361554"/>
      <w:r>
        <w:rPr/>
        <w:t>если Договор заключается с лидером Коллективного участника, то в обязательном порядке предоставляется оригинал и (или) нотариально заверенная копия Соглашения между членами Коллективного участника, указанного в пункте </w:t>
      </w:r>
      <w:r>
        <w:rPr/>
        <w:fldChar w:fldCharType="begin"/>
      </w:r>
      <w:r>
        <w:rPr/>
        <w:instrText xml:space="preserve"> REF _Ref125366972 \r \h </w:instrText>
      </w:r>
      <w:r>
        <w:rPr/>
        <w:fldChar w:fldCharType="separate"/>
      </w:r>
      <w:r>
        <w:rPr/>
        <w:t>3.2.3</w:t>
      </w:r>
      <w:r>
        <w:rPr/>
        <w:fldChar w:fldCharType="end"/>
      </w:r>
      <w:r>
        <w:rPr/>
        <w:t>.</w:t>
      </w:r>
      <w:bookmarkEnd w:id="225"/>
    </w:p>
    <w:p>
      <w:pPr>
        <w:pStyle w:val="Style21"/>
        <w:rPr/>
      </w:pPr>
      <w:r>
        <w:rPr/>
        <w:t>Если в соответствии с законодательством и уставом Заказчика потребуется предварительное одобрение заключаемого на 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 (пять) календарных дней с даты указанного одобрения.</w:t>
      </w:r>
    </w:p>
    <w:p>
      <w:pPr>
        <w:pStyle w:val="Style21"/>
        <w:rPr/>
      </w:pPr>
      <w:r>
        <w:rPr/>
        <w:t>В случае обжалования в антимонопольном органе результатов закупки Договор заключается не позднее чем через 5 (пять) календарных дней с даты вынесения решения антимонопольного органа по результатам такого обжалования (за исключением случая возврата на предыдущий этап закупки).</w:t>
      </w:r>
    </w:p>
    <w:p>
      <w:pPr>
        <w:pStyle w:val="Style21"/>
        <w:keepNext w:val="true"/>
        <w:rPr/>
      </w:pPr>
      <w:bookmarkStart w:id="226" w:name="_Ref132288402"/>
      <w:r>
        <w:rPr/>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26"/>
    </w:p>
    <w:p>
      <w:pPr>
        <w:pStyle w:val="Style22"/>
        <w:rPr/>
      </w:pPr>
      <w:r>
        <w:rPr/>
        <w:t>итоговый протокол по результатам закупки;</w:t>
      </w:r>
    </w:p>
    <w:p>
      <w:pPr>
        <w:pStyle w:val="Style22"/>
        <w:rPr/>
      </w:pPr>
      <w:r>
        <w:rPr/>
        <w:t>Извещение и Документация о закупке со всеми изменениями;</w:t>
      </w:r>
    </w:p>
    <w:p>
      <w:pPr>
        <w:pStyle w:val="Style22"/>
        <w:rPr/>
      </w:pPr>
      <w:r>
        <w:rPr/>
        <w:t>заявка Победителя со всеми дополнениями и разъяснениями.</w:t>
      </w:r>
    </w:p>
    <w:p>
      <w:pPr>
        <w:pStyle w:val="Style21"/>
        <w:rPr/>
      </w:pPr>
      <w:r>
        <w:rPr/>
        <w:t>Договор согласовывается и заключается с использованием функционала ЭП, в том числе подписывается усиленной квалифицированной электронной подписью уполномоченного лица Победителя и Заказчика соответственно.</w:t>
      </w:r>
    </w:p>
    <w:p>
      <w:pPr>
        <w:pStyle w:val="Style21"/>
        <w:rPr/>
      </w:pPr>
      <w:r>
        <w:rPr/>
        <w:t>В течение установленного в пункте </w:t>
      </w:r>
      <w:r>
        <w:rPr/>
        <w:fldChar w:fldCharType="begin"/>
      </w:r>
      <w:r>
        <w:rPr/>
        <w:instrText xml:space="preserve"> REF _Ref130293821 \r \h </w:instrText>
      </w:r>
      <w:r>
        <w:rPr/>
        <w:fldChar w:fldCharType="separate"/>
      </w:r>
      <w:r>
        <w:rPr/>
        <w:t>5.2.1</w:t>
      </w:r>
      <w:r>
        <w:rPr/>
        <w:fldChar w:fldCharType="end"/>
      </w:r>
      <w:r>
        <w:rPr/>
        <w:t xml:space="preserve"> срока Заказчик с использованием функционала ЭП направляет в адрес Победителя заполненный со своей стороны проект Договора.</w:t>
      </w:r>
    </w:p>
    <w:p>
      <w:pPr>
        <w:pStyle w:val="Style21"/>
        <w:rPr/>
      </w:pPr>
      <w:bookmarkStart w:id="227" w:name="_Ref49437111"/>
      <w:r>
        <w:rPr/>
        <w:t>В случае наличия у Победителя разногласий по направленному Заказчиком проекту Договора, Победитель составляет Протокол разногласий с указанием в нем своих замечаний к положениям проекта Договора, не соответствующим условиям настоящей Документации о закупке и (или) заявке Победителя (с приведением ссылок на конкретные пункты / положения данных документов, которым они не соответствуют). Протокол разногласий направляется Заказчику с использованием функционала ЭП. После рассмотрения указанного протокола разногласий Заказчик вправе направить Победителю доработанный проект Договора либо повторно направить исходный проект Договора с указанием в отдельном документе причин отказа учесть полностью или частично замечания, содержащиеся в протоколе разногласий Победителя.</w:t>
      </w:r>
      <w:bookmarkEnd w:id="227"/>
    </w:p>
    <w:p>
      <w:pPr>
        <w:pStyle w:val="Style21"/>
        <w:rPr/>
      </w:pPr>
      <w:bookmarkStart w:id="228" w:name="_Ref125368506"/>
      <w:r>
        <w:rPr/>
        <w:t xml:space="preserve">Сведения о заключенном Договоре в течение 3 (трех) рабочих дней со дня заключения такого Договора на ЭП вносятся Оператором ЭП в Реестр договоров в ЕИС (если размещение таких сведений допустимо Законом 223-ФЗ). Если при заключении и исполнении Договора изменятся количество, объем, цена закупаемой продукции или сроки исполнения Договора (по сравнению с указанными в итоговом протоколе по результатам закупки), то в течение 10 (десяти) календарных дней со дня внесения таких изменений в Договор </w:t>
      </w:r>
      <w:bookmarkStart w:id="229" w:name="_Hlk132806825"/>
      <w:r>
        <w:rPr/>
        <w:t>соответствующая информация с указанием измененных условий Договора также размещается в ЕИС (если размещение таких сведений допустимо Законом 223-ФЗ)</w:t>
      </w:r>
      <w:bookmarkEnd w:id="229"/>
      <w:r>
        <w:rPr/>
        <w:t>.</w:t>
      </w:r>
      <w:bookmarkEnd w:id="228"/>
    </w:p>
    <w:p>
      <w:pPr>
        <w:pStyle w:val="Style21"/>
        <w:rPr/>
      </w:pPr>
      <w:r>
        <w:rPr/>
        <w:t>Если до момента заключения с Договора в отношении Победителя была проведена повторная проверка в рамках мониторинга аккредитованных поставщиков (в соответствии с Положением об аккредитации), и по результатам такой проверки ему присвоен статус «не аккредитован»,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 (при наличии у него статуса «аккредитован» / «аккредитация не требуется»).</w:t>
      </w:r>
    </w:p>
    <w:p>
      <w:pPr>
        <w:pStyle w:val="Style20"/>
        <w:rPr/>
      </w:pPr>
      <w:bookmarkStart w:id="230" w:name="_Toc188946947"/>
      <w:bookmarkStart w:id="231" w:name="_Ref125367068"/>
      <w:r>
        <w:rPr/>
        <w:t>Уклонение Победителя от заключения Договора</w:t>
      </w:r>
      <w:bookmarkEnd w:id="230"/>
      <w:bookmarkEnd w:id="231"/>
    </w:p>
    <w:p>
      <w:pPr>
        <w:pStyle w:val="Style21"/>
        <w:keepNext w:val="true"/>
        <w:rPr/>
      </w:pPr>
      <w:r>
        <w:rPr/>
        <w:t>Если Победитель закупки:</w:t>
      </w:r>
    </w:p>
    <w:p>
      <w:pPr>
        <w:pStyle w:val="Style22"/>
        <w:rPr/>
      </w:pPr>
      <w:r>
        <w:rPr/>
        <w:t>не подпишет Договор в установленные Документацией о закупке сроки (пункт </w:t>
      </w:r>
      <w:r>
        <w:rPr/>
        <w:fldChar w:fldCharType="begin"/>
      </w:r>
      <w:r>
        <w:rPr/>
        <w:instrText xml:space="preserve"> REF _Ref130293821 \r \h </w:instrText>
      </w:r>
      <w:r>
        <w:rPr/>
        <w:fldChar w:fldCharType="separate"/>
      </w:r>
      <w:r>
        <w:rPr/>
        <w:t>5.2.1</w:t>
      </w:r>
      <w:r>
        <w:rPr/>
        <w:fldChar w:fldCharType="end"/>
      </w:r>
      <w:r>
        <w:rPr/>
        <w:t>);</w:t>
      </w:r>
    </w:p>
    <w:p>
      <w:pPr>
        <w:pStyle w:val="Style22"/>
        <w:rPr/>
      </w:pPr>
      <w:r>
        <w:rPr/>
        <w:t>откажется от подписания Договора на условиях, определяемых в соответствии с пунктом </w:t>
      </w:r>
      <w:r>
        <w:rPr/>
        <w:fldChar w:fldCharType="begin"/>
      </w:r>
      <w:r>
        <w:rPr/>
        <w:instrText xml:space="preserve"> REF _Ref132288402 \r \h </w:instrText>
      </w:r>
      <w:r>
        <w:rPr/>
        <w:fldChar w:fldCharType="separate"/>
      </w:r>
      <w:r>
        <w:rPr/>
        <w:t>5.2.8</w:t>
      </w:r>
      <w:r>
        <w:rPr/>
        <w:fldChar w:fldCharType="end"/>
      </w:r>
      <w:r>
        <w:rPr/>
        <w:t>;</w:t>
      </w:r>
    </w:p>
    <w:p>
      <w:pPr>
        <w:pStyle w:val="Style22"/>
        <w:rPr/>
      </w:pPr>
      <w:r>
        <w:rP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r>
          <w:rPr>
            <w:rStyle w:val="Style11"/>
          </w:rPr>
          <w:t>Приложение № 5</w:t>
        </w:r>
      </w:hyperlink>
      <w:r>
        <w:rPr/>
        <w:t>), с приложением подтверждающих документов;</w:t>
      </w:r>
    </w:p>
    <w:p>
      <w:pPr>
        <w:pStyle w:val="Style22"/>
        <w:rPr/>
      </w:pPr>
      <w:r>
        <w:rPr/>
        <w:t xml:space="preserve">не предоставит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11"/>
          </w:rPr>
          <w:t>Приложением № 5</w:t>
        </w:r>
      </w:hyperlink>
      <w:r>
        <w:rPr/>
        <w:t>;</w:t>
      </w:r>
    </w:p>
    <w:p>
      <w:pPr>
        <w:pStyle w:val="Style22"/>
        <w:rPr/>
      </w:pPr>
      <w:r>
        <w:rPr/>
        <w:t xml:space="preserve">не предоставит копии документов, обязательных к предоставлению Победителем закупки в соответствии с требованиями </w:t>
      </w:r>
      <w:hyperlink w:anchor="Прил01_ТехТребования">
        <w:r>
          <w:rPr>
            <w:rStyle w:val="Style11"/>
          </w:rPr>
          <w:t>Приложения № 1 – Технические требования</w:t>
        </w:r>
      </w:hyperlink>
      <w:r>
        <w:rPr/>
        <w:t xml:space="preserve"> (в случае установления таковых);</w:t>
      </w:r>
    </w:p>
    <w:p>
      <w:pPr>
        <w:pStyle w:val="Style22"/>
        <w:rPr/>
      </w:pPr>
      <w:r>
        <w:rPr/>
        <w:t>не предоставит обеспечение исполнения договора до момента его заключения, если Документация о закупке предусматривает обеспечение исполнения договора с соответствующими обязательствами;</w:t>
      </w:r>
    </w:p>
    <w:p>
      <w:pPr>
        <w:pStyle w:val="Style22"/>
        <w:rPr/>
      </w:pPr>
      <w:r>
        <w:rPr/>
        <w:t>не выполнит другие условия, прямо предусмотренные Документацией о закупке,</w:t>
      </w:r>
    </w:p>
    <w:p>
      <w:pPr>
        <w:pStyle w:val="Style25"/>
        <w:ind w:left="1134" w:hanging="0"/>
        <w:rPr/>
      </w:pPr>
      <w:r>
        <w:rPr/>
        <w:t>то он (по истечению установленных в подразделе </w:t>
      </w:r>
      <w:r>
        <w:rPr/>
        <w:fldChar w:fldCharType="begin"/>
      </w:r>
      <w:r>
        <w:rPr/>
        <w:instrText xml:space="preserve"> REF _Ref138341423 \r \h </w:instrText>
      </w:r>
      <w:r>
        <w:rPr/>
        <w:fldChar w:fldCharType="separate"/>
      </w:r>
      <w:r>
        <w:rPr/>
        <w:t>5.2</w:t>
      </w:r>
      <w:r>
        <w:rPr/>
        <w:fldChar w:fldCharType="end"/>
      </w:r>
      <w:r>
        <w:rPr/>
        <w:t xml:space="preserve"> сроков на заключение Договора) признается уклонившимся от заключения Договора и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p>
      <w:pPr>
        <w:pStyle w:val="Style19"/>
        <w:rPr/>
      </w:pPr>
      <w:bookmarkStart w:id="232" w:name="_Ref125364088"/>
      <w:bookmarkStart w:id="233" w:name="_Ref125363016"/>
      <w:bookmarkStart w:id="234" w:name="_Ref125363023"/>
      <w:bookmarkStart w:id="235" w:name="_Ref125363034"/>
      <w:bookmarkStart w:id="236" w:name="_Ref125363600"/>
      <w:bookmarkStart w:id="237" w:name="_Ref125363752"/>
      <w:bookmarkStart w:id="238" w:name="_Ref125364201"/>
      <w:bookmarkStart w:id="239" w:name="_Ref125370732"/>
      <w:bookmarkStart w:id="240" w:name="_Ref125370741"/>
      <w:bookmarkStart w:id="241" w:name="_Ref125370746"/>
      <w:bookmarkStart w:id="242" w:name="_Ref125370750"/>
      <w:bookmarkStart w:id="243" w:name="_Ref125370843"/>
      <w:bookmarkStart w:id="244" w:name="Прил01_ТехТребования"/>
      <w:bookmarkStart w:id="245" w:name="_Toc188946948"/>
      <w:r>
        <w:rPr/>
        <w:t>Приложение № 1 – Технические требования</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pPr>
        <w:pStyle w:val="Style20"/>
        <w:rPr/>
      </w:pPr>
      <w:bookmarkStart w:id="246" w:name="_Toc188946949"/>
      <w:r>
        <w:rPr/>
        <w:t>Пояснения к Техническим требованиям</w:t>
      </w:r>
      <w:bookmarkEnd w:id="246"/>
    </w:p>
    <w:p>
      <w:pPr>
        <w:pStyle w:val="Style21"/>
        <w:rPr/>
      </w:pPr>
      <w:r>
        <w:rPr/>
        <w:t>Технические требования к закупаемой продукции приведены в отдельном файле (предоставляются отдельным документом в составе Документации о закупке), являющимся Приложением № 1 к Документации о закупке.</w:t>
      </w:r>
    </w:p>
    <w:p>
      <w:pPr>
        <w:pStyle w:val="Style19"/>
        <w:rPr/>
      </w:pPr>
      <w:bookmarkStart w:id="247" w:name="Прил02_ПроектДоговора"/>
      <w:bookmarkStart w:id="248" w:name="_Ref125361746"/>
      <w:bookmarkStart w:id="249" w:name="_Ref125363040"/>
      <w:bookmarkStart w:id="250" w:name="_Ref125363605"/>
      <w:bookmarkStart w:id="251" w:name="_Ref125363759"/>
      <w:bookmarkStart w:id="252" w:name="_Ref125364206"/>
      <w:bookmarkStart w:id="253" w:name="_Ref125364081"/>
      <w:bookmarkStart w:id="254" w:name="_Toc188946950"/>
      <w:bookmarkStart w:id="255" w:name="_Ref125370754"/>
      <w:r>
        <w:rPr/>
        <w:t>Приложение № 2 – Проект договора</w:t>
      </w:r>
      <w:bookmarkEnd w:id="247"/>
      <w:bookmarkEnd w:id="248"/>
      <w:bookmarkEnd w:id="249"/>
      <w:bookmarkEnd w:id="250"/>
      <w:bookmarkEnd w:id="251"/>
      <w:bookmarkEnd w:id="252"/>
      <w:bookmarkEnd w:id="253"/>
      <w:bookmarkEnd w:id="254"/>
      <w:bookmarkEnd w:id="255"/>
    </w:p>
    <w:p>
      <w:pPr>
        <w:pStyle w:val="Style20"/>
        <w:rPr/>
      </w:pPr>
      <w:bookmarkStart w:id="256" w:name="_Toc188946951"/>
      <w:r>
        <w:rPr/>
        <w:t>Пояснения к Проекту договора</w:t>
      </w:r>
      <w:bookmarkEnd w:id="256"/>
    </w:p>
    <w:p>
      <w:pPr>
        <w:pStyle w:val="Style21"/>
        <w:rPr/>
      </w:pPr>
      <w:r>
        <w:rPr/>
        <w:t>Проект договора, заключаемого по результатам закупки, приведен в отдельном файле (предоставляется отдельным документом в составе Документации о закупке), являющимся Приложением № 2 к Документации о закупке.</w:t>
      </w:r>
    </w:p>
    <w:p>
      <w:pPr>
        <w:pStyle w:val="Style21"/>
        <w:rPr/>
      </w:pPr>
      <w:r>
        <w:rPr/>
        <w:t>Все положения Проекта договора являются существенными условиями для Заказчика, за исключением пунктов договора, указанных в подразделе </w:t>
      </w:r>
      <w:r>
        <w:rPr/>
        <w:fldChar w:fldCharType="begin"/>
      </w:r>
      <w:r>
        <w:rPr/>
        <w:instrText xml:space="preserve"> REF _Ref132876309 \r \h </w:instrText>
      </w:r>
      <w:r>
        <w:rPr/>
        <w:fldChar w:fldCharType="separate"/>
      </w:r>
      <w:r>
        <w:rPr/>
        <w:t>1.2</w:t>
      </w:r>
      <w:r>
        <w:rPr/>
        <w:fldChar w:fldCharType="end"/>
      </w:r>
      <w:r>
        <w:rPr/>
        <w:t xml:space="preserve"> как «Некритичные пункты Проекта договора».</w:t>
      </w:r>
    </w:p>
    <w:p>
      <w:pPr>
        <w:pStyle w:val="Style21"/>
        <w:rPr/>
      </w:pPr>
      <w:r>
        <w:rPr/>
        <w:t>В соответствии с пунктом </w:t>
      </w:r>
      <w:r>
        <w:rPr/>
        <w:fldChar w:fldCharType="begin"/>
      </w:r>
      <w:r>
        <w:rPr/>
        <w:instrText xml:space="preserve"> REF _Ref49437111 \r \h </w:instrText>
      </w:r>
      <w:r>
        <w:rPr/>
        <w:fldChar w:fldCharType="separate"/>
      </w:r>
      <w:r>
        <w:rPr/>
        <w:t>5.2.11</w:t>
      </w:r>
      <w:r>
        <w:rPr/>
        <w:fldChar w:fldCharType="end"/>
      </w:r>
      <w:r>
        <w:rPr/>
        <w:t xml:space="preserve">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Если Стороны не придут к соглашению об этих изменениях, они будут обязаны подписать Договор на условиях, изложенных в Документации о закупке.</w:t>
      </w:r>
    </w:p>
    <w:p>
      <w:pPr>
        <w:pStyle w:val="Style21"/>
        <w:rPr/>
      </w:pPr>
      <w:r>
        <w:rPr/>
        <w:t>Одновременно с подписанием Сторонами Договора или не позднее 3 (трех) рабочих дней после подписания Договора, Сторонами должно быть подписано дополнительное соглашение, форма которого приведена в отдельном файле в формате Microsoft Word (предоставляется отдельным документом в составе Документации о закупке), касающееся вопросов подтверждения Участником информации о цепочке собственников, включая бенефициаров (в том числе конечных):</w:t>
      </w:r>
      <w:bookmarkStart w:id="257" w:name="_MON_1736255517"/>
      <w:bookmarkEnd w:id="257"/>
    </w:p>
    <w:p>
      <w:pPr>
        <w:sectPr>
          <w:headerReference w:type="default" r:id="rId17"/>
          <w:headerReference w:type="first" r:id="rId18"/>
          <w:footerReference w:type="default" r:id="rId19"/>
          <w:footerReference w:type="first" r:id="rId20"/>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Style w:val="Style25"/>
        <w:jc w:val="center"/>
        <w:rPr/>
      </w:pPr>
      <w:r>
        <w:rPr/>
        <w:object>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8.75pt;height:50.25pt;mso-wrap-distance-right:0pt" filled="f" o:ole="">
            <v:imagedata r:id="rId16" o:title=""/>
          </v:shape>
          <o:OLEObject Type="Embed" ProgID="Word.Document.12" ShapeID="ole_rId15" DrawAspect="Icon" ObjectID="_728090973" r:id="rId15"/>
        </w:object>
      </w:r>
    </w:p>
    <w:p>
      <w:pPr>
        <w:pStyle w:val="Style19"/>
        <w:rPr/>
      </w:pPr>
      <w:bookmarkStart w:id="258" w:name="_Toc188946952"/>
      <w:bookmarkStart w:id="259" w:name="Прил03_ТребованияУчастникам"/>
      <w:bookmarkStart w:id="260" w:name="_Ref125370013"/>
      <w:bookmarkStart w:id="261" w:name="_Ref125365476"/>
      <w:bookmarkStart w:id="262" w:name="_Ref125361908"/>
      <w:bookmarkStart w:id="263" w:name="_Ref125361494"/>
      <w:r>
        <w:rPr/>
        <w:t>Приложение № 3 – Требования к Участникам</w:t>
      </w:r>
      <w:bookmarkEnd w:id="258"/>
      <w:bookmarkEnd w:id="259"/>
      <w:bookmarkEnd w:id="260"/>
      <w:bookmarkEnd w:id="261"/>
      <w:bookmarkEnd w:id="262"/>
      <w:bookmarkEnd w:id="263"/>
    </w:p>
    <w:p>
      <w:pPr>
        <w:pStyle w:val="Style20"/>
        <w:rPr/>
      </w:pPr>
      <w:bookmarkStart w:id="264" w:name="_Toc188946953"/>
      <w:r>
        <w:rPr/>
        <w:t>Пояснения к требованиям к Участникам</w:t>
      </w:r>
      <w:bookmarkEnd w:id="264"/>
    </w:p>
    <w:p>
      <w:pPr>
        <w:pStyle w:val="Style21"/>
        <w:rPr/>
      </w:pPr>
      <w:bookmarkStart w:id="265" w:name="_Hlk125628168"/>
      <w:r>
        <w:rPr/>
        <w:t>Чтобы претендовать на победу в закупке и получение права заключить Договор с Заказчиком, Участник самостоятельно или Коллективный участник в целом должен отвечать нижеуказанным требованиям и включить в состав заявки документы, подтверждающие его соответствие установленным требованиям.</w:t>
      </w:r>
      <w:bookmarkEnd w:id="265"/>
    </w:p>
    <w:p>
      <w:pPr>
        <w:pStyle w:val="Style20"/>
        <w:spacing w:before="360" w:after="120"/>
        <w:rPr/>
      </w:pPr>
      <w:bookmarkStart w:id="266" w:name="_Ref125361435"/>
      <w:bookmarkStart w:id="267" w:name="_Ref125361590"/>
      <w:bookmarkStart w:id="268" w:name="_Ref125361617"/>
      <w:bookmarkStart w:id="269" w:name="_Ref125361832"/>
      <w:bookmarkStart w:id="270" w:name="_Ref125361846"/>
      <w:bookmarkStart w:id="271" w:name="_Ref125361926"/>
      <w:bookmarkStart w:id="272" w:name="_Ref125366879"/>
      <w:bookmarkStart w:id="273" w:name="_Ref125368895"/>
      <w:bookmarkStart w:id="274" w:name="_Ref125369088"/>
      <w:bookmarkStart w:id="275" w:name="_Ref125370058"/>
      <w:bookmarkStart w:id="276" w:name="_Ref125370064"/>
      <w:bookmarkStart w:id="277" w:name="_Ref125370071"/>
      <w:bookmarkStart w:id="278" w:name="_Toc188946954"/>
      <w:bookmarkStart w:id="279" w:name="_Ref125368812"/>
      <w:r>
        <w:rPr/>
        <w:t>Обязательные требования</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703"/>
        <w:gridCol w:w="6805"/>
        <w:gridCol w:w="7618"/>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w:t>
            </w:r>
            <w:r>
              <w:rPr>
                <w:rFonts w:eastAsia="Calibri" w:cs=""/>
                <w:b/>
                <w:kern w:val="0"/>
                <w:sz w:val="20"/>
                <w:szCs w:val="20"/>
                <w:lang w:val="ru-RU" w:eastAsia="en-US" w:bidi="ar-SA"/>
              </w:rPr>
              <w:br/>
              <w:t>п/п</w:t>
            </w:r>
          </w:p>
        </w:tc>
        <w:tc>
          <w:tcPr>
            <w:tcW w:w="6805"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Участнику</w:t>
            </w:r>
          </w:p>
        </w:tc>
        <w:tc>
          <w:tcPr>
            <w:tcW w:w="7618"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документам,</w:t>
              <w:br/>
              <w:t>подтверждающим соответствие Участника установленным требованиям</w:t>
            </w:r>
          </w:p>
        </w:tc>
      </w:tr>
      <w:tr>
        <w:trPr/>
        <w:tc>
          <w:tcPr>
            <w:tcW w:w="703" w:type="dxa"/>
            <w:tcBorders/>
          </w:tcPr>
          <w:p>
            <w:pPr>
              <w:pStyle w:val="Style25"/>
              <w:widowControl w:val="false"/>
              <w:numPr>
                <w:ilvl w:val="0"/>
                <w:numId w:val="2"/>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0" w:name="_Ref125552433"/>
            <w:bookmarkStart w:id="281" w:name="_Ref125552433"/>
            <w:bookmarkEnd w:id="281"/>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Участник должен обладать гражданской правоспособностью в полном объеме для заключения и исполнения Договора, а также должен обладать статусом «аккредитован» в соответствии с Положением об аккредитации, либо являться лицом, указанным в пункте 3.11 Положения об аккредитации:</w:t>
            </w:r>
          </w:p>
        </w:tc>
        <w:tc>
          <w:tcPr>
            <w:tcW w:w="7618" w:type="dxa"/>
            <w:tcBorders/>
          </w:tcPr>
          <w:p>
            <w:pPr>
              <w:pStyle w:val="Style25"/>
              <w:widowControl w:val="false"/>
              <w:numPr>
                <w:ilvl w:val="0"/>
                <w:numId w:val="12"/>
              </w:numPr>
              <w:suppressAutoHyphens w:val="true"/>
              <w:spacing w:before="60" w:after="60"/>
              <w:ind w:left="284" w:hanging="284"/>
              <w:rPr>
                <w:sz w:val="24"/>
                <w:szCs w:val="24"/>
              </w:rPr>
            </w:pPr>
            <w:r>
              <w:rPr>
                <w:rFonts w:eastAsia="Calibri" w:cs=""/>
                <w:kern w:val="0"/>
                <w:sz w:val="24"/>
                <w:szCs w:val="24"/>
                <w:lang w:val="ru-RU" w:eastAsia="en-US" w:bidi="ar-SA"/>
              </w:rPr>
              <w:t>В отношении гражданской правоспособности:</w:t>
            </w:r>
          </w:p>
          <w:p>
            <w:pPr>
              <w:pStyle w:val="Style25"/>
              <w:widowControl w:val="false"/>
              <w:numPr>
                <w:ilvl w:val="0"/>
                <w:numId w:val="13"/>
              </w:numPr>
              <w:suppressAutoHyphens w:val="true"/>
              <w:spacing w:before="60" w:after="60"/>
              <w:ind w:left="568" w:hanging="284"/>
              <w:rPr>
                <w:sz w:val="24"/>
                <w:szCs w:val="24"/>
              </w:rPr>
            </w:pPr>
            <w:r>
              <w:rPr>
                <w:rFonts w:eastAsia="Calibri" w:cs=""/>
                <w:kern w:val="0"/>
                <w:sz w:val="24"/>
                <w:szCs w:val="24"/>
                <w:lang w:val="ru-RU" w:eastAsia="en-US" w:bidi="ar-SA"/>
              </w:rPr>
              <w:t>если заявка подписывается лицом, действующим на основании доверенности, предоставляется электронный образ (файл в формате *.pdf) оригинала соответствующей доверенности либо ее нотариально заверенной копии (с указанием правомочий на подписание заявки);</w:t>
            </w:r>
          </w:p>
          <w:p>
            <w:pPr>
              <w:pStyle w:val="Style25"/>
              <w:widowControl w:val="false"/>
              <w:numPr>
                <w:ilvl w:val="0"/>
                <w:numId w:val="12"/>
              </w:numPr>
              <w:suppressAutoHyphens w:val="true"/>
              <w:spacing w:before="60" w:after="60"/>
              <w:ind w:left="284" w:hanging="284"/>
              <w:rPr>
                <w:sz w:val="24"/>
                <w:szCs w:val="24"/>
              </w:rPr>
            </w:pPr>
            <w:r>
              <w:rPr>
                <w:rFonts w:eastAsia="Calibri" w:cs=""/>
                <w:kern w:val="0"/>
                <w:sz w:val="24"/>
                <w:szCs w:val="24"/>
                <w:lang w:val="ru-RU" w:eastAsia="en-US" w:bidi="ar-SA"/>
              </w:rPr>
              <w:t>В отношении аккредитации:</w:t>
            </w:r>
          </w:p>
          <w:p>
            <w:pPr>
              <w:pStyle w:val="Style25"/>
              <w:widowControl w:val="false"/>
              <w:numPr>
                <w:ilvl w:val="0"/>
                <w:numId w:val="13"/>
              </w:numPr>
              <w:suppressAutoHyphens w:val="true"/>
              <w:spacing w:before="60" w:after="60"/>
              <w:ind w:left="568" w:hanging="284"/>
              <w:rPr>
                <w:sz w:val="24"/>
                <w:szCs w:val="24"/>
              </w:rPr>
            </w:pPr>
            <w:r>
              <w:rPr>
                <w:rFonts w:eastAsia="Calibri" w:cs=""/>
                <w:kern w:val="0"/>
                <w:sz w:val="24"/>
                <w:szCs w:val="24"/>
                <w:lang w:val="ru-RU" w:eastAsia="en-US" w:bidi="ar-SA"/>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отсутствии (с момента подачи им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предоставление Заявки на аккредитацию не требуется;</w:t>
            </w:r>
          </w:p>
          <w:p>
            <w:pPr>
              <w:pStyle w:val="Style25"/>
              <w:widowControl w:val="false"/>
              <w:numPr>
                <w:ilvl w:val="0"/>
                <w:numId w:val="13"/>
              </w:numPr>
              <w:suppressAutoHyphens w:val="true"/>
              <w:spacing w:before="60" w:after="60"/>
              <w:ind w:left="568" w:hanging="284"/>
              <w:rPr>
                <w:sz w:val="24"/>
                <w:szCs w:val="24"/>
              </w:rPr>
            </w:pPr>
            <w:r>
              <w:rPr>
                <w:rFonts w:eastAsia="Calibri" w:cs=""/>
                <w:kern w:val="0"/>
                <w:sz w:val="24"/>
                <w:szCs w:val="24"/>
                <w:lang w:val="ru-RU" w:eastAsia="en-US" w:bidi="ar-SA"/>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наличии (с момента подачи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декларация в составе Письма о подаче оферты (форма 2)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 и обновленная Заявка на аккредитацию по установленной в Документации о закупке форме (</w:t>
            </w:r>
            <w:hyperlink w:anchor="Прил10_ФормаЗаявкиНаАккредитацию">
              <w:r>
                <w:rPr>
                  <w:rStyle w:val="Style11"/>
                  <w:rFonts w:eastAsia="Calibri" w:cs=""/>
                  <w:kern w:val="0"/>
                  <w:sz w:val="24"/>
                  <w:szCs w:val="24"/>
                  <w:lang w:val="ru-RU" w:eastAsia="en-US" w:bidi="ar-SA"/>
                </w:rPr>
                <w:t>Приложение № 10</w:t>
              </w:r>
            </w:hyperlink>
            <w:r>
              <w:rPr>
                <w:rFonts w:eastAsia="Calibri" w:cs=""/>
                <w:kern w:val="0"/>
                <w:sz w:val="24"/>
                <w:szCs w:val="24"/>
                <w:lang w:val="ru-RU" w:eastAsia="en-US" w:bidi="ar-SA"/>
              </w:rPr>
              <w:t>);</w:t>
            </w:r>
          </w:p>
          <w:p>
            <w:pPr>
              <w:pStyle w:val="Style25"/>
              <w:widowControl w:val="false"/>
              <w:numPr>
                <w:ilvl w:val="0"/>
                <w:numId w:val="13"/>
              </w:numPr>
              <w:suppressAutoHyphens w:val="true"/>
              <w:spacing w:before="60" w:after="60"/>
              <w:ind w:left="568" w:hanging="284"/>
              <w:rPr>
                <w:sz w:val="24"/>
                <w:szCs w:val="24"/>
              </w:rPr>
            </w:pPr>
            <w:r>
              <w:rPr>
                <w:rFonts w:eastAsia="Calibri" w:cs=""/>
                <w:kern w:val="0"/>
                <w:sz w:val="24"/>
                <w:szCs w:val="24"/>
                <w:lang w:val="ru-RU" w:eastAsia="en-US" w:bidi="ar-SA"/>
              </w:rPr>
              <w:t>при отсутствии у Участника на момент подачи заявки статуса «аккредитован» (при условии, что Участник ранее направил Заявку на 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 – декларация в составе Письма о подаче оферты (форма 2)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p>
            <w:pPr>
              <w:pStyle w:val="Style25"/>
              <w:widowControl w:val="false"/>
              <w:numPr>
                <w:ilvl w:val="0"/>
                <w:numId w:val="13"/>
              </w:numPr>
              <w:suppressAutoHyphens w:val="true"/>
              <w:spacing w:before="60" w:after="60"/>
              <w:ind w:left="568" w:hanging="284"/>
              <w:rPr>
                <w:sz w:val="24"/>
                <w:szCs w:val="24"/>
              </w:rPr>
            </w:pPr>
            <w:r>
              <w:rPr>
                <w:rFonts w:eastAsia="Calibri" w:cs=""/>
                <w:kern w:val="0"/>
                <w:sz w:val="24"/>
                <w:szCs w:val="24"/>
                <w:lang w:val="ru-RU" w:eastAsia="en-US" w:bidi="ar-SA"/>
              </w:rPr>
              <w:t>при отсутствии у Участника на момент подачи заявки статуса «аккредитован» (не проходил ранее процедуру аккредитации) или наличия у Участника статуса «не аккредитован» (по результатам ранее пройденной процедуры аккредитации), а также для лиц, указанных в пункте 3.11 Положения об аккредитации (аккредитация не требуется), но которые ранее не направляли соответствующие сведения для включения записи в Реестр аккредитации – Заявка на аккредитацию по установленной в Документации о закупке форме (</w:t>
            </w:r>
            <w:hyperlink w:anchor="Прил10_ФормаЗаявкиНаАккредитацию">
              <w:r>
                <w:rPr>
                  <w:rStyle w:val="Style11"/>
                  <w:rFonts w:eastAsia="Calibri" w:cs=""/>
                  <w:kern w:val="0"/>
                  <w:sz w:val="24"/>
                  <w:szCs w:val="24"/>
                  <w:lang w:val="ru-RU" w:eastAsia="en-US" w:bidi="ar-SA"/>
                </w:rPr>
                <w:t>Приложение № 10</w:t>
              </w:r>
            </w:hyperlink>
            <w:r>
              <w:rPr>
                <w:rFonts w:eastAsia="Calibri" w:cs=""/>
                <w:kern w:val="0"/>
                <w:sz w:val="24"/>
                <w:szCs w:val="24"/>
                <w:lang w:val="ru-RU" w:eastAsia="en-US" w:bidi="ar-SA"/>
              </w:rPr>
              <w:t>).</w:t>
            </w:r>
          </w:p>
          <w:p>
            <w:pPr>
              <w:pStyle w:val="Style25"/>
              <w:widowControl w:val="false"/>
              <w:suppressAutoHyphens w:val="true"/>
              <w:spacing w:before="60" w:after="60"/>
              <w:ind w:left="284" w:hanging="0"/>
              <w:rPr>
                <w:sz w:val="24"/>
                <w:szCs w:val="24"/>
              </w:rPr>
            </w:pPr>
            <w:r>
              <w:rPr>
                <w:rFonts w:eastAsia="Calibri" w:cs=""/>
                <w:kern w:val="0"/>
                <w:sz w:val="24"/>
                <w:szCs w:val="24"/>
                <w:lang w:val="ru-RU" w:eastAsia="en-US" w:bidi="ar-SA"/>
              </w:rPr>
              <w:t>В случае заинтересованности Участника в дополнительной оценке его финансового состояния, при условии отсутствия опубликованной в государственном информационном ресурсе бухгалтерской (финансовой) отчетности организаций (https://bo.nalog.ru), к Заявке на аккредитацию также прилагается электронная копия бухгалтерского баланса (ОКУД 0710001) и отчета о финансовых результатах (ОКУД 0710002) за последний завершенный финансовый год, с отметкой налогового органа о приеме или с приложением квитанции о приеме и (или) извещения о вводе сведений налоговым органом. Указанные документы не являются обязательными к подаче в рамках процедуры аккредитации и предоставляются по желанию Участника.</w:t>
            </w:r>
          </w:p>
        </w:tc>
      </w:tr>
      <w:tr>
        <w:trPr/>
        <w:tc>
          <w:tcPr>
            <w:tcW w:w="703" w:type="dxa"/>
            <w:tcBorders/>
          </w:tcPr>
          <w:p>
            <w:pPr>
              <w:pStyle w:val="Style25"/>
              <w:widowControl w:val="false"/>
              <w:numPr>
                <w:ilvl w:val="0"/>
                <w:numId w:val="2"/>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2" w:name="_Ref132893662"/>
            <w:bookmarkStart w:id="283" w:name="_Ref132893662"/>
            <w:bookmarkEnd w:id="283"/>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Участник должен являться субъектом МСП, или физическим лицом, не являющимся индивидуальным предпринимателем и применяющим специальный налоговый режим «Налог на профессиональный доход»:</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Декларация о соответствии Участника данному требованию в составе в составе Письма о подаче оферты (форма 2)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p>
            <w:pPr>
              <w:pStyle w:val="Style25"/>
              <w:widowControl w:val="false"/>
              <w:suppressAutoHyphens w:val="true"/>
              <w:spacing w:before="60" w:after="60"/>
              <w:rPr>
                <w:sz w:val="24"/>
                <w:szCs w:val="24"/>
              </w:rPr>
            </w:pPr>
            <w:r>
              <w:rPr>
                <w:rFonts w:eastAsia="Calibri" w:cs=""/>
                <w:i/>
                <w:iCs/>
                <w:kern w:val="0"/>
                <w:sz w:val="24"/>
                <w:szCs w:val="24"/>
                <w:lang w:val="ru-RU" w:eastAsia="en-US" w:bidi="ar-SA"/>
              </w:rPr>
              <w:t>(В рамках рассмотрения заявок Организатор проверяет наличие информации об Участнике в Реестре МСП,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trPr/>
        <w:tc>
          <w:tcPr>
            <w:tcW w:w="703" w:type="dxa"/>
            <w:tcBorders/>
          </w:tcPr>
          <w:p>
            <w:pPr>
              <w:pStyle w:val="Style25"/>
              <w:widowControl w:val="false"/>
              <w:numPr>
                <w:ilvl w:val="0"/>
                <w:numId w:val="2"/>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4" w:name="_Ref139029906"/>
            <w:bookmarkStart w:id="285" w:name="_Ref139029906"/>
            <w:bookmarkEnd w:id="285"/>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Сведения об Участнике должны отсутствовать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w:t>
            </w:r>
            <w:r>
              <w:rPr>
                <w:rStyle w:val="FootnoteReference"/>
                <w:rFonts w:eastAsia="Calibri" w:cs=""/>
                <w:kern w:val="0"/>
                <w:sz w:val="24"/>
                <w:szCs w:val="24"/>
                <w:lang w:val="ru-RU" w:eastAsia="en-US" w:bidi="ar-SA"/>
              </w:rPr>
              <w:footnoteReference w:id="13"/>
            </w:r>
            <w:r>
              <w:rPr>
                <w:rFonts w:eastAsia="Calibri" w:cs=""/>
                <w:kern w:val="0"/>
                <w:sz w:val="24"/>
                <w:szCs w:val="24"/>
                <w:lang w:val="ru-RU" w:eastAsia="en-US" w:bidi="ar-SA"/>
              </w:rPr>
              <w:t>, а также Участник не должен являться подконтрольной организацией данных юридических лиц</w:t>
            </w:r>
            <w:r>
              <w:rPr>
                <w:rStyle w:val="FootnoteReference"/>
                <w:rFonts w:eastAsia="Calibri" w:cs=""/>
                <w:kern w:val="0"/>
                <w:sz w:val="24"/>
                <w:szCs w:val="24"/>
                <w:lang w:val="ru-RU" w:eastAsia="en-US" w:bidi="ar-SA"/>
              </w:rPr>
              <w:footnoteReference w:id="14"/>
            </w:r>
            <w:r>
              <w:rPr>
                <w:rFonts w:eastAsia="Calibri" w:cs=""/>
                <w:kern w:val="0"/>
                <w:sz w:val="24"/>
                <w:szCs w:val="24"/>
                <w:lang w:val="ru-RU" w:eastAsia="en-US" w:bidi="ar-SA"/>
              </w:rPr>
              <w:t>:</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Предоставление документов не требуется.</w:t>
            </w:r>
          </w:p>
          <w:p>
            <w:pPr>
              <w:pStyle w:val="Style25"/>
              <w:widowControl w:val="false"/>
              <w:suppressAutoHyphens w:val="true"/>
              <w:spacing w:before="60" w:after="60"/>
              <w:rPr>
                <w:i/>
                <w:i/>
                <w:iCs/>
                <w:sz w:val="24"/>
                <w:szCs w:val="24"/>
              </w:rPr>
            </w:pPr>
            <w:r>
              <w:rPr>
                <w:rFonts w:eastAsia="Calibri" w:cs=""/>
                <w:i/>
                <w:iCs/>
                <w:kern w:val="0"/>
                <w:sz w:val="24"/>
                <w:szCs w:val="24"/>
                <w:lang w:val="ru-RU" w:eastAsia="en-US" w:bidi="ar-SA"/>
              </w:rPr>
              <w:t>(В рамках рассмотрения заявок и (или) перед заключением договора 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«О мерах по реализации Указа Президента Российской Федерации от 3 мая 2022 г. N 252».)</w:t>
            </w:r>
          </w:p>
        </w:tc>
      </w:tr>
      <w:tr>
        <w:trPr/>
        <w:tc>
          <w:tcPr>
            <w:tcW w:w="703" w:type="dxa"/>
            <w:tcBorders/>
          </w:tcPr>
          <w:p>
            <w:pPr>
              <w:pStyle w:val="Style25"/>
              <w:widowControl w:val="false"/>
              <w:numPr>
                <w:ilvl w:val="0"/>
                <w:numId w:val="2"/>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6" w:name="_Ref186184202"/>
            <w:bookmarkStart w:id="287" w:name="_Ref186184202"/>
            <w:bookmarkEnd w:id="287"/>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Если в подразделе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_Ref125359973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1.2</w:t>
            </w:r>
            <w:r>
              <w:rPr>
                <w:sz w:val="24"/>
                <w:kern w:val="0"/>
                <w:szCs w:val="24"/>
                <w:rFonts w:eastAsia="Calibri" w:cs=""/>
                <w:lang w:val="ru-RU" w:eastAsia="en-US" w:bidi="ar-SA"/>
              </w:rPr>
              <w:fldChar w:fldCharType="end"/>
            </w:r>
            <w:r>
              <w:rPr>
                <w:rFonts w:eastAsia="Calibri" w:cs=""/>
                <w:kern w:val="0"/>
                <w:sz w:val="24"/>
                <w:szCs w:val="24"/>
                <w:lang w:val="ru-RU" w:eastAsia="en-US" w:bidi="ar-SA"/>
              </w:rPr>
              <w:t xml:space="preserve"> установлен режим запрета закупки иностранной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должен быть российским лицом:</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Декларация о соответствии Участника данному требованию в составе Письма о подаче оферты (форма 2)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p>
            <w:pPr>
              <w:pStyle w:val="Style25"/>
              <w:widowControl w:val="false"/>
              <w:suppressAutoHyphens w:val="true"/>
              <w:spacing w:before="60" w:after="60"/>
              <w:rPr>
                <w:i/>
                <w:i/>
                <w:iCs/>
                <w:sz w:val="24"/>
                <w:szCs w:val="24"/>
              </w:rPr>
            </w:pPr>
            <w:r>
              <w:rPr>
                <w:rFonts w:eastAsia="Calibri" w:cs=""/>
                <w:i/>
                <w:iCs/>
                <w:kern w:val="0"/>
                <w:sz w:val="24"/>
                <w:szCs w:val="24"/>
                <w:lang w:val="ru-RU" w:eastAsia="en-US" w:bidi="ar-SA"/>
              </w:rPr>
              <w:t>(В рамках рассмотрения заявок Организатор на основании результатов аккредитации проверяет на соответствие данному требованию.)</w:t>
            </w:r>
          </w:p>
        </w:tc>
      </w:tr>
      <w:tr>
        <w:trPr/>
        <w:tc>
          <w:tcPr>
            <w:tcW w:w="703" w:type="dxa"/>
            <w:tcBorders/>
          </w:tcPr>
          <w:p>
            <w:pPr>
              <w:pStyle w:val="Style25"/>
              <w:widowControl w:val="false"/>
              <w:numPr>
                <w:ilvl w:val="0"/>
                <w:numId w:val="2"/>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8" w:name="_Ref186184207"/>
            <w:bookmarkStart w:id="289" w:name="_Ref186184207"/>
            <w:bookmarkEnd w:id="289"/>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Если в подразделе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_Ref125359973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1.2</w:t>
            </w:r>
            <w:r>
              <w:rPr>
                <w:sz w:val="24"/>
                <w:kern w:val="0"/>
                <w:szCs w:val="24"/>
                <w:rFonts w:eastAsia="Calibri" w:cs=""/>
                <w:lang w:val="ru-RU" w:eastAsia="en-US" w:bidi="ar-SA"/>
              </w:rPr>
              <w:fldChar w:fldCharType="end"/>
            </w:r>
            <w:r>
              <w:rPr>
                <w:rFonts w:eastAsia="Calibri" w:cs=""/>
                <w:kern w:val="0"/>
                <w:sz w:val="24"/>
                <w:szCs w:val="24"/>
                <w:lang w:val="ru-RU" w:eastAsia="en-US" w:bidi="ar-SA"/>
              </w:rPr>
              <w:t xml:space="preserve"> установлен режим ограничения закупки иностранной продукции или режим преимущества российской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должен указать свою принадлежность – Участник является иностранным лицом или российским лицом:</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Декларация о соответствии Участника данному требованию в составе Письма о подаче оферты (форма 2)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p>
            <w:pPr>
              <w:pStyle w:val="Style25"/>
              <w:widowControl w:val="false"/>
              <w:suppressAutoHyphens w:val="true"/>
              <w:spacing w:before="60" w:after="60"/>
              <w:rPr>
                <w:i/>
                <w:i/>
                <w:iCs/>
                <w:sz w:val="24"/>
                <w:szCs w:val="24"/>
              </w:rPr>
            </w:pPr>
            <w:r>
              <w:rPr>
                <w:rFonts w:eastAsia="Calibri" w:cs=""/>
                <w:i/>
                <w:iCs/>
                <w:kern w:val="0"/>
                <w:sz w:val="24"/>
                <w:szCs w:val="24"/>
                <w:lang w:val="ru-RU" w:eastAsia="en-US" w:bidi="ar-SA"/>
              </w:rPr>
              <w:t>(В рамках рассмотрения заявок Организатор на основании результатов аккредитации проверяет на соответствие данному требованию.)</w:t>
            </w:r>
          </w:p>
        </w:tc>
      </w:tr>
    </w:tbl>
    <w:p>
      <w:pPr>
        <w:pStyle w:val="Style20"/>
        <w:spacing w:before="360" w:after="120"/>
        <w:rPr/>
      </w:pPr>
      <w:bookmarkStart w:id="290" w:name="_Ref125361442"/>
      <w:bookmarkStart w:id="291" w:name="_Ref125361633"/>
      <w:bookmarkStart w:id="292" w:name="_Ref125361671"/>
      <w:bookmarkStart w:id="293" w:name="_Ref125361869"/>
      <w:bookmarkStart w:id="294" w:name="_Ref125361937"/>
      <w:bookmarkStart w:id="295" w:name="_Ref125365459"/>
      <w:bookmarkStart w:id="296" w:name="_Ref125369099"/>
      <w:bookmarkStart w:id="297" w:name="_Ref125367521"/>
      <w:bookmarkStart w:id="298" w:name="_Ref125367539"/>
      <w:bookmarkStart w:id="299" w:name="_Ref125368901"/>
      <w:bookmarkStart w:id="300" w:name="_Ref125368818"/>
      <w:bookmarkStart w:id="301" w:name="_Toc188946955"/>
      <w:bookmarkStart w:id="302" w:name="_Ref125709888"/>
      <w:bookmarkStart w:id="303" w:name="_Ref125709401"/>
      <w:bookmarkStart w:id="304" w:name="_Ref125709153"/>
      <w:bookmarkStart w:id="305" w:name="_Ref125370079"/>
      <w:bookmarkStart w:id="306" w:name="_Ref125368916"/>
      <w:bookmarkStart w:id="307" w:name="_Ref125709250"/>
      <w:r>
        <w:rPr/>
        <w:t>Специальные требования</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703"/>
        <w:gridCol w:w="6805"/>
        <w:gridCol w:w="7618"/>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w:t>
            </w:r>
            <w:r>
              <w:rPr>
                <w:rFonts w:eastAsia="Calibri" w:cs=""/>
                <w:b/>
                <w:kern w:val="0"/>
                <w:sz w:val="20"/>
                <w:szCs w:val="20"/>
                <w:lang w:val="ru-RU" w:eastAsia="en-US" w:bidi="ar-SA"/>
              </w:rPr>
              <w:br/>
              <w:t>п/п</w:t>
            </w:r>
          </w:p>
        </w:tc>
        <w:tc>
          <w:tcPr>
            <w:tcW w:w="6805"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Участнику</w:t>
            </w:r>
          </w:p>
        </w:tc>
        <w:tc>
          <w:tcPr>
            <w:tcW w:w="7618"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документам,</w:t>
              <w:br/>
              <w:t>подтверждающим соответствие Участника установленным требованиям</w:t>
            </w:r>
          </w:p>
        </w:tc>
      </w:tr>
      <w:tr>
        <w:trPr/>
        <w:tc>
          <w:tcPr>
            <w:tcW w:w="703" w:type="dxa"/>
            <w:tcBorders/>
          </w:tcPr>
          <w:p>
            <w:pPr>
              <w:pStyle w:val="Style25"/>
              <w:widowControl w:val="false"/>
              <w:numPr>
                <w:ilvl w:val="0"/>
                <w:numId w:val="3"/>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6805" w:type="dxa"/>
            <w:tcBorders/>
          </w:tcPr>
          <w:p>
            <w:pPr>
              <w:pStyle w:val="Normal"/>
              <w:widowControl w:val="false"/>
              <w:suppressAutoHyphens w:val="true"/>
              <w:spacing w:before="60" w:after="60"/>
              <w:jc w:val="center"/>
              <w:rPr>
                <w:sz w:val="22"/>
              </w:rPr>
            </w:pPr>
            <w:r>
              <w:rPr>
                <w:rFonts w:eastAsia="Calibri" w:cs=""/>
                <w:kern w:val="0"/>
                <w:sz w:val="22"/>
                <w:szCs w:val="22"/>
                <w:lang w:val="ru-RU" w:eastAsia="en-US" w:bidi="ar-SA"/>
              </w:rPr>
              <w:t>Специальные требования не установлены</w:t>
            </w:r>
          </w:p>
        </w:tc>
        <w:tc>
          <w:tcPr>
            <w:tcW w:w="7618" w:type="dxa"/>
            <w:tcBorders/>
          </w:tcPr>
          <w:p>
            <w:pPr>
              <w:pStyle w:val="Style25"/>
              <w:widowControl w:val="false"/>
              <w:suppressAutoHyphens w:val="true"/>
              <w:spacing w:before="60" w:after="60"/>
              <w:jc w:val="center"/>
              <w:rPr>
                <w:sz w:val="24"/>
                <w:szCs w:val="24"/>
              </w:rPr>
            </w:pPr>
            <w:r>
              <w:rPr>
                <w:rFonts w:eastAsia="Calibri" w:cs=""/>
                <w:kern w:val="0"/>
                <w:sz w:val="22"/>
                <w:szCs w:val="22"/>
                <w:lang w:val="ru-RU" w:eastAsia="en-US" w:bidi="ar-SA"/>
              </w:rPr>
              <w:t>Специальные требования не установлены</w:t>
            </w:r>
          </w:p>
        </w:tc>
      </w:tr>
    </w:tbl>
    <w:p>
      <w:pPr>
        <w:pStyle w:val="Style20"/>
        <w:spacing w:before="360" w:after="120"/>
        <w:rPr/>
      </w:pPr>
      <w:bookmarkStart w:id="308" w:name="_Ref125370145"/>
      <w:bookmarkStart w:id="309" w:name="_Ref125361531"/>
      <w:bookmarkStart w:id="310" w:name="_Ref125369111"/>
      <w:bookmarkStart w:id="311" w:name="_Ref125370085"/>
      <w:bookmarkStart w:id="312" w:name="_Ref125370151"/>
      <w:bookmarkStart w:id="313" w:name="_Ref125552455"/>
      <w:bookmarkStart w:id="314" w:name="_Ref125553500"/>
      <w:bookmarkStart w:id="315" w:name="_Ref125553692"/>
      <w:bookmarkStart w:id="316" w:name="_Ref125553703"/>
      <w:bookmarkStart w:id="317" w:name="_Ref125709228"/>
      <w:bookmarkStart w:id="318" w:name="_Toc188946956"/>
      <w:r>
        <w:rPr/>
        <w:t>Дополнительные требования к Коллективным участникам</w:t>
      </w:r>
      <w:bookmarkEnd w:id="308"/>
      <w:bookmarkEnd w:id="309"/>
      <w:bookmarkEnd w:id="310"/>
      <w:bookmarkEnd w:id="311"/>
      <w:bookmarkEnd w:id="312"/>
      <w:bookmarkEnd w:id="313"/>
      <w:bookmarkEnd w:id="314"/>
      <w:bookmarkEnd w:id="315"/>
      <w:bookmarkEnd w:id="316"/>
      <w:bookmarkEnd w:id="317"/>
      <w:bookmarkEnd w:id="318"/>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703"/>
        <w:gridCol w:w="7796"/>
        <w:gridCol w:w="6627"/>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w:t>
            </w:r>
            <w:r>
              <w:rPr>
                <w:rFonts w:eastAsia="Calibri" w:cs=""/>
                <w:b/>
                <w:kern w:val="0"/>
                <w:sz w:val="20"/>
                <w:szCs w:val="20"/>
                <w:lang w:val="ru-RU" w:eastAsia="en-US" w:bidi="ar-SA"/>
              </w:rPr>
              <w:br/>
              <w:t>п/п</w:t>
            </w:r>
          </w:p>
        </w:tc>
        <w:tc>
          <w:tcPr>
            <w:tcW w:w="7796"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Коллективному участнику</w:t>
            </w:r>
          </w:p>
        </w:tc>
        <w:tc>
          <w:tcPr>
            <w:tcW w:w="6627"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документам, подтверждающим соответствие</w:t>
              <w:br/>
              <w:t>Коллективного участника установленным требованиям</w:t>
            </w:r>
          </w:p>
        </w:tc>
      </w:tr>
      <w:tr>
        <w:trPr/>
        <w:tc>
          <w:tcPr>
            <w:tcW w:w="703" w:type="dxa"/>
            <w:tcBorders/>
          </w:tcPr>
          <w:p>
            <w:pPr>
              <w:pStyle w:val="Style25"/>
              <w:widowControl w:val="false"/>
              <w:numPr>
                <w:ilvl w:val="0"/>
                <w:numId w:val="4"/>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19" w:name="_Ref125553738"/>
            <w:bookmarkStart w:id="320" w:name="_Ref125553738"/>
            <w:bookmarkEnd w:id="320"/>
          </w:p>
        </w:tc>
        <w:tc>
          <w:tcPr>
            <w:tcW w:w="7796"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Заявка Коллективного участника дополнительно должна включать сведения о распределении объемов поставки продукции между членами Коллективного участника:</w:t>
            </w:r>
          </w:p>
        </w:tc>
        <w:tc>
          <w:tcPr>
            <w:tcW w:w="6627"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Техническое предложение (форма 4)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 содержащие План распределения объемов поставки продукции;</w:t>
            </w:r>
          </w:p>
        </w:tc>
      </w:tr>
      <w:tr>
        <w:trPr/>
        <w:tc>
          <w:tcPr>
            <w:tcW w:w="703" w:type="dxa"/>
            <w:tcBorders/>
          </w:tcPr>
          <w:p>
            <w:pPr>
              <w:pStyle w:val="Style25"/>
              <w:widowControl w:val="false"/>
              <w:numPr>
                <w:ilvl w:val="0"/>
                <w:numId w:val="4"/>
              </w:numPr>
              <w:suppressAutoHyphens w:val="true"/>
              <w:spacing w:before="60" w:after="60"/>
              <w:ind w:left="284"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1" w:name="_Ref125370162"/>
            <w:bookmarkStart w:id="322" w:name="_Ref125370162"/>
            <w:bookmarkEnd w:id="322"/>
          </w:p>
        </w:tc>
        <w:tc>
          <w:tcPr>
            <w:tcW w:w="7796"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Соответствие каждого члена Коллективного участника установленным требованиям (с учетом пунктов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_Ref125368791 \w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3.2.5</w:t>
            </w:r>
            <w:r>
              <w:rPr>
                <w:sz w:val="24"/>
                <w:kern w:val="0"/>
                <w:szCs w:val="24"/>
                <w:rFonts w:eastAsia="Calibri" w:cs=""/>
                <w:lang w:val="ru-RU" w:eastAsia="en-US" w:bidi="ar-SA"/>
              </w:rPr>
              <w:fldChar w:fldCharType="end"/>
            </w:r>
            <w:r>
              <w:rPr>
                <w:rFonts w:eastAsia="Calibri" w:cs=""/>
                <w:kern w:val="0"/>
                <w:sz w:val="24"/>
                <w:szCs w:val="24"/>
                <w:lang w:val="ru-RU" w:eastAsia="en-US" w:bidi="ar-SA"/>
              </w:rPr>
              <w:t xml:space="preserve"> –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_Ref149654740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3.2.6</w:t>
            </w:r>
            <w:r>
              <w:rPr>
                <w:sz w:val="24"/>
                <w:kern w:val="0"/>
                <w:szCs w:val="24"/>
                <w:rFonts w:eastAsia="Calibri" w:cs=""/>
                <w:lang w:val="ru-RU" w:eastAsia="en-US" w:bidi="ar-SA"/>
              </w:rPr>
              <w:fldChar w:fldCharType="end"/>
            </w:r>
            <w:r>
              <w:rPr>
                <w:rFonts w:eastAsia="Calibri" w:cs=""/>
                <w:kern w:val="0"/>
                <w:sz w:val="24"/>
                <w:szCs w:val="24"/>
                <w:lang w:val="ru-RU" w:eastAsia="en-US" w:bidi="ar-SA"/>
              </w:rPr>
              <w:t>) в том числе с учетом объема поставки продукции, который ему предполагается поручить в соответствии с Планом распределения объемов поставки продукции, представленным внутри Технических требованиях (форма 4)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tc>
        <w:tc>
          <w:tcPr>
            <w:tcW w:w="6627"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Сведения и документы, аналогичные установленным в подразделах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_Ref125361435 \w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8.2</w:t>
            </w:r>
            <w:r>
              <w:rPr>
                <w:sz w:val="24"/>
                <w:kern w:val="0"/>
                <w:szCs w:val="24"/>
                <w:rFonts w:eastAsia="Calibri" w:cs=""/>
                <w:lang w:val="ru-RU" w:eastAsia="en-US" w:bidi="ar-SA"/>
              </w:rPr>
              <w:fldChar w:fldCharType="end"/>
            </w:r>
            <w:r>
              <w:rPr>
                <w:rFonts w:eastAsia="Calibri" w:cs=""/>
                <w:kern w:val="0"/>
                <w:sz w:val="24"/>
                <w:szCs w:val="24"/>
                <w:lang w:val="ru-RU" w:eastAsia="en-US" w:bidi="ar-SA"/>
              </w:rPr>
              <w:t> –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_Ref125361442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8.3</w:t>
            </w:r>
            <w:r>
              <w:rPr>
                <w:sz w:val="24"/>
                <w:kern w:val="0"/>
                <w:szCs w:val="24"/>
                <w:rFonts w:eastAsia="Calibri" w:cs=""/>
                <w:lang w:val="ru-RU" w:eastAsia="en-US" w:bidi="ar-SA"/>
              </w:rPr>
              <w:fldChar w:fldCharType="end"/>
            </w:r>
            <w:r>
              <w:rPr>
                <w:rFonts w:eastAsia="Calibri" w:cs=""/>
                <w:kern w:val="0"/>
                <w:sz w:val="24"/>
                <w:szCs w:val="24"/>
                <w:lang w:val="ru-RU" w:eastAsia="en-US" w:bidi="ar-SA"/>
              </w:rPr>
              <w:t>, в отношении каждого члена Коллективного участника, подтверждающие его соответствие данным требованиям.</w:t>
            </w:r>
          </w:p>
        </w:tc>
      </w:tr>
    </w:tbl>
    <w:p>
      <w:pPr>
        <w:pStyle w:val="Style20"/>
        <w:spacing w:before="360" w:after="120"/>
        <w:rPr/>
      </w:pPr>
      <w:bookmarkStart w:id="323" w:name="_Ref125709777"/>
      <w:bookmarkStart w:id="324" w:name="_Ref125361823"/>
      <w:bookmarkStart w:id="325" w:name="_Ref125362031"/>
      <w:bookmarkStart w:id="326" w:name="_Ref125369117"/>
      <w:bookmarkStart w:id="327" w:name="_Ref125370173"/>
      <w:bookmarkStart w:id="328" w:name="_Ref125370209"/>
      <w:bookmarkStart w:id="329" w:name="_Ref125709973"/>
      <w:bookmarkStart w:id="330" w:name="_Toc188946957"/>
      <w:bookmarkStart w:id="331" w:name="_Ref125370180"/>
      <w:r>
        <w:rPr/>
        <w:t>Дополнительные требования к Генеральным подрядчикам</w:t>
      </w:r>
      <w:bookmarkEnd w:id="323"/>
      <w:bookmarkEnd w:id="324"/>
      <w:bookmarkEnd w:id="325"/>
      <w:bookmarkEnd w:id="326"/>
      <w:bookmarkEnd w:id="327"/>
      <w:bookmarkEnd w:id="328"/>
      <w:bookmarkEnd w:id="329"/>
      <w:bookmarkEnd w:id="330"/>
      <w:bookmarkEnd w:id="331"/>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703"/>
        <w:gridCol w:w="6805"/>
        <w:gridCol w:w="7618"/>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w:t>
            </w:r>
            <w:r>
              <w:rPr>
                <w:rFonts w:eastAsia="Calibri" w:cs=""/>
                <w:b/>
                <w:kern w:val="0"/>
                <w:sz w:val="20"/>
                <w:szCs w:val="20"/>
                <w:lang w:val="ru-RU" w:eastAsia="en-US" w:bidi="ar-SA"/>
              </w:rPr>
              <w:br/>
              <w:t>п/п</w:t>
            </w:r>
          </w:p>
        </w:tc>
        <w:tc>
          <w:tcPr>
            <w:tcW w:w="6805"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Генеральному подрядчику</w:t>
            </w:r>
          </w:p>
        </w:tc>
        <w:tc>
          <w:tcPr>
            <w:tcW w:w="7618" w:type="dxa"/>
            <w:tcBorders/>
          </w:tcPr>
          <w:p>
            <w:pPr>
              <w:pStyle w:val="Style25"/>
              <w:keepNext w:val="fals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Требования к документам, подтверждающим соответствие</w:t>
              <w:br/>
              <w:t>Генерального подрядчика установленным требованиям</w:t>
            </w:r>
          </w:p>
        </w:tc>
      </w:tr>
      <w:tr>
        <w:trPr/>
        <w:tc>
          <w:tcPr>
            <w:tcW w:w="703" w:type="dxa"/>
            <w:tcBorders/>
          </w:tcPr>
          <w:p>
            <w:pPr>
              <w:pStyle w:val="Style25"/>
              <w:widowControl w:val="false"/>
              <w:numPr>
                <w:ilvl w:val="0"/>
                <w:numId w:val="5"/>
              </w:numPr>
              <w:suppressAutoHyphens w:val="true"/>
              <w:spacing w:before="60" w:after="60"/>
              <w:ind w:left="284" w:hanging="0"/>
              <w:jc w:val="center"/>
              <w:rPr>
                <w:sz w:val="24"/>
                <w:szCs w:val="24"/>
              </w:rPr>
            </w:pPr>
            <w:r>
              <w:rPr>
                <w:sz w:val="24"/>
                <w:szCs w:val="24"/>
              </w:rPr>
            </w:r>
            <w:bookmarkStart w:id="332" w:name="_Ref125370187"/>
            <w:bookmarkStart w:id="333" w:name="_Ref125370187"/>
            <w:bookmarkEnd w:id="333"/>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Заявка Генерального подрядчика дополнительно должна включать сведения о распределении объемов поставки продукции между Генеральным подрядчиком и субподрядчиками:</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Техническое предложение (форма 4)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 содержащие План распределения объемов поставки продукции;</w:t>
            </w:r>
          </w:p>
        </w:tc>
      </w:tr>
      <w:tr>
        <w:trPr/>
        <w:tc>
          <w:tcPr>
            <w:tcW w:w="703" w:type="dxa"/>
            <w:tcBorders/>
          </w:tcPr>
          <w:p>
            <w:pPr>
              <w:pStyle w:val="Style25"/>
              <w:widowControl w:val="false"/>
              <w:numPr>
                <w:ilvl w:val="0"/>
                <w:numId w:val="5"/>
              </w:numPr>
              <w:suppressAutoHyphens w:val="true"/>
              <w:spacing w:before="60" w:after="60"/>
              <w:ind w:left="284" w:hanging="0"/>
              <w:jc w:val="center"/>
              <w:rPr>
                <w:sz w:val="24"/>
                <w:szCs w:val="24"/>
              </w:rPr>
            </w:pPr>
            <w:r>
              <w:rPr>
                <w:sz w:val="24"/>
                <w:szCs w:val="24"/>
              </w:rPr>
            </w:r>
            <w:bookmarkStart w:id="334" w:name="_Ref125370193"/>
            <w:bookmarkStart w:id="335" w:name="_Ref125370193"/>
            <w:bookmarkEnd w:id="335"/>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Соответствие каждого субподрядчика установленным требованиям (с учетом пункта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_Ref125368863 \w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r>
            <w:r>
              <w:rPr>
                <w:sz w:val="24"/>
                <w:kern w:val="0"/>
                <w:szCs w:val="24"/>
                <w:rFonts w:eastAsia="Calibri" w:cs=""/>
                <w:lang w:val="ru-RU" w:eastAsia="en-US" w:bidi="ar-SA"/>
              </w:rPr>
              <w:fldChar w:fldCharType="end"/>
            </w:r>
            <w:r>
              <w:rPr>
                <w:rFonts w:eastAsia="Calibri" w:cs=""/>
                <w:kern w:val="0"/>
                <w:sz w:val="24"/>
                <w:szCs w:val="24"/>
                <w:lang w:val="ru-RU" w:eastAsia="en-US" w:bidi="ar-SA"/>
              </w:rPr>
              <w:t>) в том числе с учетом объема поставки продукции, который ему предполагается поручить в соответствии с Планом распределения объемов поставки продукции, представленным внутри Технических требованиях (форма 4) (</w:t>
            </w:r>
            <w:hyperlink w:anchor="Прил04_ФормыЗаявки">
              <w:r>
                <w:rPr>
                  <w:rStyle w:val="Style11"/>
                  <w:rFonts w:eastAsia="Calibri" w:cs=""/>
                  <w:kern w:val="0"/>
                  <w:sz w:val="24"/>
                  <w:szCs w:val="24"/>
                  <w:lang w:val="ru-RU" w:eastAsia="en-US" w:bidi="ar-SA"/>
                </w:rPr>
                <w:t>Приложение № 4</w:t>
              </w:r>
            </w:hyperlink>
            <w:r>
              <w:rPr>
                <w:rFonts w:eastAsia="Calibri" w:cs=""/>
                <w:kern w:val="0"/>
                <w:sz w:val="24"/>
                <w:szCs w:val="24"/>
                <w:lang w:val="ru-RU" w:eastAsia="en-US" w:bidi="ar-SA"/>
              </w:rPr>
              <w:t>):</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Сведения и документы, аналогичные установленным в подразделах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_Ref125361435 \w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8.2</w:t>
            </w:r>
            <w:r>
              <w:rPr>
                <w:sz w:val="24"/>
                <w:kern w:val="0"/>
                <w:szCs w:val="24"/>
                <w:rFonts w:eastAsia="Calibri" w:cs=""/>
                <w:lang w:val="ru-RU" w:eastAsia="en-US" w:bidi="ar-SA"/>
              </w:rPr>
              <w:fldChar w:fldCharType="end"/>
            </w:r>
            <w:r>
              <w:rPr>
                <w:rFonts w:eastAsia="Calibri" w:cs=""/>
                <w:kern w:val="0"/>
                <w:sz w:val="24"/>
                <w:szCs w:val="24"/>
                <w:lang w:val="ru-RU" w:eastAsia="en-US" w:bidi="ar-SA"/>
              </w:rPr>
              <w:t> – </w:t>
            </w:r>
            <w:r>
              <w:rPr>
                <w:rFonts w:eastAsia="Calibri" w:cs=""/>
                <w:kern w:val="0"/>
                <w:sz w:val="24"/>
                <w:szCs w:val="24"/>
                <w:lang w:val="ru-RU" w:eastAsia="en-US" w:bidi="ar-SA"/>
              </w:rPr>
              <w:fldChar w:fldCharType="begin"/>
            </w:r>
            <w:r>
              <w:rPr>
                <w:sz w:val="24"/>
                <w:kern w:val="0"/>
                <w:szCs w:val="24"/>
                <w:rFonts w:eastAsia="Calibri" w:cs=""/>
                <w:lang w:val="ru-RU" w:eastAsia="en-US" w:bidi="ar-SA"/>
              </w:rPr>
              <w:instrText xml:space="preserve"> REF _Ref125361442 \r \h </w:instrText>
            </w:r>
            <w:r>
              <w:rPr>
                <w:sz w:val="24"/>
                <w:kern w:val="0"/>
                <w:szCs w:val="24"/>
                <w:rFonts w:eastAsia="Calibri" w:cs=""/>
                <w:lang w:val="ru-RU" w:eastAsia="en-US" w:bidi="ar-SA"/>
              </w:rPr>
              <w:fldChar w:fldCharType="separate"/>
            </w:r>
            <w:r>
              <w:rPr>
                <w:sz w:val="24"/>
                <w:kern w:val="0"/>
                <w:szCs w:val="24"/>
                <w:rFonts w:eastAsia="Calibri" w:cs=""/>
                <w:lang w:val="ru-RU" w:eastAsia="en-US" w:bidi="ar-SA"/>
              </w:rPr>
              <w:t>8.3</w:t>
            </w:r>
            <w:r>
              <w:rPr>
                <w:sz w:val="24"/>
                <w:kern w:val="0"/>
                <w:szCs w:val="24"/>
                <w:rFonts w:eastAsia="Calibri" w:cs=""/>
                <w:lang w:val="ru-RU" w:eastAsia="en-US" w:bidi="ar-SA"/>
              </w:rPr>
              <w:fldChar w:fldCharType="end"/>
            </w:r>
            <w:r>
              <w:rPr>
                <w:rFonts w:eastAsia="Calibri" w:cs=""/>
                <w:kern w:val="0"/>
                <w:sz w:val="24"/>
                <w:szCs w:val="24"/>
                <w:lang w:val="ru-RU" w:eastAsia="en-US" w:bidi="ar-SA"/>
              </w:rPr>
              <w:t>, в отношении каждого субподрядчика, подтверждающие его соответствие данным требованиям;</w:t>
            </w:r>
          </w:p>
        </w:tc>
      </w:tr>
      <w:tr>
        <w:trPr/>
        <w:tc>
          <w:tcPr>
            <w:tcW w:w="703" w:type="dxa"/>
            <w:tcBorders/>
          </w:tcPr>
          <w:p>
            <w:pPr>
              <w:pStyle w:val="Style25"/>
              <w:widowControl w:val="false"/>
              <w:numPr>
                <w:ilvl w:val="0"/>
                <w:numId w:val="5"/>
              </w:numPr>
              <w:suppressAutoHyphens w:val="true"/>
              <w:spacing w:before="60" w:after="60"/>
              <w:ind w:left="284" w:hanging="0"/>
              <w:jc w:val="center"/>
              <w:rPr>
                <w:sz w:val="24"/>
                <w:szCs w:val="24"/>
              </w:rPr>
            </w:pPr>
            <w:r>
              <w:rPr>
                <w:sz w:val="24"/>
                <w:szCs w:val="24"/>
              </w:rPr>
            </w:r>
            <w:bookmarkStart w:id="336" w:name="_Ref125553847"/>
            <w:bookmarkStart w:id="337" w:name="_Ref125553847"/>
            <w:bookmarkEnd w:id="337"/>
          </w:p>
        </w:tc>
        <w:tc>
          <w:tcPr>
            <w:tcW w:w="680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Дополнительные требования не установлены.</w:t>
            </w:r>
          </w:p>
        </w:tc>
        <w:tc>
          <w:tcPr>
            <w:tcW w:w="7618"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Дополнительные требования не установлены.</w:t>
            </w:r>
          </w:p>
        </w:tc>
      </w:tr>
    </w:tbl>
    <w:p>
      <w:pPr>
        <w:sectPr>
          <w:headerReference w:type="default" r:id="rId21"/>
          <w:headerReference w:type="first" r:id="rId22"/>
          <w:footerReference w:type="default" r:id="rId23"/>
          <w:footerReference w:type="first" r:id="rId24"/>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19"/>
        <w:rPr/>
      </w:pPr>
      <w:bookmarkStart w:id="338" w:name="_Toc188946958"/>
      <w:bookmarkStart w:id="339" w:name="Прил04_ФормыЗаявки"/>
      <w:bookmarkEnd w:id="339"/>
      <w:r>
        <w:rPr/>
        <w:t>Приложение № 4 – Образцы форм документов, включаемых в состав заявки</w:t>
      </w:r>
      <w:bookmarkEnd w:id="338"/>
    </w:p>
    <w:p>
      <w:pPr>
        <w:pStyle w:val="Style20"/>
        <w:rPr/>
      </w:pPr>
      <w:bookmarkStart w:id="340" w:name="_Toc188946959"/>
      <w:r>
        <w:rPr/>
        <w:t>Пояснения к Образцам форм документов, включаемых в состав заявки</w:t>
      </w:r>
      <w:bookmarkEnd w:id="340"/>
    </w:p>
    <w:p>
      <w:pPr>
        <w:pStyle w:val="Style21"/>
        <w:rPr/>
      </w:pPr>
      <w:r>
        <w:rPr/>
        <w:t>Образцы форм документов, включаемых в состав заявки (с инструкциями по их оформлению), приведены в отдельном файле (предоставляются отдельным документом в составе Документации о закупке), являющимся Приложением № 4 к Документации о закупке.</w:t>
      </w:r>
    </w:p>
    <w:p>
      <w:pPr>
        <w:pStyle w:val="Style19"/>
        <w:rPr/>
      </w:pPr>
      <w:bookmarkStart w:id="341" w:name="_Toc188946960"/>
      <w:bookmarkStart w:id="342" w:name="Прил05_ФормыПобедителя"/>
      <w:bookmarkEnd w:id="342"/>
      <w:r>
        <w:rPr/>
        <w:t>Приложение № 5 – Образцы форм документов, предоставляемых Победителем</w:t>
      </w:r>
      <w:bookmarkEnd w:id="341"/>
    </w:p>
    <w:p>
      <w:pPr>
        <w:pStyle w:val="Style20"/>
        <w:rPr/>
      </w:pPr>
      <w:bookmarkStart w:id="343" w:name="_Toc188946961"/>
      <w:r>
        <w:rPr/>
        <w:t>Пояснения к Образцам форм документов, предоставляемых Победителем</w:t>
      </w:r>
      <w:bookmarkEnd w:id="343"/>
    </w:p>
    <w:p>
      <w:pPr>
        <w:pStyle w:val="Style21"/>
        <w:rPr/>
      </w:pPr>
      <w:r>
        <w:rPr/>
        <w:t>Образцы форм документов, предоставляемых Победителем (или Единственным участником, в случае признания закупки несостоявшейся и принятия решения о заключении договора с ее Единственным участником), а также дополнительные пояснения по их предоставлению и инструкции по их оформлению, приведены в подразделах </w:t>
      </w:r>
      <w:r>
        <w:rPr/>
        <w:fldChar w:fldCharType="begin"/>
      </w:r>
      <w:r>
        <w:rPr/>
        <w:instrText xml:space="preserve"> REF _Ref130395470 \r \h </w:instrText>
      </w:r>
      <w:r>
        <w:rPr/>
        <w:fldChar w:fldCharType="separate"/>
      </w:r>
      <w:r>
        <w:rPr/>
        <w:t>10.2</w:t>
      </w:r>
      <w:r>
        <w:rPr/>
        <w:fldChar w:fldCharType="end"/>
      </w:r>
      <w:r>
        <w:rPr/>
        <w:t xml:space="preserve">, </w:t>
      </w:r>
      <w:r>
        <w:rPr/>
        <w:fldChar w:fldCharType="begin"/>
      </w:r>
      <w:r>
        <w:rPr/>
        <w:instrText xml:space="preserve"> REF _Ref130395475 \r \h </w:instrText>
      </w:r>
      <w:r>
        <w:rPr/>
        <w:fldChar w:fldCharType="separate"/>
      </w:r>
      <w:r>
        <w:rPr/>
        <w:t>10.3</w:t>
      </w:r>
      <w:r>
        <w:rPr/>
        <w:fldChar w:fldCharType="end"/>
      </w:r>
      <w:r>
        <w:rPr/>
        <w:t>.</w:t>
      </w:r>
    </w:p>
    <w:p>
      <w:pPr>
        <w:pStyle w:val="Style20"/>
        <w:rPr/>
      </w:pPr>
      <w:bookmarkStart w:id="344" w:name="_Toc188946962"/>
      <w:bookmarkStart w:id="345" w:name="_Ref130395470"/>
      <w:r>
        <w:rPr/>
        <w:t>Форма справки «Сведения о цепочке собственников, включая бенефициаров (в том числе конечных)»</w:t>
      </w:r>
      <w:bookmarkEnd w:id="344"/>
      <w:bookmarkEnd w:id="345"/>
    </w:p>
    <w:p>
      <w:pPr>
        <w:pStyle w:val="Style21"/>
        <w:rPr/>
      </w:pPr>
      <w:r>
        <w:rPr/>
        <w:t>Справка «Сведения о цепочке собственников, включая бенефициаров (в том числе конечных)» предоставляется Победителем закупки (поставщиком).</w:t>
      </w:r>
    </w:p>
    <w:p>
      <w:pPr>
        <w:pStyle w:val="Style21"/>
        <w:rPr/>
      </w:pPr>
      <w:r>
        <w:rPr/>
        <w:t xml:space="preserve">Форма справки «Сведения о цепочке собственников, включая бенефициаров (в том числе конечных)» </w:t>
      </w:r>
      <w:r>
        <w:rPr>
          <w:lang w:val="en-US"/>
        </w:rPr>
        <w:t>c</w:t>
      </w:r>
      <w:r>
        <w:rPr/>
        <w:t xml:space="preserve"> приложением 1 «Перечень подтверждающих документов» и приложением 2 «Согласие на обработку и передачу персональных и иных охраняемых законом данных» приведена в отдельном файле в формате </w:t>
      </w:r>
      <w:r>
        <w:rPr>
          <w:lang w:val="en-US"/>
        </w:rPr>
        <w:t>Microsoft</w:t>
      </w:r>
      <w:r>
        <w:rPr/>
        <w:t xml:space="preserve"> </w:t>
      </w:r>
      <w:r>
        <w:rPr>
          <w:lang w:val="en-US"/>
        </w:rPr>
        <w:t>Word</w:t>
      </w:r>
      <w:r>
        <w:rPr/>
        <w:t>:</w:t>
      </w:r>
      <w:bookmarkStart w:id="346" w:name="_MON_1741074142"/>
    </w:p>
    <w:p>
      <w:pPr>
        <w:pStyle w:val="Style25"/>
        <w:jc w:val="center"/>
        <w:rPr/>
      </w:pPr>
      <w:bookmarkEnd w:id="346"/>
      <w:r>
        <w:rPr/>
        <w:object>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78.75pt;height:50.25pt;mso-wrap-distance-right:0pt" filled="f" o:ole="">
            <v:imagedata r:id="rId26" o:title=""/>
          </v:shape>
          <o:OLEObject Type="Embed" ProgID="Word.Document.12" ShapeID="ole_rId25" DrawAspect="Icon" ObjectID="_934371226" r:id="rId25"/>
        </w:object>
      </w:r>
    </w:p>
    <w:p>
      <w:pPr>
        <w:pStyle w:val="Style20"/>
        <w:rPr/>
      </w:pPr>
      <w:bookmarkStart w:id="347" w:name="_Toc188946963"/>
      <w:bookmarkStart w:id="348" w:name="_Ref130395475"/>
      <w:r>
        <w:rPr/>
        <w:t>Форма «Заверение об обстоятельствах»</w:t>
      </w:r>
      <w:bookmarkEnd w:id="347"/>
      <w:bookmarkEnd w:id="348"/>
    </w:p>
    <w:p>
      <w:pPr>
        <w:pStyle w:val="Style21"/>
        <w:rPr/>
      </w:pPr>
      <w:r>
        <w:rPr/>
        <w:t>Форма Заверения об обстоятельствах предоставляется Победителем закупки (поставщиком) только при заключении договоров стоимостью свыше 100 000</w:t>
      </w:r>
      <w:r>
        <w:rPr>
          <w:lang w:val="en-US"/>
        </w:rPr>
        <w:t> </w:t>
      </w:r>
      <w:r>
        <w:rP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rPr/>
        <w:t>(трех) рабочих дней с даты официального размещения Организатором итогового протокола по результатам закупки.</w:t>
      </w:r>
    </w:p>
    <w:p>
      <w:pPr>
        <w:pStyle w:val="Style21"/>
        <w:rPr/>
      </w:pPr>
      <w:r>
        <w:rPr/>
        <w:t>Победитель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уставом, внутренними документами и отдельными решениями органов управления Поставщика, для последующего заключения Договора по предмету настоящей закупки.</w:t>
      </w:r>
    </w:p>
    <w:p>
      <w:pPr>
        <w:pStyle w:val="Style21"/>
        <w:rPr/>
      </w:pPr>
      <w:r>
        <w:rP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pPr>
        <w:pStyle w:val="Style21"/>
        <w:keepNext w:val="true"/>
        <w:rPr/>
      </w:pPr>
      <w:r>
        <w:rPr/>
        <w:t xml:space="preserve">Форма «Заверение об обстоятельствах» приведена в отдельном файле в формате </w:t>
      </w:r>
      <w:r>
        <w:rPr>
          <w:lang w:val="en-US"/>
        </w:rPr>
        <w:t>Microsoft</w:t>
      </w:r>
      <w:r>
        <w:rPr/>
        <w:t xml:space="preserve"> </w:t>
      </w:r>
      <w:r>
        <w:rPr>
          <w:lang w:val="en-US"/>
        </w:rPr>
        <w:t>Word</w:t>
      </w:r>
      <w:r>
        <w:rPr/>
        <w:t>:</w:t>
      </w:r>
      <w:bookmarkStart w:id="349" w:name="_MON_1741074184"/>
    </w:p>
    <w:p>
      <w:pPr>
        <w:pStyle w:val="Style25"/>
        <w:spacing w:before="120" w:after="120"/>
        <w:jc w:val="center"/>
        <w:rPr/>
      </w:pPr>
      <w:bookmarkEnd w:id="349"/>
      <w:r>
        <w:rPr/>
        <w:object>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78.75pt;height:50.25pt;mso-wrap-distance-right:0pt;mso-wrap-distance-bottom:6pt" filled="f" o:ole="">
            <v:imagedata r:id="rId28" o:title=""/>
          </v:shape>
          <o:OLEObject Type="Embed" ProgID="Word.Document.12" ShapeID="ole_rId27" DrawAspect="Icon" ObjectID="_339275016" r:id="rId27"/>
        </w:object>
      </w:r>
    </w:p>
    <w:p>
      <w:pPr>
        <w:pStyle w:val="Style19"/>
        <w:rPr/>
      </w:pPr>
      <w:bookmarkStart w:id="350" w:name="_Ref125362900"/>
      <w:bookmarkStart w:id="351" w:name="_Ref125362865"/>
      <w:bookmarkStart w:id="352" w:name="_Toc188946964"/>
      <w:bookmarkStart w:id="353" w:name="Прил06_СоставЗаявки"/>
      <w:bookmarkEnd w:id="353"/>
      <w:r>
        <w:rPr/>
        <w:t>Приложение № 6 – Состав заявки</w:t>
      </w:r>
      <w:bookmarkEnd w:id="350"/>
      <w:bookmarkEnd w:id="351"/>
      <w:bookmarkEnd w:id="352"/>
    </w:p>
    <w:p>
      <w:pPr>
        <w:pStyle w:val="Style20"/>
        <w:rPr/>
      </w:pPr>
      <w:bookmarkStart w:id="354" w:name="_Toc188946965"/>
      <w:r>
        <w:rPr/>
        <w:t>Состав заявки</w:t>
      </w:r>
      <w:bookmarkEnd w:id="354"/>
    </w:p>
    <w:p>
      <w:pPr>
        <w:pStyle w:val="Style21"/>
        <w:spacing w:before="120" w:after="120"/>
        <w:rPr>
          <w:sz w:val="24"/>
          <w:szCs w:val="24"/>
        </w:rPr>
      </w:pPr>
      <w:r>
        <w:rPr>
          <w:sz w:val="24"/>
          <w:szCs w:val="24"/>
        </w:rPr>
        <w:t xml:space="preserve">Заявка на участие в закупке должна состоять из первой части, второй части и ценового предложения, которые должны содержать следующий комплект документов (образцы форм документов, включаемых в состав заявки (с инструкциями по их оформлению), приведены в </w:t>
      </w:r>
      <w:hyperlink w:anchor="Прил04_ФормыЗаявки">
        <w:r>
          <w:rPr>
            <w:rStyle w:val="Style11"/>
            <w:sz w:val="24"/>
            <w:szCs w:val="24"/>
          </w:rPr>
          <w:t>Приложении № 4</w:t>
        </w:r>
      </w:hyperlink>
      <w:r>
        <w:rPr>
          <w:sz w:val="24"/>
          <w:szCs w:val="24"/>
        </w:rPr>
        <w:t>):</w:t>
      </w:r>
    </w:p>
    <w:tbl>
      <w:tblPr>
        <w:tblStyle w:val="af8"/>
        <w:tblW w:w="9776" w:type="dxa"/>
        <w:jc w:val="left"/>
        <w:tblInd w:w="137" w:type="dxa"/>
        <w:tblLayout w:type="fixed"/>
        <w:tblCellMar>
          <w:top w:w="0" w:type="dxa"/>
          <w:left w:w="57" w:type="dxa"/>
          <w:bottom w:w="0" w:type="dxa"/>
          <w:right w:w="57" w:type="dxa"/>
        </w:tblCellMar>
        <w:tblLook w:val="04a0" w:noHBand="0" w:noVBand="1" w:firstColumn="1" w:lastRow="0" w:lastColumn="0" w:firstRow="1"/>
      </w:tblPr>
      <w:tblGrid>
        <w:gridCol w:w="700"/>
        <w:gridCol w:w="9075"/>
      </w:tblGrid>
      <w:tr>
        <w:trPr>
          <w:cnfStyle w:val="100000000000" w:firstRow="1" w:lastRow="0" w:firstColumn="0" w:lastColumn="0" w:oddVBand="0" w:evenVBand="0" w:oddHBand="0" w:evenHBand="0" w:firstRowFirstColumn="0" w:firstRowLastColumn="0" w:lastRowFirstColumn="0" w:lastRowLastColumn="0"/>
        </w:trPr>
        <w:tc>
          <w:tcPr>
            <w:tcW w:w="700" w:type="dxa"/>
            <w:tcBorders/>
          </w:tcPr>
          <w:p>
            <w:pPr>
              <w:pStyle w:val="Style25"/>
              <w:keepNext w:val="tru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w:t>
            </w:r>
            <w:r>
              <w:rPr>
                <w:rFonts w:eastAsia="Calibri" w:cs=""/>
                <w:b/>
                <w:kern w:val="0"/>
                <w:sz w:val="20"/>
                <w:szCs w:val="20"/>
                <w:lang w:val="ru-RU" w:eastAsia="en-US" w:bidi="ar-SA"/>
              </w:rPr>
              <w:br/>
              <w:t>п/п</w:t>
            </w:r>
          </w:p>
        </w:tc>
        <w:tc>
          <w:tcPr>
            <w:tcW w:w="9075" w:type="dxa"/>
            <w:tcBorders/>
          </w:tcPr>
          <w:p>
            <w:pPr>
              <w:pStyle w:val="Style25"/>
              <w:keepNext w:val="true"/>
              <w:keepLines w:val="false"/>
              <w:widowControl w:val="false"/>
              <w:suppressAutoHyphens w:val="true"/>
              <w:spacing w:before="60" w:after="60"/>
              <w:jc w:val="center"/>
              <w:rPr>
                <w:sz w:val="20"/>
                <w:szCs w:val="20"/>
              </w:rPr>
            </w:pPr>
            <w:r>
              <w:rPr>
                <w:rFonts w:eastAsia="Calibri" w:cs=""/>
                <w:b/>
                <w:kern w:val="0"/>
                <w:sz w:val="20"/>
                <w:szCs w:val="20"/>
                <w:lang w:val="ru-RU" w:eastAsia="en-US" w:bidi="ar-SA"/>
              </w:rPr>
              <w:t>Наименование документа</w:t>
            </w:r>
          </w:p>
        </w:tc>
      </w:tr>
      <w:tr>
        <w:trPr/>
        <w:tc>
          <w:tcPr>
            <w:tcW w:w="700" w:type="dxa"/>
            <w:tcBorders/>
          </w:tcPr>
          <w:p>
            <w:pPr>
              <w:pStyle w:val="Style25"/>
              <w:keepNext w:val="true"/>
              <w:widowControl w:val="false"/>
              <w:suppressAutoHyphens w:val="true"/>
              <w:spacing w:before="60" w:after="60"/>
              <w:ind w:left="360" w:hanging="0"/>
              <w:jc w:val="center"/>
              <w:rPr>
                <w:b/>
                <w:bCs/>
              </w:rPr>
            </w:pPr>
            <w:r>
              <w:rPr>
                <w:b/>
                <w:bCs/>
              </w:rPr>
            </w:r>
          </w:p>
        </w:tc>
        <w:tc>
          <w:tcPr>
            <w:tcW w:w="9075" w:type="dxa"/>
            <w:tcBorders/>
          </w:tcPr>
          <w:p>
            <w:pPr>
              <w:pStyle w:val="Style25"/>
              <w:keepNext w:val="true"/>
              <w:widowControl w:val="false"/>
              <w:suppressAutoHyphens w:val="true"/>
              <w:spacing w:before="60" w:after="60"/>
              <w:rPr>
                <w:b/>
                <w:bCs/>
                <w:sz w:val="24"/>
                <w:szCs w:val="24"/>
              </w:rPr>
            </w:pPr>
            <w:r>
              <w:rPr>
                <w:rFonts w:eastAsia="Calibri" w:cs=""/>
                <w:b/>
                <w:bCs/>
                <w:kern w:val="0"/>
                <w:sz w:val="24"/>
                <w:szCs w:val="24"/>
                <w:lang w:val="ru-RU" w:eastAsia="en-US" w:bidi="ar-SA"/>
              </w:rPr>
              <w:t>Первая часть заявки:</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Опись документов (форма 1) – носит рекомендательный характер и </w:t>
            </w:r>
            <w:r>
              <w:rPr>
                <w:rFonts w:eastAsia="Calibri" w:cs=""/>
                <w:i/>
                <w:iCs/>
                <w:kern w:val="0"/>
                <w:sz w:val="24"/>
                <w:szCs w:val="24"/>
                <w:u w:val="single"/>
                <w:lang w:val="ru-RU" w:eastAsia="en-US" w:bidi="ar-SA"/>
              </w:rPr>
              <w:t xml:space="preserve">не обязательна </w:t>
            </w:r>
            <w:r>
              <w:rPr>
                <w:rFonts w:eastAsia="Calibri" w:cs=""/>
                <w:kern w:val="0"/>
                <w:sz w:val="24"/>
                <w:szCs w:val="24"/>
                <w:lang w:val="ru-RU" w:eastAsia="en-US" w:bidi="ar-SA"/>
              </w:rPr>
              <w:t>к предоставлению в составе заявки</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Техническое предложение (форма 4)</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Календарный график (форма 5)</w:t>
            </w:r>
          </w:p>
        </w:tc>
      </w:tr>
      <w:tr>
        <w:trPr/>
        <w:tc>
          <w:tcPr>
            <w:tcW w:w="700" w:type="dxa"/>
            <w:tcBorders/>
          </w:tcPr>
          <w:p>
            <w:pPr>
              <w:pStyle w:val="Style25"/>
              <w:keepNext w:val="true"/>
              <w:widowControl w:val="false"/>
              <w:suppressAutoHyphens w:val="true"/>
              <w:spacing w:before="60" w:after="60"/>
              <w:ind w:left="360" w:hanging="0"/>
              <w:jc w:val="center"/>
              <w:rPr>
                <w:b/>
                <w:bCs/>
                <w:sz w:val="24"/>
                <w:szCs w:val="24"/>
              </w:rPr>
            </w:pPr>
            <w:r>
              <w:rPr>
                <w:b/>
                <w:bCs/>
                <w:sz w:val="24"/>
                <w:szCs w:val="24"/>
              </w:rPr>
            </w:r>
            <w:bookmarkStart w:id="355" w:name="_GoBack"/>
            <w:bookmarkStart w:id="356" w:name="_GoBack"/>
            <w:bookmarkEnd w:id="356"/>
          </w:p>
        </w:tc>
        <w:tc>
          <w:tcPr>
            <w:tcW w:w="9075" w:type="dxa"/>
            <w:tcBorders/>
          </w:tcPr>
          <w:p>
            <w:pPr>
              <w:pStyle w:val="Style25"/>
              <w:keepNext w:val="true"/>
              <w:widowControl w:val="false"/>
              <w:suppressAutoHyphens w:val="true"/>
              <w:spacing w:before="60" w:after="60"/>
              <w:rPr>
                <w:b/>
                <w:bCs/>
                <w:sz w:val="24"/>
                <w:szCs w:val="24"/>
              </w:rPr>
            </w:pPr>
            <w:r>
              <w:rPr>
                <w:rFonts w:eastAsia="Calibri" w:cs=""/>
                <w:b/>
                <w:bCs/>
                <w:kern w:val="0"/>
                <w:sz w:val="24"/>
                <w:szCs w:val="24"/>
                <w:lang w:val="ru-RU" w:eastAsia="en-US" w:bidi="ar-SA"/>
              </w:rPr>
              <w:t>Вторая часть заявки:</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Опись документов (форма 1) – носит рекомендательный характер и </w:t>
            </w:r>
            <w:r>
              <w:rPr>
                <w:rFonts w:eastAsia="Calibri" w:cs=""/>
                <w:i/>
                <w:iCs/>
                <w:kern w:val="0"/>
                <w:sz w:val="24"/>
                <w:szCs w:val="24"/>
                <w:u w:val="single"/>
                <w:lang w:val="ru-RU" w:eastAsia="en-US" w:bidi="ar-SA"/>
              </w:rPr>
              <w:t>не обязательна</w:t>
            </w:r>
            <w:r>
              <w:rPr>
                <w:rFonts w:eastAsia="Calibri" w:cs=""/>
                <w:kern w:val="0"/>
                <w:sz w:val="24"/>
                <w:szCs w:val="24"/>
                <w:lang w:val="ru-RU" w:eastAsia="en-US" w:bidi="ar-SA"/>
              </w:rPr>
              <w:t xml:space="preserve"> к предоставлению в составе заявки;</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Письмо о подаче оферты (форма 2);</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Анкета Участника (форма 6);</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Normal"/>
              <w:widowControl w:val="false"/>
              <w:suppressAutoHyphens w:val="true"/>
              <w:spacing w:before="120" w:after="60"/>
              <w:jc w:val="both"/>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Заявка на аккредитацию (Приложение №10) для прохождения </w:t>
            </w:r>
            <w:r>
              <w:rPr>
                <w:rFonts w:eastAsia="Calibri" w:cs=""/>
                <w:b/>
                <w:bCs/>
                <w:kern w:val="0"/>
                <w:sz w:val="26"/>
                <w:szCs w:val="22"/>
                <w:lang w:val="ru-RU" w:eastAsia="en-US" w:bidi="ar-SA"/>
              </w:rPr>
              <w:t>(при необходимости)</w:t>
            </w:r>
            <w:r>
              <w:rPr>
                <w:rFonts w:eastAsia="Calibri" w:cs=""/>
                <w:kern w:val="0"/>
                <w:sz w:val="26"/>
                <w:szCs w:val="22"/>
                <w:lang w:val="ru-RU" w:eastAsia="en-US" w:bidi="ar-SA"/>
              </w:rPr>
              <w:t xml:space="preserve"> процедуры аккредитации.</w:t>
            </w:r>
          </w:p>
        </w:tc>
      </w:tr>
      <w:tr>
        <w:trPr/>
        <w:tc>
          <w:tcPr>
            <w:tcW w:w="700" w:type="dxa"/>
            <w:tcBorders/>
          </w:tcPr>
          <w:p>
            <w:pPr>
              <w:pStyle w:val="Style25"/>
              <w:keepNext w:val="true"/>
              <w:widowControl w:val="false"/>
              <w:suppressAutoHyphens w:val="true"/>
              <w:spacing w:before="60" w:after="60"/>
              <w:ind w:left="360" w:hanging="0"/>
              <w:jc w:val="center"/>
              <w:rPr>
                <w:b/>
                <w:bCs/>
                <w:sz w:val="24"/>
                <w:szCs w:val="24"/>
              </w:rPr>
            </w:pPr>
            <w:r>
              <w:rPr>
                <w:b/>
                <w:bCs/>
                <w:sz w:val="24"/>
                <w:szCs w:val="24"/>
              </w:rPr>
            </w:r>
          </w:p>
        </w:tc>
        <w:tc>
          <w:tcPr>
            <w:tcW w:w="9075" w:type="dxa"/>
            <w:tcBorders/>
          </w:tcPr>
          <w:p>
            <w:pPr>
              <w:pStyle w:val="Style25"/>
              <w:keepNext w:val="true"/>
              <w:widowControl w:val="false"/>
              <w:suppressAutoHyphens w:val="true"/>
              <w:spacing w:before="60" w:after="60"/>
              <w:rPr>
                <w:b/>
                <w:bCs/>
                <w:sz w:val="24"/>
                <w:szCs w:val="24"/>
              </w:rPr>
            </w:pPr>
            <w:r>
              <w:rPr>
                <w:rFonts w:eastAsia="Calibri" w:cs=""/>
                <w:b/>
                <w:bCs/>
                <w:kern w:val="0"/>
                <w:sz w:val="24"/>
                <w:szCs w:val="24"/>
                <w:lang w:val="ru-RU" w:eastAsia="en-US" w:bidi="ar-SA"/>
              </w:rPr>
              <w:t>Ценовое предложение (предоставляется в течение 1 (одного) рабочего дня после завершения процедуры аукциона):</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Опись документов (форма 1) – носит рекомендательный характер и </w:t>
            </w:r>
            <w:r>
              <w:rPr>
                <w:rFonts w:eastAsia="Calibri" w:cs=""/>
                <w:i/>
                <w:iCs/>
                <w:kern w:val="0"/>
                <w:sz w:val="24"/>
                <w:szCs w:val="24"/>
                <w:u w:val="single"/>
                <w:lang w:val="ru-RU" w:eastAsia="en-US" w:bidi="ar-SA"/>
              </w:rPr>
              <w:t>не обязательна</w:t>
            </w:r>
            <w:r>
              <w:rPr>
                <w:rFonts w:eastAsia="Calibri" w:cs=""/>
                <w:kern w:val="0"/>
                <w:sz w:val="24"/>
                <w:szCs w:val="24"/>
                <w:lang w:val="ru-RU" w:eastAsia="en-US" w:bidi="ar-SA"/>
              </w:rPr>
              <w:t xml:space="preserve"> к предоставлению в составе заявки;</w:t>
            </w:r>
          </w:p>
        </w:tc>
      </w:tr>
      <w:tr>
        <w:trPr/>
        <w:tc>
          <w:tcPr>
            <w:tcW w:w="700" w:type="dxa"/>
            <w:tcBorders/>
          </w:tcPr>
          <w:p>
            <w:pPr>
              <w:pStyle w:val="Style25"/>
              <w:widowControl w:val="false"/>
              <w:numPr>
                <w:ilvl w:val="0"/>
                <w:numId w:val="6"/>
              </w:numPr>
              <w:suppressAutoHyphens w:val="true"/>
              <w:spacing w:before="60" w:after="60"/>
              <w:ind w:left="170" w:hanging="0"/>
              <w:jc w:val="center"/>
              <w:rPr>
                <w:sz w:val="24"/>
                <w:szCs w:val="24"/>
              </w:rPr>
            </w:pPr>
            <w:r>
              <w:rPr>
                <w:sz w:val="24"/>
                <w:szCs w:val="24"/>
              </w:rPr>
            </w:r>
          </w:p>
        </w:tc>
        <w:tc>
          <w:tcPr>
            <w:tcW w:w="9075" w:type="dxa"/>
            <w:tcBorders/>
          </w:tcPr>
          <w:p>
            <w:pPr>
              <w:pStyle w:val="Style25"/>
              <w:widowControl w:val="false"/>
              <w:suppressAutoHyphens w:val="true"/>
              <w:spacing w:before="60" w:after="60"/>
              <w:rPr>
                <w:sz w:val="24"/>
                <w:szCs w:val="24"/>
              </w:rPr>
            </w:pPr>
            <w:r>
              <w:rPr>
                <w:rFonts w:eastAsia="Calibri" w:cs=""/>
                <w:kern w:val="0"/>
                <w:sz w:val="24"/>
                <w:szCs w:val="24"/>
                <w:lang w:val="ru-RU" w:eastAsia="en-US" w:bidi="ar-SA"/>
              </w:rPr>
              <w:t xml:space="preserve">Коммерческое предложение (включая Структуру НМЦ) (форма 3); также дополнительно предоставляется подтверждающая документация, составленная в соответствии с </w:t>
            </w:r>
            <w:hyperlink w:anchor="Прил01_ТехТребования">
              <w:r>
                <w:rPr>
                  <w:rStyle w:val="Style11"/>
                  <w:rFonts w:eastAsia="Calibri" w:cs=""/>
                  <w:kern w:val="0"/>
                  <w:sz w:val="24"/>
                  <w:szCs w:val="24"/>
                  <w:lang w:val="ru-RU" w:eastAsia="en-US" w:bidi="ar-SA"/>
                </w:rPr>
                <w:t>Техническими требованиями (Приложение № 1)</w:t>
              </w:r>
            </w:hyperlink>
            <w:r>
              <w:rPr>
                <w:rFonts w:eastAsia="Calibri" w:cs=""/>
                <w:kern w:val="0"/>
                <w:sz w:val="24"/>
                <w:szCs w:val="24"/>
                <w:lang w:val="ru-RU" w:eastAsia="en-US" w:bidi="ar-SA"/>
              </w:rPr>
              <w:t xml:space="preserve">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p>
        </w:tc>
      </w:tr>
    </w:tbl>
    <w:p>
      <w:pPr>
        <w:sectPr>
          <w:headerReference w:type="default" r:id="rId29"/>
          <w:headerReference w:type="first" r:id="rId30"/>
          <w:footerReference w:type="default" r:id="rId31"/>
          <w:footerReference w:type="first" r:id="rId32"/>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Style w:val="Style21"/>
        <w:rPr>
          <w:rStyle w:val="Style8"/>
          <w:i w:val="false"/>
          <w:i w:val="false"/>
          <w:iCs w:val="false"/>
          <w:sz w:val="24"/>
          <w:szCs w:val="24"/>
          <w:shd w:fill="auto" w:val="clear"/>
        </w:rPr>
      </w:pPr>
      <w:r>
        <w:rPr>
          <w:rStyle w:val="Style8"/>
          <w:i w:val="false"/>
          <w:iCs w:val="false"/>
          <w:sz w:val="24"/>
          <w:szCs w:val="24"/>
          <w:shd w:fill="auto" w:val="clear"/>
        </w:rPr>
        <w:t>Если по каким-либо причинам Участник не может предоставить какой-либо из требуемых документов, он может в составе заявки приложить составленную в произвольной форме справку, объясняющую причину отсутствия требуемого документа (однако предоставление данной справки носит исключительно информационный характер и не может являться основанием для снятия с Участника обязанности по предоставлению требуемого документа).</w:t>
      </w:r>
    </w:p>
    <w:p>
      <w:pPr>
        <w:pStyle w:val="Style19"/>
        <w:rPr/>
      </w:pPr>
      <w:bookmarkStart w:id="357" w:name="_Toc188946966"/>
      <w:bookmarkStart w:id="358" w:name="_Ref125365264"/>
      <w:bookmarkStart w:id="359" w:name="Прил07_ОтборочныеКритерии"/>
      <w:bookmarkEnd w:id="359"/>
      <w:r>
        <w:rPr/>
        <w:t>Приложение № 7 – Отборочные критерии рассмотрения заявок</w:t>
      </w:r>
      <w:bookmarkEnd w:id="357"/>
      <w:bookmarkEnd w:id="358"/>
    </w:p>
    <w:p>
      <w:pPr>
        <w:pStyle w:val="Style20"/>
        <w:spacing w:before="360" w:after="120"/>
        <w:rPr>
          <w:rStyle w:val="Style8"/>
          <w:i w:val="false"/>
          <w:i w:val="false"/>
          <w:iCs w:val="false"/>
          <w:shd w:fill="auto" w:val="clear"/>
        </w:rPr>
      </w:pPr>
      <w:bookmarkStart w:id="360" w:name="_Toc188946967"/>
      <w:r>
        <w:rPr>
          <w:rStyle w:val="Style8"/>
          <w:i w:val="false"/>
          <w:iCs w:val="false"/>
          <w:shd w:fill="auto" w:val="clear"/>
        </w:rPr>
        <w:t>Отборочные критерии рассмотрения первых частей заявок</w:t>
      </w:r>
      <w:bookmarkEnd w:id="360"/>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1128"/>
        <w:gridCol w:w="9782"/>
        <w:gridCol w:w="2552"/>
        <w:gridCol w:w="1663"/>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w:t>
              <w:br/>
              <w:t>критерия</w:t>
            </w:r>
          </w:p>
        </w:tc>
        <w:tc>
          <w:tcPr>
            <w:tcW w:w="9782"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Наименование</w:t>
              <w:br/>
              <w:t>отборочного критерия</w:t>
            </w:r>
          </w:p>
        </w:tc>
        <w:tc>
          <w:tcPr>
            <w:tcW w:w="2552"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 пункта</w:t>
              <w:br/>
              <w:t>Документации о закупке</w:t>
            </w:r>
          </w:p>
        </w:tc>
        <w:tc>
          <w:tcPr>
            <w:tcW w:w="1663"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Направления</w:t>
              <w:br/>
              <w:t>оценки заявок*</w:t>
            </w:r>
          </w:p>
        </w:tc>
      </w:tr>
      <w:tr>
        <w:trPr/>
        <w:tc>
          <w:tcPr>
            <w:tcW w:w="15125" w:type="dxa"/>
            <w:gridSpan w:val="4"/>
            <w:tcBorders/>
          </w:tcPr>
          <w:p>
            <w:pPr>
              <w:pStyle w:val="Style25"/>
              <w:widowControl w:val="false"/>
              <w:suppressAutoHyphens w:val="true"/>
              <w:spacing w:before="60" w:after="60"/>
              <w:jc w:val="center"/>
              <w:rPr>
                <w:b/>
                <w:bCs/>
              </w:rPr>
            </w:pPr>
            <w:r>
              <w:rPr>
                <w:rFonts w:eastAsia="Calibri" w:cs=""/>
                <w:b/>
                <w:bCs/>
                <w:kern w:val="0"/>
                <w:sz w:val="26"/>
                <w:szCs w:val="22"/>
                <w:lang w:val="ru-RU" w:eastAsia="en-US" w:bidi="ar-SA"/>
              </w:rPr>
              <w:t>Состав и правильность оформления первой части заявки, в том числе:</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Наличие в составе первой части заявки обязательных к предоставлению (для целей рассмотрения первых частей заявок в рамках отборочной стадии) документов в соответствии с требованиями </w:t>
            </w:r>
            <w:hyperlink w:anchor="Прил06_СоставЗаявки">
              <w:r>
                <w:rPr>
                  <w:rStyle w:val="Style11"/>
                  <w:rFonts w:eastAsia="Calibri" w:cs=""/>
                  <w:kern w:val="0"/>
                  <w:sz w:val="26"/>
                  <w:szCs w:val="22"/>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языка заявки)</w:t>
            </w:r>
          </w:p>
        </w:tc>
        <w:tc>
          <w:tcPr>
            <w:tcW w:w="2552" w:type="dxa"/>
            <w:tcBorders/>
          </w:tcPr>
          <w:p>
            <w:pPr>
              <w:pStyle w:val="Style25"/>
              <w:widowControl w:val="false"/>
              <w:suppressAutoHyphens w:val="true"/>
              <w:spacing w:before="60" w:after="60"/>
              <w:jc w:val="center"/>
              <w:rPr>
                <w:rStyle w:val="Style11"/>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_Ref125362119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4.6</w:t>
            </w:r>
            <w:r>
              <w:rPr>
                <w:sz w:val="26"/>
                <w:kern w:val="0"/>
                <w:szCs w:val="22"/>
                <w:rFonts w:eastAsia="Calibri" w:cs=""/>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11"/>
                  <w:rFonts w:eastAsia="Calibri" w:cs=""/>
                  <w:kern w:val="0"/>
                  <w:sz w:val="26"/>
                  <w:szCs w:val="22"/>
                  <w:lang w:val="ru-RU" w:eastAsia="en-US" w:bidi="ar-SA"/>
                </w:rPr>
                <w:t>Приложение № 6</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первой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 а также противоречий между документами заявки и сведениями, указанными Участником в структурированных формах на ЭП</w:t>
            </w:r>
          </w:p>
        </w:tc>
        <w:tc>
          <w:tcPr>
            <w:tcW w:w="2552"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первой части заявки сведений об Участнике и (или) о его ценовом предложении</w:t>
            </w:r>
          </w:p>
        </w:tc>
        <w:tc>
          <w:tcPr>
            <w:tcW w:w="2552"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5125" w:type="dxa"/>
            <w:gridSpan w:val="4"/>
            <w:tcBorders/>
          </w:tcPr>
          <w:p>
            <w:pPr>
              <w:pStyle w:val="Style25"/>
              <w:keepNext w:val="true"/>
              <w:widowControl w:val="false"/>
              <w:suppressAutoHyphens w:val="true"/>
              <w:spacing w:before="60" w:after="60"/>
              <w:jc w:val="center"/>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11"/>
                  <w:rFonts w:eastAsia="Calibri" w:cs=""/>
                  <w:b/>
                  <w:bCs/>
                  <w:kern w:val="0"/>
                  <w:sz w:val="26"/>
                  <w:szCs w:val="22"/>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предложения установленным требованиям к предоставлению национального режима, в том числе в части состава и требований к информации и перечню документов, которые подтверждают страну происхождения товара, установленным в </w:t>
            </w:r>
            <w:hyperlink w:anchor="Прил01_ТехТребования">
              <w:r>
                <w:rPr>
                  <w:rStyle w:val="Style11"/>
                  <w:rFonts w:eastAsia="Calibri" w:cs=""/>
                  <w:kern w:val="0"/>
                  <w:sz w:val="26"/>
                  <w:szCs w:val="22"/>
                  <w:lang w:val="ru-RU" w:eastAsia="en-US" w:bidi="ar-SA"/>
                </w:rPr>
                <w:t>Технических требованиях (Приложение № 1)</w:t>
              </w:r>
            </w:hyperlink>
          </w:p>
          <w:p>
            <w:pPr>
              <w:pStyle w:val="Style25"/>
              <w:widowControl w:val="false"/>
              <w:suppressAutoHyphens w:val="true"/>
              <w:spacing w:before="60" w:after="60"/>
              <w:rPr>
                <w:i/>
                <w:i/>
                <w:iCs/>
              </w:rPr>
            </w:pPr>
            <w:r>
              <w:rPr>
                <w:rFonts w:eastAsia="Calibri" w:cs=""/>
                <w:i/>
                <w:iCs/>
                <w:kern w:val="0"/>
                <w:sz w:val="26"/>
                <w:szCs w:val="22"/>
                <w:lang w:val="ru-RU" w:eastAsia="en-US" w:bidi="ar-SA"/>
              </w:rPr>
              <w:t>(пункт применяется только в случае установления режима запрета закупки иностранной продукции (подраздел </w:t>
            </w:r>
            <w:r>
              <w:rPr>
                <w:rFonts w:eastAsia="Calibri" w:cs=""/>
                <w:i/>
                <w:iCs/>
                <w:kern w:val="0"/>
                <w:sz w:val="26"/>
                <w:szCs w:val="22"/>
                <w:lang w:val="ru-RU" w:eastAsia="en-US" w:bidi="ar-SA"/>
              </w:rPr>
              <w:fldChar w:fldCharType="begin"/>
            </w:r>
            <w:r>
              <w:rPr>
                <w:sz w:val="26"/>
                <w:i/>
                <w:kern w:val="0"/>
                <w:szCs w:val="22"/>
                <w:iCs/>
                <w:rFonts w:eastAsia="Calibri" w:cs=""/>
                <w:lang w:val="ru-RU" w:eastAsia="en-US" w:bidi="ar-SA"/>
              </w:rPr>
              <w:instrText xml:space="preserve"> REF _Ref149656148 \r \h </w:instrText>
            </w:r>
            <w:r>
              <w:rPr>
                <w:sz w:val="26"/>
                <w:i/>
                <w:kern w:val="0"/>
                <w:szCs w:val="22"/>
                <w:iCs/>
                <w:rFonts w:eastAsia="Calibri" w:cs=""/>
                <w:lang w:val="ru-RU" w:eastAsia="en-US" w:bidi="ar-SA"/>
              </w:rPr>
              <w:fldChar w:fldCharType="separate"/>
            </w:r>
            <w:r>
              <w:rPr>
                <w:sz w:val="26"/>
                <w:i/>
                <w:kern w:val="0"/>
                <w:szCs w:val="22"/>
                <w:iCs/>
                <w:rFonts w:eastAsia="Calibri" w:cs=""/>
                <w:lang w:val="ru-RU" w:eastAsia="en-US" w:bidi="ar-SA"/>
              </w:rPr>
              <w:t>4.14</w:t>
            </w:r>
            <w:r>
              <w:rPr>
                <w:sz w:val="26"/>
                <w:i/>
                <w:kern w:val="0"/>
                <w:szCs w:val="22"/>
                <w:iCs/>
                <w:rFonts w:eastAsia="Calibri" w:cs=""/>
                <w:lang w:val="ru-RU" w:eastAsia="en-US" w:bidi="ar-SA"/>
              </w:rPr>
              <w:fldChar w:fldCharType="end"/>
            </w:r>
            <w:r>
              <w:rPr>
                <w:rFonts w:eastAsia="Calibri" w:cs=""/>
                <w:i/>
                <w:iCs/>
                <w:kern w:val="0"/>
                <w:sz w:val="26"/>
                <w:szCs w:val="22"/>
                <w:lang w:val="ru-RU" w:eastAsia="en-US" w:bidi="ar-SA"/>
              </w:rPr>
              <w:t>))</w:t>
            </w:r>
          </w:p>
        </w:tc>
        <w:tc>
          <w:tcPr>
            <w:tcW w:w="2552"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_Ref149656148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4.14</w:t>
            </w:r>
            <w:r>
              <w:rPr>
                <w:sz w:val="26"/>
                <w:kern w:val="0"/>
                <w:szCs w:val="22"/>
                <w:rFonts w:eastAsia="Calibri" w:cs=""/>
                <w:lang w:val="ru-RU" w:eastAsia="en-US" w:bidi="ar-SA"/>
              </w:rPr>
              <w:fldChar w:fldCharType="end"/>
            </w:r>
            <w:r>
              <w:rPr>
                <w:rFonts w:eastAsia="Calibri" w:cs=""/>
                <w:kern w:val="0"/>
                <w:sz w:val="26"/>
                <w:szCs w:val="22"/>
                <w:lang w:val="ru-RU" w:eastAsia="en-US" w:bidi="ar-SA"/>
              </w:rPr>
              <w:br/>
            </w: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предложения установленным требованиям к предоставлению национального режима в части предоставления информации и перечня документов, которые подтверждают страну происхождения товара, установленным в </w:t>
            </w:r>
            <w:hyperlink w:anchor="Прил01_ТехТребования">
              <w:r>
                <w:rPr>
                  <w:rStyle w:val="Style11"/>
                  <w:rFonts w:eastAsia="Calibri" w:cs=""/>
                  <w:kern w:val="0"/>
                  <w:sz w:val="26"/>
                  <w:szCs w:val="22"/>
                  <w:lang w:val="ru-RU" w:eastAsia="en-US" w:bidi="ar-SA"/>
                </w:rPr>
                <w:t>Технических требованиях (Приложение № 1)</w:t>
              </w:r>
            </w:hyperlink>
          </w:p>
          <w:p>
            <w:pPr>
              <w:pStyle w:val="Style25"/>
              <w:widowControl w:val="false"/>
              <w:suppressAutoHyphens w:val="true"/>
              <w:spacing w:before="60" w:after="60"/>
              <w:rPr>
                <w:i/>
                <w:i/>
                <w:iCs/>
              </w:rPr>
            </w:pPr>
            <w:r>
              <w:rPr>
                <w:rFonts w:eastAsia="Calibri" w:cs=""/>
                <w:i/>
                <w:iCs/>
                <w:kern w:val="0"/>
                <w:sz w:val="26"/>
                <w:szCs w:val="22"/>
                <w:lang w:val="ru-RU" w:eastAsia="en-US" w:bidi="ar-SA"/>
              </w:rPr>
              <w:t>(пункт применяется только в случае установления режима ограничения закупки иностранной продукции или режима преимущества российской продукции (подраздел </w:t>
            </w:r>
            <w:r>
              <w:rPr>
                <w:rFonts w:eastAsia="Calibri" w:cs=""/>
                <w:i/>
                <w:iCs/>
                <w:kern w:val="0"/>
                <w:sz w:val="26"/>
                <w:szCs w:val="22"/>
                <w:lang w:val="ru-RU" w:eastAsia="en-US" w:bidi="ar-SA"/>
              </w:rPr>
              <w:fldChar w:fldCharType="begin"/>
            </w:r>
            <w:r>
              <w:rPr>
                <w:sz w:val="26"/>
                <w:i/>
                <w:kern w:val="0"/>
                <w:szCs w:val="22"/>
                <w:iCs/>
                <w:rFonts w:eastAsia="Calibri" w:cs=""/>
                <w:lang w:val="ru-RU" w:eastAsia="en-US" w:bidi="ar-SA"/>
              </w:rPr>
              <w:instrText xml:space="preserve"> REF _Ref149656148 \r \h </w:instrText>
            </w:r>
            <w:r>
              <w:rPr>
                <w:sz w:val="26"/>
                <w:i/>
                <w:kern w:val="0"/>
                <w:szCs w:val="22"/>
                <w:iCs/>
                <w:rFonts w:eastAsia="Calibri" w:cs=""/>
                <w:lang w:val="ru-RU" w:eastAsia="en-US" w:bidi="ar-SA"/>
              </w:rPr>
              <w:fldChar w:fldCharType="separate"/>
            </w:r>
            <w:r>
              <w:rPr>
                <w:sz w:val="26"/>
                <w:i/>
                <w:kern w:val="0"/>
                <w:szCs w:val="22"/>
                <w:iCs/>
                <w:rFonts w:eastAsia="Calibri" w:cs=""/>
                <w:lang w:val="ru-RU" w:eastAsia="en-US" w:bidi="ar-SA"/>
              </w:rPr>
              <w:t>4.14</w:t>
            </w:r>
            <w:r>
              <w:rPr>
                <w:sz w:val="26"/>
                <w:i/>
                <w:kern w:val="0"/>
                <w:szCs w:val="22"/>
                <w:iCs/>
                <w:rFonts w:eastAsia="Calibri" w:cs=""/>
                <w:lang w:val="ru-RU" w:eastAsia="en-US" w:bidi="ar-SA"/>
              </w:rPr>
              <w:fldChar w:fldCharType="end"/>
            </w:r>
            <w:r>
              <w:rPr>
                <w:rFonts w:eastAsia="Calibri" w:cs=""/>
                <w:i/>
                <w:iCs/>
                <w:kern w:val="0"/>
                <w:sz w:val="26"/>
                <w:szCs w:val="22"/>
                <w:lang w:val="ru-RU" w:eastAsia="en-US" w:bidi="ar-SA"/>
              </w:rPr>
              <w:t>))</w:t>
            </w:r>
          </w:p>
        </w:tc>
        <w:tc>
          <w:tcPr>
            <w:tcW w:w="2552"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_Ref149656148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4.14</w:t>
            </w:r>
            <w:r>
              <w:rPr>
                <w:sz w:val="26"/>
                <w:kern w:val="0"/>
                <w:szCs w:val="22"/>
                <w:rFonts w:eastAsia="Calibri" w:cs=""/>
                <w:lang w:val="ru-RU" w:eastAsia="en-US" w:bidi="ar-SA"/>
              </w:rPr>
              <w:fldChar w:fldCharType="end"/>
            </w:r>
            <w:r>
              <w:rPr>
                <w:rFonts w:eastAsia="Calibri" w:cs=""/>
                <w:kern w:val="0"/>
                <w:sz w:val="26"/>
                <w:szCs w:val="22"/>
                <w:lang w:val="ru-RU" w:eastAsia="en-US" w:bidi="ar-SA"/>
              </w:rPr>
              <w:br/>
            </w: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объемов и состава работ / услуг, технологии производства работ, предложенных Участником в Техническом предложении, требованиям, указанным в </w:t>
            </w:r>
            <w:hyperlink w:anchor="Прил01_ТехТребования">
              <w:r>
                <w:rPr>
                  <w:rStyle w:val="Style11"/>
                  <w:rFonts w:eastAsia="Calibri" w:cs=""/>
                  <w:kern w:val="0"/>
                  <w:sz w:val="26"/>
                  <w:szCs w:val="22"/>
                  <w:lang w:val="ru-RU" w:eastAsia="en-US" w:bidi="ar-SA"/>
                </w:rPr>
                <w:t>Технический требованиях (Приложение № 1)</w:t>
              </w:r>
            </w:hyperlink>
          </w:p>
        </w:tc>
        <w:tc>
          <w:tcPr>
            <w:tcW w:w="2552"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br/>
            </w: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номенклатуры, количества и характеристик материалов / оборудования, предложенных Участником в Техническом предложении, требованиям, указанным в </w:t>
            </w:r>
            <w:hyperlink w:anchor="Прил01_ТехТребования">
              <w:r>
                <w:rPr>
                  <w:rStyle w:val="Style11"/>
                  <w:rFonts w:eastAsia="Calibri" w:cs=""/>
                  <w:kern w:val="0"/>
                  <w:sz w:val="26"/>
                  <w:szCs w:val="22"/>
                  <w:lang w:val="ru-RU" w:eastAsia="en-US" w:bidi="ar-SA"/>
                </w:rPr>
                <w:t>Технический требованиях (Приложение № 1)</w:t>
              </w:r>
            </w:hyperlink>
          </w:p>
        </w:tc>
        <w:tc>
          <w:tcPr>
            <w:tcW w:w="2552"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br/>
            </w: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Календарного графика требованиям к срокам реализации Договора, указанным в </w:t>
            </w:r>
            <w:hyperlink w:anchor="Прил01_ТехТребования">
              <w:r>
                <w:rPr>
                  <w:rStyle w:val="Style11"/>
                  <w:rFonts w:eastAsia="Calibri" w:cs=""/>
                  <w:kern w:val="0"/>
                  <w:sz w:val="26"/>
                  <w:szCs w:val="22"/>
                  <w:lang w:val="ru-RU" w:eastAsia="en-US" w:bidi="ar-SA"/>
                </w:rPr>
                <w:t>Технический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11"/>
                  <w:rFonts w:eastAsia="Calibri" w:cs=""/>
                  <w:kern w:val="0"/>
                  <w:sz w:val="26"/>
                  <w:szCs w:val="22"/>
                  <w:lang w:val="ru-RU" w:eastAsia="en-US" w:bidi="ar-SA"/>
                </w:rPr>
                <w:t>Проекте договора (Приложение № 2)</w:t>
              </w:r>
            </w:hyperlink>
          </w:p>
        </w:tc>
        <w:tc>
          <w:tcPr>
            <w:tcW w:w="2552" w:type="dxa"/>
            <w:tcBorders/>
          </w:tcPr>
          <w:p>
            <w:pPr>
              <w:pStyle w:val="Style25"/>
              <w:widowControl w:val="false"/>
              <w:suppressAutoHyphens w:val="true"/>
              <w:spacing w:before="60" w:after="60"/>
              <w:jc w:val="center"/>
              <w:rPr/>
            </w:pPr>
            <w:hyperlink w:anchor="Прил01_ТехТребования">
              <w:r>
                <w:rPr>
                  <w:rStyle w:val="Style11"/>
                  <w:rFonts w:eastAsia="Calibri" w:cs=""/>
                  <w:kern w:val="0"/>
                  <w:sz w:val="26"/>
                  <w:szCs w:val="22"/>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11"/>
                  <w:rFonts w:eastAsia="Calibri" w:cs=""/>
                  <w:kern w:val="0"/>
                  <w:sz w:val="26"/>
                  <w:szCs w:val="22"/>
                  <w:lang w:val="ru-RU" w:eastAsia="en-US" w:bidi="ar-SA"/>
                </w:rPr>
                <w:t>Приложение № 2</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требованиям к гарантии на поставляемые материалы / оборудование и результаты выполненных работ, указанным в </w:t>
            </w:r>
            <w:hyperlink w:anchor="Прил01_ТехТребования">
              <w:r>
                <w:rPr>
                  <w:rStyle w:val="Style11"/>
                  <w:rFonts w:eastAsia="Calibri" w:cs=""/>
                  <w:kern w:val="0"/>
                  <w:sz w:val="26"/>
                  <w:szCs w:val="22"/>
                  <w:lang w:val="ru-RU" w:eastAsia="en-US" w:bidi="ar-SA"/>
                </w:rPr>
                <w:t>Технический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11"/>
                  <w:rFonts w:eastAsia="Calibri" w:cs=""/>
                  <w:kern w:val="0"/>
                  <w:sz w:val="26"/>
                  <w:szCs w:val="22"/>
                  <w:lang w:val="ru-RU" w:eastAsia="en-US" w:bidi="ar-SA"/>
                </w:rPr>
                <w:t>Проекте договора (Приложение № 2)</w:t>
              </w:r>
            </w:hyperlink>
          </w:p>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2552" w:type="dxa"/>
            <w:tcBorders/>
          </w:tcPr>
          <w:p>
            <w:pPr>
              <w:pStyle w:val="Style25"/>
              <w:widowControl w:val="false"/>
              <w:suppressAutoHyphens w:val="true"/>
              <w:spacing w:before="60" w:after="60"/>
              <w:jc w:val="center"/>
              <w:rPr/>
            </w:pPr>
            <w:hyperlink w:anchor="Прил01_ТехТребования">
              <w:r>
                <w:rPr>
                  <w:rStyle w:val="Style11"/>
                  <w:rFonts w:eastAsia="Calibri" w:cs=""/>
                  <w:kern w:val="0"/>
                  <w:sz w:val="26"/>
                  <w:szCs w:val="22"/>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11"/>
                  <w:rFonts w:eastAsia="Calibri" w:cs=""/>
                  <w:kern w:val="0"/>
                  <w:sz w:val="26"/>
                  <w:szCs w:val="22"/>
                  <w:lang w:val="ru-RU" w:eastAsia="en-US" w:bidi="ar-SA"/>
                </w:rPr>
                <w:t>Приложение № 2</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128" w:type="dxa"/>
            <w:tcBorders/>
          </w:tcPr>
          <w:p>
            <w:pPr>
              <w:pStyle w:val="Style25"/>
              <w:widowControl w:val="false"/>
              <w:numPr>
                <w:ilvl w:val="0"/>
                <w:numId w:val="7"/>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782"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дополнительным требованиям, установленным в </w:t>
            </w:r>
            <w:hyperlink w:anchor="Прил01_ТехТребования">
              <w:r>
                <w:rPr>
                  <w:rStyle w:val="Style11"/>
                  <w:rFonts w:eastAsia="Calibri" w:cs=""/>
                  <w:kern w:val="0"/>
                  <w:sz w:val="26"/>
                  <w:szCs w:val="22"/>
                  <w:lang w:val="ru-RU" w:eastAsia="en-US" w:bidi="ar-SA"/>
                </w:rPr>
                <w:t>Технический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w:t>
            </w:r>
          </w:p>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2552" w:type="dxa"/>
            <w:tcBorders/>
          </w:tcPr>
          <w:p>
            <w:pPr>
              <w:pStyle w:val="Style25"/>
              <w:widowControl w:val="false"/>
              <w:suppressAutoHyphens w:val="true"/>
              <w:spacing w:before="60" w:after="60"/>
              <w:jc w:val="center"/>
              <w:rPr/>
            </w:pP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20"/>
        <w:spacing w:before="360" w:after="120"/>
        <w:rPr>
          <w:rStyle w:val="Style8"/>
          <w:i w:val="false"/>
          <w:i w:val="false"/>
          <w:iCs w:val="false"/>
          <w:shd w:fill="auto" w:val="clear"/>
        </w:rPr>
      </w:pPr>
      <w:bookmarkStart w:id="361" w:name="_Toc188946968"/>
      <w:bookmarkStart w:id="362" w:name="_Hlk132891087"/>
      <w:r>
        <w:rPr>
          <w:rStyle w:val="Style8"/>
          <w:i w:val="false"/>
          <w:iCs w:val="false"/>
          <w:shd w:fill="auto" w:val="clear"/>
        </w:rPr>
        <w:t>Отборочные критерии рассмотрения вторых частей заявок</w:t>
      </w:r>
      <w:bookmarkEnd w:id="361"/>
      <w:bookmarkEnd w:id="362"/>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1270"/>
        <w:gridCol w:w="9924"/>
        <w:gridCol w:w="2268"/>
        <w:gridCol w:w="1663"/>
      </w:tblGrid>
      <w:tr>
        <w:trPr>
          <w:cnfStyle w:val="100000000000" w:firstRow="1" w:lastRow="0" w:firstColumn="0" w:lastColumn="0" w:oddVBand="0" w:evenVBand="0" w:oddHBand="0" w:evenHBand="0" w:firstRowFirstColumn="0" w:firstRowLastColumn="0" w:lastRowFirstColumn="0" w:lastRowLastColumn="0"/>
        </w:trPr>
        <w:tc>
          <w:tcPr>
            <w:tcW w:w="1270"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w:t>
              <w:br/>
              <w:t>критерия</w:t>
            </w:r>
          </w:p>
        </w:tc>
        <w:tc>
          <w:tcPr>
            <w:tcW w:w="9924"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Наименование</w:t>
              <w:br/>
              <w:t>отборочного критерия</w:t>
            </w:r>
          </w:p>
        </w:tc>
        <w:tc>
          <w:tcPr>
            <w:tcW w:w="2268"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 пункта</w:t>
              <w:br/>
              <w:t>Документации о закупке</w:t>
            </w:r>
          </w:p>
        </w:tc>
        <w:tc>
          <w:tcPr>
            <w:tcW w:w="1663"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Направления</w:t>
              <w:br/>
              <w:t>оценки заявок*</w:t>
            </w:r>
          </w:p>
        </w:tc>
      </w:tr>
      <w:tr>
        <w:trPr/>
        <w:tc>
          <w:tcPr>
            <w:tcW w:w="15125" w:type="dxa"/>
            <w:gridSpan w:val="4"/>
            <w:tcBorders/>
          </w:tcPr>
          <w:p>
            <w:pPr>
              <w:pStyle w:val="Style25"/>
              <w:widowControl w:val="false"/>
              <w:suppressAutoHyphens w:val="true"/>
              <w:spacing w:before="60" w:after="60"/>
              <w:jc w:val="center"/>
              <w:rPr>
                <w:b/>
                <w:bCs/>
              </w:rPr>
            </w:pPr>
            <w:r>
              <w:rPr>
                <w:rFonts w:eastAsia="Calibri" w:cs=""/>
                <w:b/>
                <w:bCs/>
                <w:kern w:val="0"/>
                <w:sz w:val="26"/>
                <w:szCs w:val="22"/>
                <w:lang w:val="ru-RU" w:eastAsia="en-US" w:bidi="ar-SA"/>
              </w:rPr>
              <w:t>Состав и правильность оформления второй части заявки, в том числе:</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Наличие в составе второй части заявки всех обязательных к предоставлению (для целей рассмотрения вторых частей заявок в рамках отборочной стадии) документов в соответствии с требованиями </w:t>
            </w:r>
            <w:hyperlink w:anchor="Прил06_СоставЗаявки">
              <w:r>
                <w:rPr>
                  <w:rStyle w:val="Style11"/>
                  <w:rFonts w:eastAsia="Calibri" w:cs=""/>
                  <w:kern w:val="0"/>
                  <w:sz w:val="26"/>
                  <w:szCs w:val="22"/>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наличия должных печатей, подписей, формы заверения, языка и валюты заявки)</w:t>
            </w:r>
          </w:p>
        </w:tc>
        <w:tc>
          <w:tcPr>
            <w:tcW w:w="2268" w:type="dxa"/>
            <w:tcBorders/>
          </w:tcPr>
          <w:p>
            <w:pPr>
              <w:pStyle w:val="Style25"/>
              <w:widowControl w:val="false"/>
              <w:suppressAutoHyphens w:val="true"/>
              <w:spacing w:before="60" w:after="60"/>
              <w:jc w:val="center"/>
              <w:rPr>
                <w:rStyle w:val="Style11"/>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_Ref125362119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4.6</w:t>
            </w:r>
            <w:r>
              <w:rPr>
                <w:sz w:val="26"/>
                <w:kern w:val="0"/>
                <w:szCs w:val="22"/>
                <w:rFonts w:eastAsia="Calibri" w:cs=""/>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11"/>
                  <w:rFonts w:eastAsia="Calibri" w:cs=""/>
                  <w:kern w:val="0"/>
                  <w:sz w:val="26"/>
                  <w:szCs w:val="22"/>
                  <w:lang w:val="ru-RU" w:eastAsia="en-US" w:bidi="ar-SA"/>
                </w:rPr>
                <w:t>Приложение № 6</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rHeight w:val="1931" w:hRule="atLeast"/>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второй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 а также противоречий между документами заявки и сведениями, указанными Участником в структурированных формах на ЭП</w:t>
            </w:r>
          </w:p>
        </w:tc>
        <w:tc>
          <w:tcPr>
            <w:tcW w:w="2268"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c>
          <w:tcPr>
            <w:tcW w:w="15125" w:type="dxa"/>
            <w:gridSpan w:val="4"/>
            <w:tcBorders/>
          </w:tcPr>
          <w:p>
            <w:pPr>
              <w:pStyle w:val="Style25"/>
              <w:keepNext w:val="true"/>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Соответствие Письма о подаче оферты:</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(в том числе содержание) Письма о подаче оферты установленной форме и иным требованиям Документации о закупке, в т.ч. в части срока действия заявки</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w:t>
              <w:br/>
            </w:r>
            <w:hyperlink w:anchor="Прил04_ФормыЗаявки">
              <w:r>
                <w:rPr>
                  <w:rStyle w:val="Style11"/>
                  <w:rFonts w:eastAsia="Calibri" w:cs=""/>
                  <w:kern w:val="0"/>
                  <w:sz w:val="26"/>
                  <w:szCs w:val="22"/>
                  <w:lang w:val="ru-RU" w:eastAsia="en-US" w:bidi="ar-SA"/>
                </w:rPr>
                <w:t>Приложение № 4</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5125" w:type="dxa"/>
            <w:gridSpan w:val="4"/>
            <w:tcBorders/>
          </w:tcPr>
          <w:p>
            <w:pPr>
              <w:pStyle w:val="Style25"/>
              <w:widowControl w:val="false"/>
              <w:suppressAutoHyphens w:val="true"/>
              <w:spacing w:before="60" w:after="60"/>
              <w:jc w:val="center"/>
              <w:rPr>
                <w:b/>
                <w:bCs/>
              </w:rPr>
            </w:pPr>
            <w:r>
              <w:rPr>
                <w:rFonts w:eastAsia="Calibri" w:cs=""/>
                <w:b/>
                <w:bCs/>
                <w:kern w:val="0"/>
                <w:sz w:val="26"/>
                <w:szCs w:val="22"/>
                <w:lang w:val="ru-RU" w:eastAsia="en-US" w:bidi="ar-SA"/>
              </w:rPr>
              <w:t>Соответствие Участника установленным требованиям Документации о закупке, в том числе:</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_Ref125552433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1</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25"/>
              <w:widowControl w:val="false"/>
              <w:suppressAutoHyphens w:val="true"/>
              <w:spacing w:before="60" w:after="60"/>
              <w:rPr>
                <w:i/>
                <w:i/>
                <w:iCs/>
              </w:rPr>
            </w:pPr>
            <w:r>
              <w:rPr>
                <w:rFonts w:eastAsia="Calibri" w:cs=""/>
                <w:i/>
                <w:iCs/>
                <w:kern w:val="0"/>
                <w:sz w:val="26"/>
                <w:szCs w:val="22"/>
                <w:lang w:val="ru-RU" w:eastAsia="en-US" w:bidi="ar-SA"/>
              </w:rPr>
              <w:t>(в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cs=""/>
                <w:i/>
                <w:iCs/>
                <w:kern w:val="0"/>
                <w:sz w:val="26"/>
                <w:szCs w:val="22"/>
                <w:lang w:val="ru-RU" w:eastAsia="en-US" w:bidi="ar-SA"/>
              </w:rPr>
              <w:fldChar w:fldCharType="begin"/>
            </w:r>
            <w:r>
              <w:rPr>
                <w:sz w:val="26"/>
                <w:i/>
                <w:kern w:val="0"/>
                <w:szCs w:val="22"/>
                <w:iCs/>
                <w:rFonts w:eastAsia="Calibri" w:cs=""/>
                <w:lang w:val="ru-RU" w:eastAsia="en-US" w:bidi="ar-SA"/>
              </w:rPr>
              <w:instrText xml:space="preserve"> REF _Ref138341423 \r \h </w:instrText>
            </w:r>
            <w:r>
              <w:rPr>
                <w:sz w:val="26"/>
                <w:i/>
                <w:kern w:val="0"/>
                <w:szCs w:val="22"/>
                <w:iCs/>
                <w:rFonts w:eastAsia="Calibri" w:cs=""/>
                <w:lang w:val="ru-RU" w:eastAsia="en-US" w:bidi="ar-SA"/>
              </w:rPr>
              <w:fldChar w:fldCharType="separate"/>
            </w:r>
            <w:r>
              <w:rPr>
                <w:sz w:val="26"/>
                <w:i/>
                <w:kern w:val="0"/>
                <w:szCs w:val="22"/>
                <w:iCs/>
                <w:rFonts w:eastAsia="Calibri" w:cs=""/>
                <w:lang w:val="ru-RU" w:eastAsia="en-US" w:bidi="ar-SA"/>
              </w:rPr>
              <w:t>5.2</w:t>
            </w:r>
            <w:r>
              <w:rPr>
                <w:sz w:val="26"/>
                <w:i/>
                <w:kern w:val="0"/>
                <w:szCs w:val="22"/>
                <w:iCs/>
                <w:rFonts w:eastAsia="Calibri" w:cs=""/>
                <w:lang w:val="ru-RU" w:eastAsia="en-US" w:bidi="ar-SA"/>
              </w:rPr>
              <w:fldChar w:fldCharType="end"/>
            </w:r>
            <w:r>
              <w:rPr>
                <w:rFonts w:eastAsia="Calibri" w:cs=""/>
                <w:i/>
                <w:iCs/>
                <w:kern w:val="0"/>
                <w:sz w:val="26"/>
                <w:szCs w:val="22"/>
                <w:lang w:val="ru-RU" w:eastAsia="en-US" w:bidi="ar-SA"/>
              </w:rPr>
              <w:t>)</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_Ref125361435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8.2</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Юр</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_Ref132893662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2</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_Ref125361435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8.2</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3 обязательных требований к Участникам</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_Ref125361435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8.2</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_Ref186184202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25"/>
              <w:widowControl w:val="false"/>
              <w:suppressAutoHyphens w:val="true"/>
              <w:spacing w:before="60" w:after="60"/>
              <w:rPr>
                <w:i/>
                <w:i/>
                <w:iCs/>
              </w:rPr>
            </w:pPr>
            <w:r>
              <w:rPr>
                <w:rFonts w:eastAsia="Calibri" w:cs=""/>
                <w:i/>
                <w:iCs/>
                <w:kern w:val="0"/>
                <w:sz w:val="26"/>
                <w:szCs w:val="22"/>
                <w:lang w:val="ru-RU" w:eastAsia="en-US" w:bidi="ar-SA"/>
              </w:rPr>
              <w:t>(пункт применяется только в случае установления режима запрета закупки иностранной продукции (подраздел </w:t>
            </w:r>
            <w:r>
              <w:rPr>
                <w:rFonts w:eastAsia="Calibri" w:cs=""/>
                <w:i/>
                <w:iCs/>
                <w:kern w:val="0"/>
                <w:sz w:val="26"/>
                <w:szCs w:val="22"/>
                <w:lang w:val="ru-RU" w:eastAsia="en-US" w:bidi="ar-SA"/>
              </w:rPr>
              <w:fldChar w:fldCharType="begin"/>
            </w:r>
            <w:r>
              <w:rPr>
                <w:sz w:val="26"/>
                <w:i/>
                <w:kern w:val="0"/>
                <w:szCs w:val="22"/>
                <w:iCs/>
                <w:rFonts w:eastAsia="Calibri" w:cs=""/>
                <w:lang w:val="ru-RU" w:eastAsia="en-US" w:bidi="ar-SA"/>
              </w:rPr>
              <w:instrText xml:space="preserve"> REF _Ref149648944 \r \h </w:instrText>
            </w:r>
            <w:r>
              <w:rPr>
                <w:sz w:val="26"/>
                <w:i/>
                <w:kern w:val="0"/>
                <w:szCs w:val="22"/>
                <w:iCs/>
                <w:rFonts w:eastAsia="Calibri" w:cs=""/>
                <w:lang w:val="ru-RU" w:eastAsia="en-US" w:bidi="ar-SA"/>
              </w:rPr>
              <w:fldChar w:fldCharType="separate"/>
            </w:r>
            <w:r>
              <w:rPr>
                <w:sz w:val="26"/>
                <w:i/>
                <w:kern w:val="0"/>
                <w:szCs w:val="22"/>
                <w:iCs/>
                <w:rFonts w:eastAsia="Calibri" w:cs=""/>
                <w:lang w:val="ru-RU" w:eastAsia="en-US" w:bidi="ar-SA"/>
              </w:rPr>
              <w:t>Ошибка: источник перекрёстной ссылки не найден</w:t>
            </w:r>
            <w:r>
              <w:rPr>
                <w:sz w:val="26"/>
                <w:i/>
                <w:kern w:val="0"/>
                <w:szCs w:val="22"/>
                <w:iCs/>
                <w:rFonts w:eastAsia="Calibri" w:cs=""/>
                <w:lang w:val="ru-RU" w:eastAsia="en-US" w:bidi="ar-SA"/>
              </w:rPr>
              <w:fldChar w:fldCharType="end"/>
            </w:r>
            <w:r>
              <w:rPr>
                <w:rFonts w:eastAsia="Calibri" w:cs=""/>
                <w:i/>
                <w:iCs/>
                <w:kern w:val="0"/>
                <w:sz w:val="26"/>
                <w:szCs w:val="22"/>
                <w:lang w:val="ru-RU" w:eastAsia="en-US" w:bidi="ar-SA"/>
              </w:rPr>
              <w:t>))</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_Ref125361435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8.2</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_Ref186184207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5</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25"/>
              <w:widowControl w:val="false"/>
              <w:suppressAutoHyphens w:val="true"/>
              <w:spacing w:before="60" w:after="60"/>
              <w:rPr>
                <w:i/>
                <w:i/>
                <w:iCs/>
              </w:rPr>
            </w:pPr>
            <w:r>
              <w:rPr>
                <w:rFonts w:eastAsia="Calibri" w:cs=""/>
                <w:i/>
                <w:iCs/>
                <w:kern w:val="0"/>
                <w:sz w:val="26"/>
                <w:szCs w:val="22"/>
                <w:lang w:val="ru-RU" w:eastAsia="en-US" w:bidi="ar-SA"/>
              </w:rPr>
              <w:t>(пункт применяется только в случае установления режима ограничения закупки иностранной продукции или режима преимущества российской продукции (подраздел </w:t>
            </w:r>
            <w:r>
              <w:rPr>
                <w:rFonts w:eastAsia="Calibri" w:cs=""/>
                <w:i/>
                <w:iCs/>
                <w:kern w:val="0"/>
                <w:sz w:val="26"/>
                <w:szCs w:val="22"/>
                <w:lang w:val="ru-RU" w:eastAsia="en-US" w:bidi="ar-SA"/>
              </w:rPr>
              <w:fldChar w:fldCharType="begin"/>
            </w:r>
            <w:r>
              <w:rPr>
                <w:sz w:val="26"/>
                <w:i/>
                <w:kern w:val="0"/>
                <w:szCs w:val="22"/>
                <w:iCs/>
                <w:rFonts w:eastAsia="Calibri" w:cs=""/>
                <w:lang w:val="ru-RU" w:eastAsia="en-US" w:bidi="ar-SA"/>
              </w:rPr>
              <w:instrText xml:space="preserve"> REF _Ref149648944 \r \h </w:instrText>
            </w:r>
            <w:r>
              <w:rPr>
                <w:sz w:val="26"/>
                <w:i/>
                <w:kern w:val="0"/>
                <w:szCs w:val="22"/>
                <w:iCs/>
                <w:rFonts w:eastAsia="Calibri" w:cs=""/>
                <w:lang w:val="ru-RU" w:eastAsia="en-US" w:bidi="ar-SA"/>
              </w:rPr>
              <w:fldChar w:fldCharType="separate"/>
            </w:r>
            <w:r>
              <w:rPr>
                <w:sz w:val="26"/>
                <w:i/>
                <w:kern w:val="0"/>
                <w:szCs w:val="22"/>
                <w:iCs/>
                <w:rFonts w:eastAsia="Calibri" w:cs=""/>
                <w:lang w:val="ru-RU" w:eastAsia="en-US" w:bidi="ar-SA"/>
              </w:rPr>
              <w:t>Ошибка: источник перекрёстной ссылки не найден</w:t>
            </w:r>
            <w:r>
              <w:rPr>
                <w:sz w:val="26"/>
                <w:i/>
                <w:kern w:val="0"/>
                <w:szCs w:val="22"/>
                <w:iCs/>
                <w:rFonts w:eastAsia="Calibri" w:cs=""/>
                <w:lang w:val="ru-RU" w:eastAsia="en-US" w:bidi="ar-SA"/>
              </w:rPr>
              <w:fldChar w:fldCharType="end"/>
            </w:r>
            <w:r>
              <w:rPr>
                <w:rFonts w:eastAsia="Calibri" w:cs=""/>
                <w:i/>
                <w:iCs/>
                <w:kern w:val="0"/>
                <w:sz w:val="26"/>
                <w:szCs w:val="22"/>
                <w:lang w:val="ru-RU" w:eastAsia="en-US" w:bidi="ar-SA"/>
              </w:rPr>
              <w:t>))</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_Ref125361435 \w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8.2</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специальным требованиям к Участникам</w:t>
            </w:r>
          </w:p>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_Ref125361442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8.3</w:t>
            </w:r>
            <w:r>
              <w:rPr>
                <w:sz w:val="26"/>
                <w:kern w:val="0"/>
                <w:szCs w:val="22"/>
                <w:rFonts w:eastAsia="Calibri" w:cs=""/>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11"/>
                  <w:rFonts w:eastAsia="Calibri" w:cs=""/>
                  <w:kern w:val="0"/>
                  <w:sz w:val="26"/>
                  <w:szCs w:val="22"/>
                  <w:lang w:val="ru-RU" w:eastAsia="en-US" w:bidi="ar-SA"/>
                </w:rPr>
                <w:t>Приложение № 3</w:t>
              </w:r>
            </w:hyperlink>
            <w:r>
              <w:rPr>
                <w:rFonts w:eastAsia="Calibri" w:cs=""/>
                <w:kern w:val="0"/>
                <w:sz w:val="26"/>
                <w:szCs w:val="22"/>
                <w:lang w:val="ru-RU" w:eastAsia="en-US" w:bidi="ar-SA"/>
              </w:rPr>
              <w:t>)</w:t>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5125" w:type="dxa"/>
            <w:gridSpan w:val="4"/>
            <w:tcBorders/>
          </w:tcPr>
          <w:p>
            <w:pPr>
              <w:pStyle w:val="Style25"/>
              <w:keepNext w:val="true"/>
              <w:widowControl w:val="false"/>
              <w:suppressAutoHyphens w:val="true"/>
              <w:spacing w:before="60" w:after="60"/>
              <w:jc w:val="center"/>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11"/>
                  <w:rFonts w:eastAsia="Calibri" w:cs=""/>
                  <w:b/>
                  <w:bCs/>
                  <w:kern w:val="0"/>
                  <w:sz w:val="26"/>
                  <w:szCs w:val="22"/>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r>
      <w:tr>
        <w:trPr/>
        <w:tc>
          <w:tcPr>
            <w:tcW w:w="1270" w:type="dxa"/>
            <w:tcBorders/>
          </w:tcPr>
          <w:p>
            <w:pPr>
              <w:pStyle w:val="Style25"/>
              <w:widowControl w:val="false"/>
              <w:numPr>
                <w:ilvl w:val="0"/>
                <w:numId w:val="9"/>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иным требованиям, установленным в </w:t>
            </w:r>
            <w:hyperlink w:anchor="Прил01_ТехТребования">
              <w:r>
                <w:rPr>
                  <w:rStyle w:val="Style11"/>
                  <w:rFonts w:eastAsia="Calibri" w:cs=""/>
                  <w:kern w:val="0"/>
                  <w:sz w:val="26"/>
                  <w:szCs w:val="22"/>
                  <w:lang w:val="ru-RU" w:eastAsia="en-US" w:bidi="ar-SA"/>
                </w:rPr>
                <w:t>Технических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w:t>
            </w:r>
          </w:p>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2268" w:type="dxa"/>
            <w:tcBorders/>
          </w:tcPr>
          <w:p>
            <w:pPr>
              <w:pStyle w:val="Style25"/>
              <w:widowControl w:val="false"/>
              <w:suppressAutoHyphens w:val="true"/>
              <w:spacing w:before="60" w:after="60"/>
              <w:jc w:val="center"/>
              <w:rPr/>
            </w:pP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20"/>
        <w:spacing w:before="360" w:after="120"/>
        <w:rPr>
          <w:rStyle w:val="Style8"/>
          <w:i w:val="false"/>
          <w:i w:val="false"/>
          <w:iCs w:val="false"/>
          <w:shd w:fill="auto" w:val="clear"/>
        </w:rPr>
      </w:pPr>
      <w:bookmarkStart w:id="363" w:name="_Toc188946969"/>
      <w:r>
        <w:rPr>
          <w:rStyle w:val="Style8"/>
          <w:i w:val="false"/>
          <w:iCs w:val="false"/>
          <w:shd w:fill="auto" w:val="clear"/>
        </w:rPr>
        <w:t>Отборочные критерии рассмотрения ценовых предложений</w:t>
      </w:r>
      <w:bookmarkEnd w:id="363"/>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1270"/>
        <w:gridCol w:w="9924"/>
        <w:gridCol w:w="2268"/>
        <w:gridCol w:w="1663"/>
      </w:tblGrid>
      <w:tr>
        <w:trPr>
          <w:cnfStyle w:val="100000000000" w:firstRow="1" w:lastRow="0" w:firstColumn="0" w:lastColumn="0" w:oddVBand="0" w:evenVBand="0" w:oddHBand="0" w:evenHBand="0" w:firstRowFirstColumn="0" w:firstRowLastColumn="0" w:lastRowFirstColumn="0" w:lastRowLastColumn="0"/>
        </w:trPr>
        <w:tc>
          <w:tcPr>
            <w:tcW w:w="1270"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w:t>
              <w:br/>
              <w:t>критерия</w:t>
            </w:r>
          </w:p>
        </w:tc>
        <w:tc>
          <w:tcPr>
            <w:tcW w:w="9924"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Наименование</w:t>
              <w:br/>
              <w:t>отборочного критерия</w:t>
            </w:r>
          </w:p>
        </w:tc>
        <w:tc>
          <w:tcPr>
            <w:tcW w:w="2268"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 пункта</w:t>
              <w:br/>
              <w:t>Документации о закупке</w:t>
            </w:r>
          </w:p>
        </w:tc>
        <w:tc>
          <w:tcPr>
            <w:tcW w:w="1663"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Направления</w:t>
              <w:br/>
              <w:t>оценки заявок*</w:t>
            </w:r>
          </w:p>
        </w:tc>
      </w:tr>
      <w:tr>
        <w:trPr/>
        <w:tc>
          <w:tcPr>
            <w:tcW w:w="15125" w:type="dxa"/>
            <w:gridSpan w:val="4"/>
            <w:tcBorders/>
          </w:tcPr>
          <w:p>
            <w:pPr>
              <w:pStyle w:val="Style25"/>
              <w:widowControl w:val="false"/>
              <w:suppressAutoHyphens w:val="true"/>
              <w:spacing w:before="60" w:after="60"/>
              <w:jc w:val="center"/>
              <w:rPr>
                <w:b/>
                <w:bCs/>
              </w:rPr>
            </w:pPr>
            <w:r>
              <w:rPr>
                <w:rFonts w:eastAsia="Calibri" w:cs=""/>
                <w:b/>
                <w:bCs/>
                <w:kern w:val="0"/>
                <w:sz w:val="26"/>
                <w:szCs w:val="22"/>
                <w:lang w:val="ru-RU" w:eastAsia="en-US" w:bidi="ar-SA"/>
              </w:rPr>
              <w:t>Состав, содержание и правильность оформления ценового предложения, в том числе:</w:t>
            </w:r>
          </w:p>
        </w:tc>
      </w:tr>
      <w:tr>
        <w:trPr/>
        <w:tc>
          <w:tcPr>
            <w:tcW w:w="1270" w:type="dxa"/>
            <w:tcBorders/>
          </w:tcPr>
          <w:p>
            <w:pPr>
              <w:pStyle w:val="Style25"/>
              <w:widowControl w:val="false"/>
              <w:numPr>
                <w:ilvl w:val="0"/>
                <w:numId w:val="10"/>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pPr>
            <w:r>
              <w:rPr>
                <w:rFonts w:eastAsia="Calibri" w:cs=""/>
                <w:kern w:val="0"/>
                <w:sz w:val="26"/>
                <w:szCs w:val="22"/>
                <w:lang w:val="ru-RU" w:eastAsia="en-US" w:bidi="ar-SA"/>
              </w:rPr>
              <w:t xml:space="preserve">Соответствие ценового предложения по составу требованиям </w:t>
            </w:r>
            <w:hyperlink w:anchor="Прил06_СоставЗаявки">
              <w:r>
                <w:rPr>
                  <w:rStyle w:val="Style11"/>
                  <w:rFonts w:eastAsia="Calibri" w:cs=""/>
                  <w:kern w:val="0"/>
                  <w:sz w:val="26"/>
                  <w:szCs w:val="22"/>
                  <w:lang w:val="ru-RU" w:eastAsia="en-US" w:bidi="ar-SA"/>
                </w:rPr>
                <w:t>Приложения № 6 «Состав заявки»</w:t>
              </w:r>
            </w:hyperlink>
            <w:r>
              <w:rPr>
                <w:rFonts w:eastAsia="Calibri" w:cs=""/>
                <w:kern w:val="0"/>
                <w:sz w:val="26"/>
                <w:szCs w:val="22"/>
                <w:lang w:val="ru-RU" w:eastAsia="en-US" w:bidi="ar-SA"/>
              </w:rPr>
              <w:t>, а также правильности оформления документов, входящих в его состав, в том числе установленной форме и иным и иным требованиям Документации о закупке (в т.ч. в части языка и валюты заявки)</w:t>
            </w:r>
          </w:p>
        </w:tc>
        <w:tc>
          <w:tcPr>
            <w:tcW w:w="2268"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_Ref125362119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4.6</w:t>
            </w:r>
            <w:r>
              <w:rPr>
                <w:sz w:val="26"/>
                <w:kern w:val="0"/>
                <w:szCs w:val="22"/>
                <w:rFonts w:eastAsia="Calibri" w:cs=""/>
                <w:lang w:val="ru-RU" w:eastAsia="en-US" w:bidi="ar-SA"/>
              </w:rPr>
              <w:fldChar w:fldCharType="end"/>
            </w:r>
            <w:r>
              <w:rPr>
                <w:rFonts w:eastAsia="Calibri" w:cs=""/>
                <w:kern w:val="0"/>
                <w:sz w:val="26"/>
                <w:szCs w:val="22"/>
                <w:lang w:val="ru-RU" w:eastAsia="en-US" w:bidi="ar-SA"/>
              </w:rPr>
              <w:t>,</w:t>
            </w:r>
          </w:p>
          <w:p>
            <w:pPr>
              <w:pStyle w:val="Style25"/>
              <w:widowControl w:val="false"/>
              <w:suppressAutoHyphens w:val="true"/>
              <w:spacing w:before="60" w:after="60"/>
              <w:jc w:val="center"/>
              <w:rPr>
                <w:rStyle w:val="Style11"/>
              </w:rPr>
            </w:pPr>
            <w:hyperlink w:anchor="Прил06_СоставЗаявки">
              <w:r>
                <w:rPr>
                  <w:rStyle w:val="Style11"/>
                  <w:rFonts w:eastAsia="Calibri" w:cs=""/>
                  <w:kern w:val="0"/>
                  <w:sz w:val="26"/>
                  <w:szCs w:val="22"/>
                  <w:lang w:val="ru-RU" w:eastAsia="en-US" w:bidi="ar-SA"/>
                </w:rPr>
                <w:t>Приложение № 6</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270" w:type="dxa"/>
            <w:tcBorders/>
          </w:tcPr>
          <w:p>
            <w:pPr>
              <w:pStyle w:val="Style25"/>
              <w:widowControl w:val="false"/>
              <w:numPr>
                <w:ilvl w:val="0"/>
                <w:numId w:val="10"/>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(документов) ценового предложения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 а также противоречий между документами заявки и сведениями, указанными Участником в структурированных формах на ЭП</w:t>
            </w:r>
          </w:p>
        </w:tc>
        <w:tc>
          <w:tcPr>
            <w:tcW w:w="2268"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5125" w:type="dxa"/>
            <w:gridSpan w:val="4"/>
            <w:tcBorders/>
          </w:tcPr>
          <w:p>
            <w:pPr>
              <w:pStyle w:val="Style25"/>
              <w:keepNext w:val="true"/>
              <w:widowControl w:val="false"/>
              <w:suppressAutoHyphens w:val="true"/>
              <w:spacing w:before="60" w:after="60"/>
              <w:jc w:val="center"/>
              <w:rPr>
                <w:b/>
                <w:bCs/>
              </w:rPr>
            </w:pPr>
            <w:r>
              <w:rPr>
                <w:rFonts w:eastAsia="Calibri" w:cs=""/>
                <w:b/>
                <w:bCs/>
                <w:kern w:val="0"/>
                <w:sz w:val="26"/>
                <w:szCs w:val="22"/>
                <w:lang w:val="ru-RU" w:eastAsia="en-US" w:bidi="ar-SA"/>
              </w:rPr>
              <w:t>Соответствие Коммерческого предложения Участника требованиям Документации о закупке, в том числе:</w:t>
            </w:r>
          </w:p>
        </w:tc>
      </w:tr>
      <w:tr>
        <w:trPr/>
        <w:tc>
          <w:tcPr>
            <w:tcW w:w="1270" w:type="dxa"/>
            <w:tcBorders/>
          </w:tcPr>
          <w:p>
            <w:pPr>
              <w:pStyle w:val="Style25"/>
              <w:widowControl w:val="false"/>
              <w:numPr>
                <w:ilvl w:val="0"/>
                <w:numId w:val="10"/>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Коммерческого предложения</w:t>
            </w:r>
          </w:p>
        </w:tc>
        <w:tc>
          <w:tcPr>
            <w:tcW w:w="2268" w:type="dxa"/>
            <w:tcBorders/>
          </w:tcPr>
          <w:p>
            <w:pPr>
              <w:pStyle w:val="Style25"/>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_Ref130394681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4.3</w:t>
            </w:r>
            <w:r>
              <w:rPr>
                <w:sz w:val="26"/>
                <w:kern w:val="0"/>
                <w:szCs w:val="22"/>
                <w:rFonts w:eastAsia="Calibri" w:cs=""/>
                <w:lang w:val="ru-RU" w:eastAsia="en-US" w:bidi="ar-SA"/>
              </w:rPr>
              <w:fldChar w:fldCharType="end"/>
            </w:r>
            <w:r>
              <w:rPr>
                <w:rFonts w:eastAsia="Calibri" w:cs=""/>
                <w:kern w:val="0"/>
                <w:sz w:val="26"/>
                <w:szCs w:val="22"/>
                <w:lang w:val="ru-RU" w:eastAsia="en-US" w:bidi="ar-SA"/>
              </w:rPr>
              <w:t>,</w:t>
              <w:br/>
            </w:r>
            <w:hyperlink w:anchor="Прил04_ФормыЗаявки">
              <w:r>
                <w:rPr>
                  <w:rStyle w:val="Style11"/>
                  <w:rFonts w:eastAsia="Calibri" w:cs=""/>
                  <w:kern w:val="0"/>
                  <w:sz w:val="26"/>
                  <w:szCs w:val="22"/>
                  <w:lang w:val="ru-RU" w:eastAsia="en-US" w:bidi="ar-SA"/>
                </w:rPr>
                <w:t>Приложение № 4</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270" w:type="dxa"/>
            <w:tcBorders/>
          </w:tcPr>
          <w:p>
            <w:pPr>
              <w:pStyle w:val="Style25"/>
              <w:widowControl w:val="false"/>
              <w:numPr>
                <w:ilvl w:val="0"/>
                <w:numId w:val="10"/>
              </w:numPr>
              <w:suppressAutoHyphens w:val="true"/>
              <w:spacing w:before="60" w:after="60"/>
              <w:ind w:left="170" w:hanging="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pPr>
            <w:r>
              <w:rPr>
                <w:rFonts w:eastAsia="Calibri" w:cs=""/>
                <w:kern w:val="0"/>
                <w:sz w:val="26"/>
                <w:szCs w:val="22"/>
                <w:lang w:val="ru-RU" w:eastAsia="en-US" w:bidi="ar-SA"/>
              </w:rPr>
              <w:t>Соответствие подтверждающей документации, прилагаемой к</w:t>
            </w:r>
            <w:r>
              <w:rPr>
                <w:rFonts w:eastAsia="Calibri" w:cs=""/>
                <w:kern w:val="0"/>
                <w:sz w:val="26"/>
                <w:szCs w:val="22"/>
                <w:lang w:val="en-US" w:eastAsia="en-US" w:bidi="ar-SA"/>
              </w:rPr>
              <w:t> </w:t>
            </w:r>
            <w:r>
              <w:rPr>
                <w:rFonts w:eastAsia="Calibri" w:cs=""/>
                <w:kern w:val="0"/>
                <w:sz w:val="26"/>
                <w:szCs w:val="22"/>
                <w:lang w:val="ru-RU" w:eastAsia="en-US" w:bidi="ar-SA"/>
              </w:rPr>
              <w:t>Коммерческому приложению (форма 3) (</w:t>
            </w:r>
            <w:hyperlink w:anchor="Прил04_ФормыЗаявки">
              <w:r>
                <w:rPr>
                  <w:rStyle w:val="Style11"/>
                  <w:rFonts w:eastAsia="Calibri" w:cs=""/>
                  <w:kern w:val="0"/>
                  <w:sz w:val="26"/>
                  <w:szCs w:val="22"/>
                  <w:lang w:val="ru-RU" w:eastAsia="en-US" w:bidi="ar-SA"/>
                </w:rPr>
                <w:t>Приложение № 4</w:t>
              </w:r>
            </w:hyperlink>
            <w:r>
              <w:rPr>
                <w:rFonts w:eastAsia="Calibri" w:cs=""/>
                <w:kern w:val="0"/>
                <w:sz w:val="26"/>
                <w:szCs w:val="22"/>
                <w:lang w:val="ru-RU" w:eastAsia="en-US" w:bidi="ar-SA"/>
              </w:rPr>
              <w:t xml:space="preserve">) требованиям, указанным в </w:t>
            </w:r>
            <w:hyperlink w:anchor="Прил01_ТехТребования">
              <w:r>
                <w:rPr>
                  <w:rStyle w:val="Style11"/>
                  <w:rFonts w:eastAsia="Calibri" w:cs=""/>
                  <w:kern w:val="0"/>
                  <w:sz w:val="26"/>
                  <w:szCs w:val="22"/>
                  <w:lang w:val="ru-RU" w:eastAsia="en-US" w:bidi="ar-SA"/>
                </w:rPr>
                <w:t>Технических требованиях (Приложение № 1)</w:t>
              </w:r>
            </w:hyperlink>
          </w:p>
          <w:p>
            <w:pPr>
              <w:pStyle w:val="Style25"/>
              <w:widowControl w:val="false"/>
              <w:suppressAutoHyphens w:val="true"/>
              <w:spacing w:before="60" w:after="60"/>
              <w:rPr/>
            </w:pPr>
            <w:r>
              <w:rPr>
                <w:rFonts w:eastAsia="Calibri" w:cs=""/>
                <w:i/>
                <w:iCs/>
                <w:kern w:val="0"/>
                <w:sz w:val="26"/>
                <w:szCs w:val="22"/>
                <w:lang w:val="ru-RU" w:eastAsia="en-US" w:bidi="ar-SA"/>
              </w:rPr>
              <w:t xml:space="preserve">(пункт применяется только в случае установления соответствующих требований в </w:t>
            </w:r>
            <w:hyperlink w:anchor="Прил01_ТехТребования">
              <w:r>
                <w:rPr>
                  <w:rStyle w:val="Style11"/>
                  <w:rFonts w:eastAsia="Calibri" w:cs=""/>
                  <w:i/>
                  <w:iCs/>
                  <w:kern w:val="0"/>
                  <w:sz w:val="26"/>
                  <w:szCs w:val="22"/>
                  <w:lang w:val="ru-RU" w:eastAsia="en-US" w:bidi="ar-SA"/>
                </w:rPr>
                <w:t>Технических требованиях (Приложение № 1)</w:t>
              </w:r>
            </w:hyperlink>
            <w:r>
              <w:rPr>
                <w:rFonts w:eastAsia="Calibri" w:cs=""/>
                <w:i/>
                <w:iCs/>
                <w:kern w:val="0"/>
                <w:sz w:val="26"/>
                <w:szCs w:val="22"/>
                <w:lang w:val="ru-RU" w:eastAsia="en-US" w:bidi="ar-SA"/>
              </w:rPr>
              <w:t>)</w:t>
            </w:r>
          </w:p>
        </w:tc>
        <w:tc>
          <w:tcPr>
            <w:tcW w:w="2268" w:type="dxa"/>
            <w:tcBorders/>
          </w:tcPr>
          <w:p>
            <w:pPr>
              <w:pStyle w:val="Style25"/>
              <w:widowControl w:val="false"/>
              <w:suppressAutoHyphens w:val="true"/>
              <w:spacing w:before="60" w:after="60"/>
              <w:jc w:val="center"/>
              <w:rPr/>
            </w:pPr>
            <w:hyperlink w:anchor="Прил01_ТехТребования">
              <w:r>
                <w:rPr>
                  <w:rStyle w:val="Style11"/>
                  <w:rFonts w:eastAsia="Calibri" w:cs=""/>
                  <w:kern w:val="0"/>
                  <w:sz w:val="26"/>
                  <w:szCs w:val="22"/>
                  <w:lang w:val="ru-RU" w:eastAsia="en-US" w:bidi="ar-SA"/>
                </w:rPr>
                <w:t>Приложение № 1</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bl>
    <w:p>
      <w:pPr>
        <w:pStyle w:val="Style20"/>
        <w:rPr>
          <w:rStyle w:val="Style8"/>
          <w:i w:val="false"/>
          <w:i w:val="false"/>
          <w:iCs w:val="false"/>
          <w:shd w:fill="auto" w:val="clear"/>
        </w:rPr>
      </w:pPr>
      <w:bookmarkStart w:id="364" w:name="_Toc188946970"/>
      <w:r>
        <w:rPr>
          <w:rStyle w:val="Style8"/>
          <w:i w:val="false"/>
          <w:iCs w:val="false"/>
          <w:shd w:fill="auto" w:val="clear"/>
        </w:rPr>
        <w:t>Дополнительные критерии проверки заявок на соответствие условиям Документации о закупке</w:t>
      </w:r>
      <w:bookmarkEnd w:id="364"/>
    </w:p>
    <w:p>
      <w:pPr>
        <w:pStyle w:val="Style25"/>
        <w:keepNext w:val="true"/>
        <w:spacing w:before="120" w:after="120"/>
        <w:rPr/>
      </w:pPr>
      <w:r>
        <w:rPr/>
        <w:t>Несоответствие одному или всем дополнительным критериям не является основанием для отклонения заявки.</w:t>
      </w:r>
    </w:p>
    <w:tbl>
      <w:tblPr>
        <w:tblStyle w:val="af8"/>
        <w:tblW w:w="15126"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1270"/>
        <w:gridCol w:w="9924"/>
        <w:gridCol w:w="2268"/>
        <w:gridCol w:w="1663"/>
      </w:tblGrid>
      <w:tr>
        <w:trPr>
          <w:cnfStyle w:val="100000000000" w:firstRow="1" w:lastRow="0" w:firstColumn="0" w:lastColumn="0" w:oddVBand="0" w:evenVBand="0" w:oddHBand="0" w:evenHBand="0" w:firstRowFirstColumn="0" w:firstRowLastColumn="0" w:lastRowFirstColumn="0" w:lastRowLastColumn="0"/>
        </w:trPr>
        <w:tc>
          <w:tcPr>
            <w:tcW w:w="1270"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w:t>
              <w:br/>
              <w:t>критерия</w:t>
            </w:r>
          </w:p>
        </w:tc>
        <w:tc>
          <w:tcPr>
            <w:tcW w:w="9924"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Наименование</w:t>
              <w:br/>
              <w:t>отборочного критерия</w:t>
            </w:r>
          </w:p>
        </w:tc>
        <w:tc>
          <w:tcPr>
            <w:tcW w:w="2268"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Номер пункта</w:t>
              <w:br/>
              <w:t>Документации о закупке</w:t>
            </w:r>
          </w:p>
        </w:tc>
        <w:tc>
          <w:tcPr>
            <w:tcW w:w="1663" w:type="dxa"/>
            <w:tcBorders/>
          </w:tcPr>
          <w:p>
            <w:pPr>
              <w:pStyle w:val="Style25"/>
              <w:keepNext w:val="true"/>
              <w:keepLines w:val="false"/>
              <w:widowControl w:val="false"/>
              <w:suppressAutoHyphens w:val="true"/>
              <w:spacing w:before="60" w:after="60"/>
              <w:jc w:val="center"/>
              <w:rPr>
                <w:sz w:val="18"/>
                <w:szCs w:val="18"/>
              </w:rPr>
            </w:pPr>
            <w:r>
              <w:rPr>
                <w:rFonts w:eastAsia="Calibri" w:cs=""/>
                <w:b/>
                <w:kern w:val="0"/>
                <w:sz w:val="18"/>
                <w:szCs w:val="18"/>
                <w:lang w:val="ru-RU" w:eastAsia="en-US" w:bidi="ar-SA"/>
              </w:rPr>
              <w:t>Направления</w:t>
              <w:br/>
              <w:t>оценки заявок*</w:t>
            </w:r>
          </w:p>
        </w:tc>
      </w:tr>
      <w:tr>
        <w:trPr/>
        <w:tc>
          <w:tcPr>
            <w:tcW w:w="1270" w:type="dxa"/>
            <w:tcBorders/>
          </w:tcPr>
          <w:p>
            <w:pPr>
              <w:pStyle w:val="Style25"/>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9924" w:type="dxa"/>
            <w:tcBorders/>
          </w:tcPr>
          <w:p>
            <w:pPr>
              <w:pStyle w:val="Style25"/>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Наличие в заявке в форме Коммерческого предложения информации о стране происхождения товара</w:t>
            </w:r>
          </w:p>
        </w:tc>
        <w:tc>
          <w:tcPr>
            <w:tcW w:w="2268" w:type="dxa"/>
            <w:tcBorders/>
          </w:tcPr>
          <w:p>
            <w:pPr>
              <w:pStyle w:val="Style25"/>
              <w:widowControl w:val="false"/>
              <w:suppressAutoHyphens w:val="true"/>
              <w:spacing w:before="60" w:after="60"/>
              <w:jc w:val="center"/>
              <w:rPr>
                <w:rStyle w:val="Style11"/>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sz w:val="26"/>
                <w:kern w:val="0"/>
                <w:szCs w:val="22"/>
                <w:rFonts w:eastAsia="Calibri" w:cs=""/>
                <w:lang w:val="ru-RU" w:eastAsia="en-US" w:bidi="ar-SA"/>
              </w:rPr>
              <w:instrText xml:space="preserve"> REF _Ref149648944 \r \h </w:instrText>
            </w:r>
            <w:r>
              <w:rPr>
                <w:sz w:val="26"/>
                <w:kern w:val="0"/>
                <w:szCs w:val="22"/>
                <w:rFonts w:eastAsia="Calibri" w:cs=""/>
                <w:lang w:val="ru-RU" w:eastAsia="en-US" w:bidi="ar-SA"/>
              </w:rPr>
              <w:fldChar w:fldCharType="separate"/>
            </w:r>
            <w:r>
              <w:rPr>
                <w:sz w:val="26"/>
                <w:kern w:val="0"/>
                <w:szCs w:val="22"/>
                <w:rFonts w:eastAsia="Calibri" w:cs=""/>
                <w:lang w:val="ru-RU" w:eastAsia="en-US" w:bidi="ar-SA"/>
              </w:rPr>
              <w:t>Ошибка: источник перекрёстной ссылки не найден</w:t>
            </w:r>
            <w:r>
              <w:rPr>
                <w:sz w:val="26"/>
                <w:kern w:val="0"/>
                <w:szCs w:val="22"/>
                <w:rFonts w:eastAsia="Calibri" w:cs=""/>
                <w:lang w:val="ru-RU" w:eastAsia="en-US" w:bidi="ar-SA"/>
              </w:rPr>
              <w:fldChar w:fldCharType="end"/>
            </w:r>
            <w:r>
              <w:rPr>
                <w:rFonts w:eastAsia="Calibri" w:cs=""/>
                <w:kern w:val="0"/>
                <w:sz w:val="26"/>
                <w:szCs w:val="22"/>
                <w:lang w:val="ru-RU" w:eastAsia="en-US" w:bidi="ar-SA"/>
              </w:rPr>
              <w:t>,</w:t>
              <w:br/>
            </w:r>
            <w:hyperlink w:anchor="Прил04_ФормыЗаявки">
              <w:r>
                <w:rPr>
                  <w:rStyle w:val="Style11"/>
                  <w:rFonts w:eastAsia="Calibri" w:cs=""/>
                  <w:kern w:val="0"/>
                  <w:sz w:val="26"/>
                  <w:szCs w:val="22"/>
                  <w:lang w:val="ru-RU" w:eastAsia="en-US" w:bidi="ar-SA"/>
                </w:rPr>
                <w:t>Приложение № 4</w:t>
              </w:r>
            </w:hyperlink>
          </w:p>
        </w:tc>
        <w:tc>
          <w:tcPr>
            <w:tcW w:w="1663" w:type="dxa"/>
            <w:tcBorders/>
          </w:tcPr>
          <w:p>
            <w:pPr>
              <w:pStyle w:val="Style25"/>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bl>
    <w:p>
      <w:pPr>
        <w:pStyle w:val="Style25"/>
        <w:keepNext w:val="true"/>
        <w:tabs>
          <w:tab w:val="clear" w:pos="708"/>
          <w:tab w:val="left" w:pos="851" w:leader="none"/>
        </w:tabs>
        <w:spacing w:before="240" w:after="0"/>
        <w:rPr>
          <w:b/>
          <w:bCs/>
        </w:rPr>
      </w:pPr>
      <w:r>
        <w:rPr>
          <w:b/>
          <w:bCs/>
        </w:rPr>
        <w:t>* Направления оценки заявок:</w:t>
      </w:r>
    </w:p>
    <w:p>
      <w:pPr>
        <w:pStyle w:val="Style25"/>
        <w:tabs>
          <w:tab w:val="clear" w:pos="708"/>
          <w:tab w:val="left" w:pos="1134" w:leader="none"/>
        </w:tabs>
        <w:ind w:left="1701" w:hanging="1701"/>
        <w:rPr/>
      </w:pPr>
      <w:r>
        <w:rPr>
          <w:b/>
          <w:bCs/>
        </w:rPr>
        <w:t>Орг</w:t>
      </w:r>
      <w:r>
        <w:rPr/>
        <w:tab/>
        <w:t>–</w:t>
        <w:tab/>
        <w:t xml:space="preserve">проверка наличия в составе заявки необходимых документов для рассмотрения экспертом по своему направлению: проверка наличия в составе заявке и оценка правильности оформления Письма о подаче оферты; наличия обеспечения обязательств Участника, связанного с подачей заявки, в виде независимой гарантии (в том числе наличие сведений о ней в соответствующем реестре в ЕИС) – в случае отсутствия внесенных Участником денежных средств на специальный банковский счет </w:t>
      </w:r>
      <w:r>
        <w:rPr>
          <w:i/>
          <w:iCs/>
        </w:rPr>
        <w:t>(последние применяется только в случае установления соответствующих требований)</w:t>
      </w:r>
      <w:r>
        <w:rPr/>
        <w:t>; наличие у Участника статуса «аккредитован», либо статуса «аккредитация не требуется» (или наличие заявки на аккредитацию (при необходимости)), участвует в процедуре актуализации статуса аккредитации (при необходимости); проверка 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проверка наличия информации об Участнике в Реестре МСП (https://rmsp.nalog.ru/index.html),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 (https://npd.nalog.ru/check-status/);</w:t>
      </w:r>
    </w:p>
    <w:p>
      <w:pPr>
        <w:pStyle w:val="Style25"/>
        <w:tabs>
          <w:tab w:val="clear" w:pos="708"/>
          <w:tab w:val="left" w:pos="1134" w:leader="none"/>
        </w:tabs>
        <w:ind w:left="1701" w:hanging="1701"/>
        <w:rPr/>
      </w:pPr>
      <w:r>
        <w:rPr>
          <w:b/>
          <w:bCs/>
        </w:rPr>
        <w:t>Тех</w:t>
      </w:r>
      <w:r>
        <w:rPr/>
        <w:tab/>
        <w:t>–</w:t>
        <w:tab/>
        <w:t>проверка наличия в составе заявки всех необходимых документов для рассмотрения экспертом по своему направлению, а также правильности их оформления; оценка Технических предложений и сведений, подтверждающих соответствия Участника специальным требованиям Документации о закупке; проверка технической части подтверждающей документации, прилагаемой к Коммерческому предложению (при наличии), а также, при необходимости, технических условий исполнения Договора;</w:t>
      </w:r>
    </w:p>
    <w:p>
      <w:pPr>
        <w:pStyle w:val="Style25"/>
        <w:tabs>
          <w:tab w:val="clear" w:pos="708"/>
          <w:tab w:val="left" w:pos="1134" w:leader="none"/>
        </w:tabs>
        <w:ind w:left="1701" w:hanging="1701"/>
        <w:rPr/>
      </w:pPr>
      <w:r>
        <w:rPr>
          <w:b/>
          <w:bCs/>
        </w:rPr>
        <w:t>Юр</w:t>
      </w:r>
      <w:r>
        <w:rPr/>
        <w:tab/>
        <w:t>–</w:t>
        <w:tab/>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 формы заверения, языка заявки); оценка юридических аспектов заявки, в том числе оценка правомочности подписанта доверенности (при необходимости) на основании выписки из ЕГРЮЛ (выписка из ЕГРЮЛ доступна на официальном сервисе ФНС России https://egrul.nalog.ru/index.html);</w:t>
      </w:r>
    </w:p>
    <w:p>
      <w:pPr>
        <w:pStyle w:val="Style25"/>
        <w:keepNext w:val="true"/>
        <w:tabs>
          <w:tab w:val="clear" w:pos="708"/>
          <w:tab w:val="left" w:pos="1134" w:leader="none"/>
        </w:tabs>
        <w:ind w:left="1701" w:hanging="1701"/>
        <w:rPr/>
      </w:pPr>
      <w:r>
        <w:rPr>
          <w:b/>
          <w:bCs/>
        </w:rPr>
        <w:t>Цена</w:t>
      </w:r>
      <w:r>
        <w:rPr/>
        <w:tab/>
        <w:t>–</w:t>
        <w:tab/>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 формы заверения, языка и валюты заявки); проверка отсутствия противоречий (в части стоимости заявки (цены Договора)) между Письмом о подаче оферты и сведениями, указанными Участником в структурированных формах на ЭП; оценка Коммерческого предложения Участника, а также (при наличии) прилагаемой к нему подтверждающей документации (включая спецификацию) на предмет непревышения ценового предложения участника установленного размера НМЦ.</w:t>
      </w:r>
    </w:p>
    <w:p>
      <w:pPr>
        <w:pStyle w:val="Style25"/>
        <w:tabs>
          <w:tab w:val="clear" w:pos="708"/>
          <w:tab w:val="left" w:pos="1134" w:leader="none"/>
        </w:tabs>
        <w:ind w:left="1701" w:hanging="1701"/>
        <w:rPr/>
      </w:pPr>
      <w:r>
        <w:rPr>
          <w:b/>
          <w:bCs/>
        </w:rPr>
        <w:t>Фин</w:t>
      </w:r>
      <w:r>
        <w:rPr/>
        <w:tab/>
        <w:t>–</w:t>
        <w:tab/>
        <w:t xml:space="preserve">оценка независимой гарантии, в том числе правильность оформления рассматриваемых документов (в т.ч. в части наличия должных печатей, подписей формы заверения, языка и валюты заявки) </w:t>
      </w:r>
      <w:r>
        <w:rPr>
          <w:i/>
          <w:iCs/>
        </w:rPr>
        <w:t>(финансовая экспертиза проводится по инициативе эксперта по направлениям Орг, в случае наличия в заявке независимой гарантии)</w:t>
      </w:r>
      <w:r>
        <w:rPr/>
        <w:t>.</w:t>
      </w:r>
    </w:p>
    <w:p>
      <w:pPr>
        <w:sectPr>
          <w:headerReference w:type="default" r:id="rId33"/>
          <w:headerReference w:type="first" r:id="rId34"/>
          <w:footerReference w:type="default" r:id="rId35"/>
          <w:footerReference w:type="first" r:id="rId36"/>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Style w:val="Style25"/>
        <w:rPr/>
      </w:pPr>
      <w:r>
        <w:rPr/>
        <w:t>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материалов (документов), являющихся предметом его экспертизы).</w:t>
      </w:r>
    </w:p>
    <w:p>
      <w:pPr>
        <w:pStyle w:val="Style19"/>
        <w:rPr/>
      </w:pPr>
      <w:bookmarkStart w:id="365" w:name="_Ref125368302"/>
      <w:bookmarkStart w:id="366" w:name="_Ref125361648"/>
      <w:bookmarkStart w:id="367" w:name="_Ref125361951"/>
      <w:bookmarkStart w:id="368" w:name="_Ref125366013"/>
      <w:bookmarkStart w:id="369" w:name="_Ref125366280"/>
      <w:bookmarkStart w:id="370" w:name="_Ref125366285"/>
      <w:bookmarkStart w:id="371" w:name="_Ref125368140"/>
      <w:bookmarkStart w:id="372" w:name="_Ref125368150"/>
      <w:bookmarkStart w:id="373" w:name="_Ref125368165"/>
      <w:bookmarkStart w:id="374" w:name="_Ref125368184"/>
      <w:bookmarkStart w:id="375" w:name="_Toc188946971"/>
      <w:bookmarkStart w:id="376" w:name="_Ref125369438"/>
      <w:bookmarkStart w:id="377" w:name="_Ref125369021"/>
      <w:bookmarkStart w:id="378" w:name="_Ref125368331"/>
      <w:bookmarkStart w:id="379" w:name="_Ref125368313"/>
      <w:bookmarkStart w:id="380" w:name="_Ref125368291"/>
      <w:bookmarkStart w:id="381" w:name="_Ref125368283"/>
      <w:bookmarkStart w:id="382" w:name="_Ref125368172"/>
      <w:bookmarkStart w:id="383" w:name="Прил08_ПорядокОценки"/>
      <w:bookmarkEnd w:id="383"/>
      <w:r>
        <w:rPr/>
        <w:t>Приложение № 8 – Порядок и критерии оценки и сопоставления заявок</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pPr>
        <w:pStyle w:val="Style20"/>
        <w:rPr/>
      </w:pPr>
      <w:bookmarkStart w:id="384" w:name="_Toc188946972"/>
      <w:r>
        <w:rPr/>
        <w:t>Порядок и критерии оценки и сопоставления заявок</w:t>
      </w:r>
      <w:bookmarkEnd w:id="384"/>
    </w:p>
    <w:p>
      <w:pPr>
        <w:pStyle w:val="Style21"/>
        <w:rPr/>
      </w:pPr>
      <w:r>
        <w:rPr/>
        <w:t>Оценка и сопоставление заявок, признанных Закупочной комиссией соответствующими по результатам рассмотрения заявок, осуществляется по единственному ценовому критерию – стоимость заявки (цена Договора) в едином базисе без учета НДС, с последующей ранжировкой заявок по мере повышения стоимости заявки (цены Договора). При этом первое место в ранжировке присваивается заявке с наименьшей ценой (расчетной ценой)</w:t>
      </w:r>
      <w:r>
        <w:rPr>
          <w:rStyle w:val="FootnoteReference"/>
        </w:rPr>
        <w:footnoteReference w:id="15"/>
      </w:r>
      <w:r>
        <w:rPr/>
        <w:t>.</w:t>
      </w:r>
    </w:p>
    <w:p>
      <w:pPr>
        <w:sectPr>
          <w:headerReference w:type="default" r:id="rId37"/>
          <w:headerReference w:type="first" r:id="rId38"/>
          <w:footerReference w:type="default" r:id="rId39"/>
          <w:footerReference w:type="first" r:id="rId40"/>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Style w:val="Style21"/>
        <w:rPr/>
      </w:pPr>
      <w:r>
        <w:rPr/>
        <w:t>В установленных случаях оценка и сопоставление заявок производится с учетом предоставления национального режима в соответствии с порядком, предусмотренном подразделом </w:t>
      </w:r>
      <w:r>
        <w:rPr/>
        <w:fldChar w:fldCharType="begin"/>
      </w:r>
      <w:r>
        <w:rPr/>
        <w:instrText xml:space="preserve"> REF _Ref186183588 \r \h </w:instrText>
      </w:r>
      <w:r>
        <w:rPr/>
        <w:fldChar w:fldCharType="separate"/>
      </w:r>
      <w:r>
        <w:rPr/>
        <w:t>Ошибка: источник перекрёстной ссылки не найден</w:t>
      </w:r>
      <w:r>
        <w:rPr/>
        <w:fldChar w:fldCharType="end"/>
      </w:r>
      <w:r>
        <w:rPr/>
        <w:t>.</w:t>
      </w:r>
    </w:p>
    <w:p>
      <w:pPr>
        <w:pStyle w:val="Style19"/>
        <w:rPr/>
      </w:pPr>
      <w:bookmarkStart w:id="385" w:name="_Toc188946973"/>
      <w:bookmarkStart w:id="386" w:name="_Ref125360420"/>
      <w:bookmarkStart w:id="387" w:name="Прил09_ОбоснованиеНМЦ"/>
      <w:bookmarkEnd w:id="387"/>
      <w:r>
        <w:rPr/>
        <w:t>Приложение № 9 – Обоснование НМЦ</w:t>
      </w:r>
      <w:bookmarkEnd w:id="385"/>
      <w:bookmarkEnd w:id="386"/>
    </w:p>
    <w:p>
      <w:pPr>
        <w:pStyle w:val="Style20"/>
        <w:rPr/>
      </w:pPr>
      <w:bookmarkStart w:id="388" w:name="_Toc188946974"/>
      <w:r>
        <w:rPr/>
        <w:t>Пояснения к Обоснованию НМЦ</w:t>
      </w:r>
      <w:bookmarkEnd w:id="388"/>
    </w:p>
    <w:p>
      <w:pPr>
        <w:pStyle w:val="Style21"/>
        <w:rPr/>
      </w:pPr>
      <w:r>
        <w:rPr/>
        <w:t>Обоснование НМЦ приведено в отдельном файле (предоставляется отдельным документом в составе Документации о закупке), являющимся Приложением № 9 к Документации о закупке.</w:t>
      </w:r>
    </w:p>
    <w:p>
      <w:pPr>
        <w:pStyle w:val="Style19"/>
        <w:rPr/>
      </w:pPr>
      <w:bookmarkStart w:id="389" w:name="_Toc188946975"/>
      <w:bookmarkStart w:id="390" w:name="Прил10_ФормаЗаявкиНаАккредитацию"/>
      <w:bookmarkEnd w:id="390"/>
      <w:r>
        <w:rPr/>
        <w:t>Приложение № 10 – Форма Заявки на аккредитацию</w:t>
      </w:r>
      <w:bookmarkEnd w:id="389"/>
    </w:p>
    <w:p>
      <w:pPr>
        <w:pStyle w:val="Style20"/>
        <w:rPr/>
      </w:pPr>
      <w:bookmarkStart w:id="391" w:name="_Toc188946976"/>
      <w:r>
        <w:rPr/>
        <w:t>Пояснения к форме Заявки на аккредитацию</w:t>
      </w:r>
      <w:bookmarkEnd w:id="391"/>
    </w:p>
    <w:p>
      <w:pPr>
        <w:pStyle w:val="Style21"/>
        <w:rPr/>
      </w:pPr>
      <w:r>
        <w:rPr/>
        <w:t>Форма Заявки на аккредитацию приведена в отдельном файле (предоставляется отдельным документом в составе Документации о закупке), являющимся Приложением № 10 к Документации о закупке.</w:t>
      </w:r>
    </w:p>
    <w:p>
      <w:pPr>
        <w:pStyle w:val="Style25"/>
        <w:jc w:val="center"/>
        <w:rPr/>
      </w:pPr>
      <w:r>
        <w:rPr/>
        <w:object>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76.5pt;height:50.25pt;mso-wrap-distance-right:0pt" filled="f" o:ole="">
            <v:imagedata r:id="rId42" o:title=""/>
          </v:shape>
          <o:OLEObject Type="Embed" ProgID="Excel.Sheet.12" ShapeID="ole_rId41" DrawAspect="Icon" ObjectID="_1986512744" r:id="rId41"/>
        </w:object>
      </w:r>
    </w:p>
    <w:sectPr>
      <w:headerReference w:type="default" r:id="rId43"/>
      <w:headerReference w:type="first" r:id="rId44"/>
      <w:footerReference w:type="default" r:id="rId45"/>
      <w:footerReference w:type="first" r:id="rId46"/>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 w:name="Wingdings 3">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righ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9416725"/>
    </w:sdtPr>
    <w:sdtContent>
      <w:p>
        <w:pPr>
          <w:pStyle w:val="Footer"/>
          <w:spacing w:before="120" w:after="0"/>
          <w:rPr/>
        </w:pPr>
        <w:r>
          <w:rPr/>
          <w:fldChar w:fldCharType="begin"/>
        </w:r>
        <w:r>
          <w:rPr/>
          <w:instrText xml:space="preserve"> PAGE </w:instrText>
        </w:r>
        <w:r>
          <w:rPr/>
          <w:fldChar w:fldCharType="separate"/>
        </w:r>
        <w:r>
          <w:rPr/>
          <w:t>9</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5957702"/>
    </w:sdtPr>
    <w:sdtContent>
      <w:p>
        <w:pPr>
          <w:pStyle w:val="Footer"/>
          <w:spacing w:before="120" w:after="0"/>
          <w:rPr/>
        </w:pPr>
        <w:r>
          <w:rPr/>
          <w:fldChar w:fldCharType="begin"/>
        </w:r>
        <w:r>
          <w:rPr/>
          <w:instrText xml:space="preserve"> PAGE </w:instrText>
        </w:r>
        <w:r>
          <w:rPr/>
          <w:fldChar w:fldCharType="separate"/>
        </w:r>
        <w:r>
          <w:rPr/>
          <w:t>22</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57740506"/>
    </w:sdtPr>
    <w:sdtContent>
      <w:p>
        <w:pPr>
          <w:pStyle w:val="Footer"/>
          <w:spacing w:before="120" w:after="0"/>
          <w:rPr/>
        </w:pPr>
        <w:r>
          <w:rPr/>
          <w:fldChar w:fldCharType="begin"/>
        </w:r>
        <w:r>
          <w:rPr/>
          <w:instrText xml:space="preserve"> PAGE </w:instrText>
        </w:r>
        <w:r>
          <w:rPr/>
          <w:fldChar w:fldCharType="separate"/>
        </w:r>
        <w:r>
          <w:rPr/>
          <w:t>49</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36720781"/>
    </w:sdtPr>
    <w:sdtContent>
      <w:p>
        <w:pPr>
          <w:pStyle w:val="Footer"/>
          <w:spacing w:before="120" w:after="0"/>
          <w:rPr/>
        </w:pPr>
        <w:r>
          <w:rPr/>
          <w:fldChar w:fldCharType="begin"/>
        </w:r>
        <w:r>
          <w:rPr/>
          <w:instrText xml:space="preserve"> PAGE </w:instrText>
        </w:r>
        <w:r>
          <w:rPr/>
          <w:fldChar w:fldCharType="separate"/>
        </w:r>
        <w:r>
          <w:rPr/>
          <w:t>54</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1879592"/>
    </w:sdtPr>
    <w:sdtContent>
      <w:p>
        <w:pPr>
          <w:pStyle w:val="Footer"/>
          <w:spacing w:before="120" w:after="0"/>
          <w:rPr/>
        </w:pPr>
        <w:r>
          <w:rPr/>
          <w:fldChar w:fldCharType="begin"/>
        </w:r>
        <w:r>
          <w:rPr/>
          <w:instrText xml:space="preserve"> PAGE </w:instrText>
        </w:r>
        <w:r>
          <w:rPr/>
          <w:fldChar w:fldCharType="separate"/>
        </w:r>
        <w:r>
          <w:rPr/>
          <w:t>58</w:t>
        </w:r>
        <w: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4821163"/>
    </w:sdtPr>
    <w:sdtContent>
      <w:p>
        <w:pPr>
          <w:pStyle w:val="Footer"/>
          <w:spacing w:before="120" w:after="0"/>
          <w:rPr/>
        </w:pPr>
        <w:r>
          <w:rPr/>
          <w:fldChar w:fldCharType="begin"/>
        </w:r>
        <w:r>
          <w:rPr/>
          <w:instrText xml:space="preserve"> PAGE </w:instrText>
        </w:r>
        <w:r>
          <w:rPr/>
          <w:fldChar w:fldCharType="separate"/>
        </w:r>
        <w:r>
          <w:rPr/>
          <w:t>64</w:t>
        </w:r>
        <w: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5629661"/>
    </w:sdtPr>
    <w:sdtContent>
      <w:p>
        <w:pPr>
          <w:pStyle w:val="Footer"/>
          <w:spacing w:before="120" w:after="0"/>
          <w:rPr/>
        </w:pPr>
        <w:r>
          <w:rPr/>
          <w:fldChar w:fldCharType="begin"/>
        </w:r>
        <w:r>
          <w:rPr/>
          <w:instrText xml:space="preserve"> PAGE </w:instrText>
        </w:r>
        <w:r>
          <w:rPr/>
          <w:fldChar w:fldCharType="separate"/>
        </w:r>
        <w:r>
          <w:rPr/>
          <w:t>65</w:t>
        </w:r>
        <w: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163401"/>
    </w:sdtPr>
    <w:sdtContent>
      <w:p>
        <w:pPr>
          <w:pStyle w:val="Footer"/>
          <w:spacing w:before="120" w:after="0"/>
          <w:rPr/>
        </w:pPr>
        <w:r>
          <w:rPr/>
          <w:fldChar w:fldCharType="begin"/>
        </w:r>
        <w:r>
          <w:rPr/>
          <w:instrText xml:space="preserve"> PAGE </w:instrText>
        </w:r>
        <w:r>
          <w:rPr/>
          <w:fldChar w:fldCharType="separate"/>
        </w:r>
        <w:r>
          <w:rPr/>
          <w:t>67</w:t>
        </w:r>
        <w:r>
          <w:rPr/>
          <w:fldChar w:fldCharType="end"/>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27"/>
        <w:spacing w:before="80" w:after="0"/>
        <w:ind w:left="567" w:hanging="567"/>
        <w:jc w:val="both"/>
        <w:rPr/>
      </w:pPr>
      <w:r>
        <w:rPr>
          <w:rStyle w:val="Style10"/>
        </w:rPr>
        <w:footnoteRef/>
      </w:r>
      <w:r>
        <w:rPr/>
        <w:tab/>
        <w:t>Если при проведении аукциона цена была снижена до нуля, далее аукцион проводился на повышение стоимости заявки (цены Договора).</w:t>
      </w:r>
    </w:p>
  </w:footnote>
  <w:footnote w:id="3">
    <w:p>
      <w:pPr>
        <w:pStyle w:val="Style27"/>
        <w:spacing w:before="80" w:after="0"/>
        <w:ind w:left="567" w:hanging="567"/>
        <w:jc w:val="both"/>
        <w:rPr/>
      </w:pPr>
      <w:r>
        <w:rPr>
          <w:rStyle w:val="Style10"/>
        </w:rPr>
        <w:footnoteRef/>
      </w:r>
      <w:r>
        <w:rPr/>
        <w:tab/>
        <w:t>Определенные в соответствии с Законом 422-ФЗ.</w:t>
      </w:r>
    </w:p>
  </w:footnote>
  <w:footnote w:id="4">
    <w:p>
      <w:pPr>
        <w:pStyle w:val="Style27"/>
        <w:spacing w:before="80" w:after="0"/>
        <w:ind w:left="567" w:hanging="567"/>
        <w:jc w:val="both"/>
        <w:rPr/>
      </w:pPr>
      <w:r>
        <w:rPr>
          <w:rStyle w:val="Style10"/>
        </w:rPr>
        <w:footnoteRef/>
      </w:r>
      <w:r>
        <w:rPr/>
        <w:tab/>
        <w:t>При этом отклонение заявки за отсутствие в ней документов, требующихся исключительно для целей оценки и сопоставления заявок (подраздел </w:t>
      </w:r>
      <w:r>
        <w:rPr/>
        <w:fldChar w:fldCharType="begin"/>
      </w:r>
      <w:r>
        <w:rPr/>
        <w:instrText xml:space="preserve"> REF _Ref125362626 \w \h </w:instrText>
      </w:r>
      <w:r>
        <w:rPr/>
        <w:fldChar w:fldCharType="separate"/>
      </w:r>
      <w:r>
        <w:rPr/>
        <w:t>4.16</w:t>
      </w:r>
      <w:r>
        <w:rPr/>
        <w:fldChar w:fldCharType="end"/>
      </w:r>
      <w:r>
        <w:rPr/>
        <w:t>), не допускается.</w:t>
      </w:r>
    </w:p>
  </w:footnote>
  <w:footnote w:id="5">
    <w:p>
      <w:pPr>
        <w:pStyle w:val="Style27"/>
        <w:spacing w:before="80" w:after="0"/>
        <w:ind w:left="567" w:hanging="567"/>
        <w:jc w:val="both"/>
        <w:rPr/>
      </w:pPr>
      <w:r>
        <w:rPr>
          <w:rStyle w:val="Style10"/>
        </w:rPr>
        <w:footnoteRef/>
      </w:r>
      <w:r>
        <w:rPr/>
        <w:tab/>
        <w:t>По решению Организатора (в соответствии с Приложением о закупке) в протоколе закупке могут не отражаться сведения, позволяющие идентифицировать Участников.</w:t>
      </w:r>
    </w:p>
  </w:footnote>
  <w:footnote w:id="6">
    <w:p>
      <w:pPr>
        <w:pStyle w:val="Style27"/>
        <w:spacing w:before="80" w:after="0"/>
        <w:ind w:left="567" w:hanging="567"/>
        <w:jc w:val="both"/>
        <w:rPr/>
      </w:pPr>
      <w:r>
        <w:rPr>
          <w:rStyle w:val="Style10"/>
        </w:rPr>
        <w:footnoteRef/>
      </w:r>
      <w:r>
        <w:rPr/>
        <w:tab/>
        <w:t>По решению Организатора (в соответствии с Приложением о закупке) в протоколе закупке могут не отражаться сведения, позволяющие идентифицировать Участников.</w:t>
      </w:r>
    </w:p>
  </w:footnote>
  <w:footnote w:id="7">
    <w:p>
      <w:pPr>
        <w:pStyle w:val="Style27"/>
        <w:spacing w:before="80" w:after="0"/>
        <w:ind w:left="567" w:hanging="567"/>
        <w:jc w:val="both"/>
        <w:rPr/>
      </w:pPr>
      <w:r>
        <w:rPr>
          <w:rStyle w:val="Style10"/>
        </w:rPr>
        <w:footnoteRef/>
      </w:r>
      <w:r>
        <w:rPr/>
        <w:tab/>
        <w:t>С учетом пункта </w:t>
      </w:r>
      <w:r>
        <w:rPr/>
        <w:fldChar w:fldCharType="begin"/>
      </w:r>
      <w:r>
        <w:rPr/>
        <w:instrText xml:space="preserve"> REF _Ref125365558 \r \h </w:instrText>
      </w:r>
      <w:r>
        <w:rPr/>
        <w:fldChar w:fldCharType="separate"/>
      </w:r>
      <w:r>
        <w:rPr/>
        <w:t>Ошибка: источник перекрёстной ссылки не найден</w:t>
      </w:r>
      <w:r>
        <w:rPr/>
        <w:fldChar w:fldCharType="end"/>
      </w:r>
      <w:r>
        <w:rPr/>
        <w:t>.</w:t>
      </w:r>
    </w:p>
  </w:footnote>
  <w:footnote w:id="8">
    <w:p>
      <w:pPr>
        <w:pStyle w:val="FootnoteText"/>
        <w:ind w:left="567" w:hanging="567"/>
        <w:jc w:val="both"/>
        <w:rPr>
          <w:sz w:val="22"/>
        </w:rPr>
      </w:pPr>
      <w:r>
        <w:rPr>
          <w:rStyle w:val="Style10"/>
        </w:rPr>
        <w:footnoteRef/>
      </w:r>
      <w:r>
        <w:rPr>
          <w:sz w:val="22"/>
        </w:rPr>
        <w:tab/>
        <w:t>В отношении предоставляемой Участником (в целях обеспечения проведения оценки его финансового состояния (устойчивости) в соответствии с Положением об аккредитации) бухгалтерской (финансовой) отчетности самостоятельные исправления арифметических ошибок не допускается (все изменения в отчетность должны вноситься в установленном законодательством порядке).</w:t>
      </w:r>
    </w:p>
  </w:footnote>
  <w:footnote w:id="9">
    <w:p>
      <w:pPr>
        <w:pStyle w:val="Style27"/>
        <w:spacing w:before="80" w:after="0"/>
        <w:ind w:left="567" w:hanging="567"/>
        <w:jc w:val="both"/>
        <w:rPr/>
      </w:pPr>
      <w:r>
        <w:rPr>
          <w:rStyle w:val="Style10"/>
        </w:rPr>
        <w:footnoteRef/>
      </w:r>
      <w:bookmarkStart w:id="392" w:name="_Hlk149652703_Копия_1_Копия_1_Копия_1_Ко"/>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bookmarkEnd w:id="392"/>
    </w:p>
  </w:footnote>
  <w:footnote w:id="10">
    <w:p>
      <w:pPr>
        <w:pStyle w:val="Style27"/>
        <w:spacing w:before="80" w:after="0"/>
        <w:ind w:left="567" w:hanging="567"/>
        <w:jc w:val="both"/>
        <w:rPr/>
      </w:pPr>
      <w:r>
        <w:rPr>
          <w:rStyle w:val="Style10"/>
        </w:rPr>
        <w:footnoteRef/>
      </w:r>
      <w:r>
        <w:rPr/>
        <w:tab/>
        <w:t>По решению Организатора (в соответствии с Приложением о закупке) в протоколе закупке могут не отражаться сведения, позволяющие идентифицировать Участников.</w:t>
      </w:r>
    </w:p>
  </w:footnote>
  <w:footnote w:id="11">
    <w:p>
      <w:pPr>
        <w:pStyle w:val="Style27"/>
        <w:spacing w:before="80" w:after="0"/>
        <w:ind w:left="567" w:hanging="567"/>
        <w:jc w:val="both"/>
        <w:rPr/>
      </w:pPr>
      <w:r>
        <w:rPr>
          <w:rStyle w:val="Style10"/>
        </w:rPr>
        <w:footnoteRef/>
      </w:r>
      <w:r>
        <w:rPr/>
        <w:tab/>
        <w:t>https://minfin.gov.ru/ru/perfomance/tax_relations/policy/bankwarranty/</w:t>
      </w:r>
    </w:p>
  </w:footnote>
  <w:footnote w:id="12">
    <w:p>
      <w:pPr>
        <w:pStyle w:val="Style27"/>
        <w:spacing w:before="80" w:after="0"/>
        <w:ind w:left="567" w:hanging="567"/>
        <w:jc w:val="both"/>
        <w:rPr/>
      </w:pPr>
      <w:r>
        <w:rPr>
          <w:rStyle w:val="Style10"/>
        </w:rPr>
        <w:footnoteRef/>
      </w:r>
      <w:r>
        <w:rPr/>
        <w:tab/>
        <w:t>Коллективный участник предоставляет указанные документы на каждого члена.</w:t>
      </w:r>
    </w:p>
  </w:footnote>
  <w:footnote w:id="13">
    <w:p>
      <w:pPr>
        <w:pStyle w:val="Style27"/>
        <w:spacing w:before="80" w:after="0"/>
        <w:ind w:left="567" w:hanging="567"/>
        <w:jc w:val="both"/>
        <w:rPr/>
      </w:pPr>
      <w:r>
        <w:rPr>
          <w:rStyle w:val="Style10"/>
        </w:rPr>
        <w:footnoteRef/>
      </w:r>
      <w:r>
        <w:rPr/>
        <w:tab/>
        <w:t>Во исполнение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footnote>
  <w:footnote w:id="14">
    <w:p>
      <w:pPr>
        <w:pStyle w:val="Style27"/>
        <w:spacing w:before="80" w:after="0"/>
        <w:ind w:left="567" w:hanging="567"/>
        <w:jc w:val="both"/>
        <w:rPr/>
      </w:pPr>
      <w:r>
        <w:rPr>
          <w:rStyle w:val="Style10"/>
        </w:rPr>
        <w:footnoteRef/>
      </w:r>
      <w:r>
        <w:rPr/>
        <w:tab/>
        <w:t>Перед заключением договора Заказчик дополнительно проводит проверку Победителя (данная норма применима также в отношении Единственного участника несостоявшейся закупки, с которым принято решение о заключении договора) на основании документов, предоставляемых в соответствии с подразделом </w:t>
      </w:r>
      <w:r>
        <w:rPr/>
        <w:fldChar w:fldCharType="begin"/>
      </w:r>
      <w:r>
        <w:rPr/>
        <w:instrText xml:space="preserve"> REF _Ref138341423 \r \h </w:instrText>
      </w:r>
      <w:r>
        <w:rPr/>
        <w:fldChar w:fldCharType="separate"/>
      </w:r>
      <w:r>
        <w:rPr/>
        <w:t>5.2</w:t>
      </w:r>
      <w:r>
        <w:rPr/>
        <w:fldChar w:fldCharType="end"/>
      </w:r>
      <w:r>
        <w:rPr/>
        <w:t>. Если по результатам такой проверки Участник не отвечает установленным требованиям,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footnote>
  <w:footnote w:id="15">
    <w:p>
      <w:pPr>
        <w:pStyle w:val="Style27"/>
        <w:spacing w:before="80" w:after="0"/>
        <w:ind w:left="567" w:hanging="567"/>
        <w:jc w:val="both"/>
        <w:rPr/>
      </w:pPr>
      <w:r>
        <w:rPr>
          <w:rStyle w:val="Style10"/>
        </w:rPr>
        <w:footnoteRef/>
      </w:r>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Style19"/>
      <w:numFmt w:val="decimal"/>
      <w:lvlText w:val="%1."/>
      <w:lvlJc w:val="left"/>
      <w:pPr>
        <w:tabs>
          <w:tab w:val="num" w:pos="1134"/>
        </w:tabs>
        <w:ind w:left="1134" w:hanging="1134"/>
      </w:pPr>
      <w:rPr/>
    </w:lvl>
    <w:lvl w:ilvl="1">
      <w:start w:val="1"/>
      <w:pStyle w:val="Style20"/>
      <w:numFmt w:val="decimal"/>
      <w:lvlText w:val="%1.%2"/>
      <w:lvlJc w:val="left"/>
      <w:pPr>
        <w:tabs>
          <w:tab w:val="num" w:pos="1134"/>
        </w:tabs>
        <w:ind w:left="1134" w:hanging="1134"/>
      </w:pPr>
      <w:rPr/>
    </w:lvl>
    <w:lvl w:ilvl="2">
      <w:start w:val="1"/>
      <w:pStyle w:val="Style21"/>
      <w:numFmt w:val="decimal"/>
      <w:lvlText w:val="%1.%2.%3"/>
      <w:lvlJc w:val="left"/>
      <w:pPr>
        <w:tabs>
          <w:tab w:val="num" w:pos="1134"/>
        </w:tabs>
        <w:ind w:left="1134" w:hanging="1134"/>
      </w:pPr>
      <w:rPr/>
    </w:lvl>
    <w:lvl w:ilvl="3">
      <w:start w:val="1"/>
      <w:pStyle w:val="Style22"/>
      <w:numFmt w:val="russianLower"/>
      <w:lvlText w:val="%4)"/>
      <w:lvlJc w:val="left"/>
      <w:pPr>
        <w:tabs>
          <w:tab w:val="num" w:pos="1701"/>
        </w:tabs>
        <w:ind w:left="1701" w:hanging="567"/>
      </w:pPr>
      <w:rPr/>
    </w:lvl>
    <w:lvl w:ilvl="4">
      <w:start w:val="1"/>
      <w:pStyle w:val="Style23"/>
      <w:numFmt w:val="bullet"/>
      <w:lvlText w:val=""/>
      <w:lvlJc w:val="left"/>
      <w:pPr>
        <w:tabs>
          <w:tab w:val="num" w:pos="2268"/>
        </w:tabs>
        <w:ind w:left="2268" w:hanging="567"/>
      </w:pPr>
      <w:rPr>
        <w:rFonts w:ascii="Symbol" w:hAnsi="Symbol" w:cs="Symbol" w:hint="default"/>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1."/>
      <w:lvlJc w:val="left"/>
      <w:pPr>
        <w:tabs>
          <w:tab w:val="num" w:pos="1134"/>
        </w:tabs>
        <w:ind w:left="1134" w:hanging="1134"/>
      </w:pPr>
      <w:rPr/>
    </w:lvl>
    <w:lvl w:ilvl="1">
      <w:start w:val="1"/>
      <w:numFmt w:val="decimal"/>
      <w:lvlText w:val="%1.%2"/>
      <w:lvlJc w:val="left"/>
      <w:pPr>
        <w:tabs>
          <w:tab w:val="num" w:pos="2694"/>
        </w:tabs>
        <w:ind w:left="2694" w:hanging="1134"/>
      </w:pPr>
      <w:rPr>
        <w:sz w:val="28"/>
        <w:i w:val="false"/>
        <w:b/>
        <w:szCs w:val="28"/>
      </w:rPr>
    </w:lvl>
    <w:lvl w:ilvl="2">
      <w:start w:val="1"/>
      <w:numFmt w:val="decimal"/>
      <w:lvlText w:val="%1.%2.%3"/>
      <w:lvlJc w:val="left"/>
      <w:pPr>
        <w:tabs>
          <w:tab w:val="num" w:pos="1134"/>
        </w:tabs>
        <w:ind w:left="1134" w:hanging="1134"/>
      </w:pPr>
      <w:rPr>
        <w:sz w:val="26"/>
        <w:i w:val="false"/>
        <w:b w:val="false"/>
        <w:szCs w:val="26"/>
      </w:rPr>
    </w:lvl>
    <w:lvl w:ilvl="3">
      <w:start w:val="1"/>
      <w:numFmt w:val="decimal"/>
      <w:lvlText w:val="%1.%2.%3.%4"/>
      <w:lvlJc w:val="left"/>
      <w:pPr>
        <w:tabs>
          <w:tab w:val="num" w:pos="1134"/>
        </w:tabs>
        <w:ind w:left="1134" w:hanging="1134"/>
      </w:pPr>
      <w:rPr>
        <w:sz w:val="26"/>
        <w:i w:val="false"/>
        <w:b w:val="false"/>
        <w:szCs w:val="26"/>
      </w:rPr>
    </w:lvl>
    <w:lvl w:ilvl="4">
      <w:start w:val="1"/>
      <w:numFmt w:val="russianLower"/>
      <w:lvlText w:val="%5)"/>
      <w:lvlJc w:val="left"/>
      <w:pPr>
        <w:tabs>
          <w:tab w:val="num" w:pos="5104"/>
        </w:tabs>
        <w:ind w:left="5104" w:hanging="567"/>
      </w:pPr>
      <w:rPr>
        <w:i w:val="false"/>
        <w:b w:val="false"/>
      </w:rPr>
    </w:lvl>
    <w:lvl w:ilvl="5">
      <w:start w:val="1"/>
      <w:numFmt w:val="decimal"/>
      <w:lvlText w:val="%1.%2.%3.%4.%5.%6."/>
      <w:lvlJc w:val="left"/>
      <w:pPr>
        <w:tabs>
          <w:tab w:val="num" w:pos="3960"/>
        </w:tabs>
        <w:ind w:left="2736" w:hanging="936"/>
      </w:pPr>
      <w:rPr/>
    </w:lvl>
    <w:lvl w:ilvl="6">
      <w:start w:val="1"/>
      <w:numFmt w:val="decimal"/>
      <w:lvlText w:val="%1.%2.%3.%4.%5.%6.%7."/>
      <w:lvlJc w:val="left"/>
      <w:pPr>
        <w:tabs>
          <w:tab w:val="num" w:pos="4680"/>
        </w:tabs>
        <w:ind w:left="3240" w:hanging="1080"/>
      </w:pPr>
      <w:rPr/>
    </w:lvl>
    <w:lvl w:ilvl="7">
      <w:start w:val="1"/>
      <w:numFmt w:val="decimal"/>
      <w:lvlText w:val="%1.%2.%3.%4.%5.%6.%7.%8."/>
      <w:lvlJc w:val="left"/>
      <w:pPr>
        <w:tabs>
          <w:tab w:val="num" w:pos="5400"/>
        </w:tabs>
        <w:ind w:left="3744" w:hanging="1224"/>
      </w:pPr>
      <w:rPr/>
    </w:lvl>
    <w:lvl w:ilvl="8">
      <w:start w:val="1"/>
      <w:numFmt w:val="decimal"/>
      <w:lvlText w:val="%1.%2.%3.%4.%5.%6.%7.%8.%9."/>
      <w:lvlJc w:val="left"/>
      <w:pPr>
        <w:tabs>
          <w:tab w:val="num" w:pos="6120"/>
        </w:tabs>
        <w:ind w:left="4320" w:hanging="1440"/>
      </w:pPr>
      <w:rPr/>
    </w:lvl>
  </w:abstractNum>
  <w:abstractNum w:abstractNumId="9">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russianLow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6"/>
        <w:szCs w:val="22"/>
        <w:lang w:val="ru-RU" w:eastAsia="en-US" w:bidi="ar-SA"/>
      </w:rPr>
    </w:rPrDefault>
    <w:pPrDefault>
      <w:pPr>
        <w:suppressAutoHyphens w:val="true"/>
      </w:pPr>
    </w:pPrDefault>
  </w:docDefaults>
  <w:latentStyles w:defLockedState="1" w:defUIPriority="99" w:defSemiHidden="0" w:defUnhideWhenUsed="0" w:defQFormat="0" w:count="371">
    <w:lsdException w:name="Normal" w:locked="0" w:uiPriority="0" w:qFormat="1"/>
    <w:lsdException w:name="heading 1" w:locked="0" w:uiPriority="0"/>
    <w:lsdException w:name="heading 2" w:locked="0" w:uiPriority="0" w:semiHidden="1" w:unhideWhenUsed="1"/>
    <w:lsdException w:name="heading 3" w:locked="0" w:uiPriority="0" w:semiHidden="1" w:unhideWhenUsed="1"/>
    <w:lsdException w:name="heading 4" w:locked="0" w:uiPriority="0"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uiPriority="0" w:semiHidden="1" w:unhideWhenUsed="1"/>
    <w:lsdException w:name="index heading" w:locked="0" w:semiHidden="1" w:unhideWhenUsed="1"/>
    <w:lsdException w:name="caption" w:locked="0" w:uiPriority="35"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uiPriority="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qFormat="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17933"/>
    <w:pPr>
      <w:widowControl/>
      <w:suppressAutoHyphens w:val="true"/>
      <w:bidi w:val="0"/>
      <w:spacing w:before="12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Heading1">
    <w:name w:val="Heading 1"/>
    <w:basedOn w:val="Normal"/>
    <w:next w:val="Normal"/>
    <w:link w:val="1"/>
    <w:qFormat/>
    <w:rsid w:val="00565d50"/>
    <w:pPr>
      <w:keepNext w:val="true"/>
      <w:keepLines/>
      <w:pageBreakBefore/>
      <w:tabs>
        <w:tab w:val="clear" w:pos="708"/>
        <w:tab w:val="left" w:pos="1134" w:leader="none"/>
      </w:tabs>
      <w:suppressAutoHyphens w:val="true"/>
      <w:spacing w:before="480" w:after="240"/>
      <w:ind w:left="1134" w:hanging="1134"/>
      <w:outlineLvl w:val="0"/>
    </w:pPr>
    <w:rPr>
      <w:rFonts w:ascii="Arial" w:hAnsi="Arial" w:eastAsia="Times New Roman" w:cs="Times New Roman"/>
      <w:b/>
      <w:kern w:val="2"/>
      <w:sz w:val="40"/>
      <w:szCs w:val="26"/>
      <w:lang w:eastAsia="ru-RU"/>
    </w:rPr>
  </w:style>
  <w:style w:type="paragraph" w:styleId="Heading2">
    <w:name w:val="Heading 2"/>
    <w:basedOn w:val="Normal"/>
    <w:next w:val="Normal"/>
    <w:link w:val="21"/>
    <w:qFormat/>
    <w:rsid w:val="00565d50"/>
    <w:pPr>
      <w:keepNext w:val="true"/>
      <w:tabs>
        <w:tab w:val="clear" w:pos="708"/>
        <w:tab w:val="left" w:pos="2694" w:leader="none"/>
      </w:tabs>
      <w:suppressAutoHyphens w:val="true"/>
      <w:spacing w:before="360" w:after="120"/>
      <w:ind w:left="2694" w:hanging="1134"/>
      <w:outlineLvl w:val="1"/>
    </w:pPr>
    <w:rPr>
      <w:rFonts w:eastAsia="Times New Roman" w:cs="Times New Roman"/>
      <w:b/>
      <w:sz w:val="32"/>
      <w:szCs w:val="26"/>
      <w:lang w:eastAsia="ru-RU"/>
    </w:rPr>
  </w:style>
  <w:style w:type="paragraph" w:styleId="Heading3">
    <w:name w:val="Heading 3"/>
    <w:basedOn w:val="Normal"/>
    <w:next w:val="Normal"/>
    <w:link w:val="3"/>
    <w:semiHidden/>
    <w:unhideWhenUsed/>
    <w:qFormat/>
    <w:rsid w:val="00a74fa4"/>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Style6" w:customStyle="1">
    <w:name w:val="Верхний колонтитул Знак"/>
    <w:basedOn w:val="DefaultParagraphFont"/>
    <w:uiPriority w:val="99"/>
    <w:qFormat/>
    <w:rsid w:val="00c95e18"/>
    <w:rPr/>
  </w:style>
  <w:style w:type="character" w:styleId="Style7" w:customStyle="1">
    <w:name w:val="Нижний колонтитул Знак"/>
    <w:basedOn w:val="DefaultParagraphFont"/>
    <w:uiPriority w:val="99"/>
    <w:qFormat/>
    <w:rsid w:val="008364e8"/>
    <w:rPr/>
  </w:style>
  <w:style w:type="character" w:styleId="Style8" w:customStyle="1">
    <w:name w:val="[РГ] Инструкция для организатора"/>
    <w:basedOn w:val="DefaultParagraphFont"/>
    <w:uiPriority w:val="1"/>
    <w:qFormat/>
    <w:rsid w:val="00277346"/>
    <w:rPr>
      <w:i/>
      <w:iCs/>
      <w:shd w:fill="FFFF99" w:val="clear"/>
      <w:lang w:val="ru-RU"/>
    </w:rPr>
  </w:style>
  <w:style w:type="character" w:styleId="Style9" w:customStyle="1">
    <w:name w:val="Текст сноски Знак"/>
    <w:basedOn w:val="DefaultParagraphFont"/>
    <w:uiPriority w:val="99"/>
    <w:semiHidden/>
    <w:qFormat/>
    <w:rsid w:val="006608d1"/>
    <w:rPr>
      <w:sz w:val="20"/>
      <w:szCs w:val="20"/>
    </w:rPr>
  </w:style>
  <w:style w:type="character" w:styleId="Style10">
    <w:name w:val="Символ сноски"/>
    <w:unhideWhenUsed/>
    <w:qFormat/>
    <w:rsid w:val="006608d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c7f55"/>
    <w:rPr>
      <w:color w:val="0563C1" w:themeColor="hyperlink"/>
      <w:u w:val="single"/>
    </w:rPr>
  </w:style>
  <w:style w:type="character" w:styleId="UnresolvedMention" w:customStyle="1">
    <w:name w:val="Unresolved Mention"/>
    <w:basedOn w:val="DefaultParagraphFont"/>
    <w:uiPriority w:val="99"/>
    <w:semiHidden/>
    <w:unhideWhenUsed/>
    <w:qFormat/>
    <w:rsid w:val="00cc7f55"/>
    <w:rPr>
      <w:color w:val="605E5C"/>
      <w:shd w:fill="E1DFDD" w:val="clear"/>
    </w:rPr>
  </w:style>
  <w:style w:type="character" w:styleId="PlaceholderText">
    <w:name w:val="Placeholder Text"/>
    <w:basedOn w:val="DefaultParagraphFont"/>
    <w:uiPriority w:val="99"/>
    <w:semiHidden/>
    <w:qFormat/>
    <w:rsid w:val="00984d97"/>
    <w:rPr>
      <w:color w:val="808080"/>
    </w:rPr>
  </w:style>
  <w:style w:type="character" w:styleId="Style11" w:customStyle="1">
    <w:name w:val="[РГ] Отсылка"/>
    <w:basedOn w:val="DefaultParagraphFont"/>
    <w:uiPriority w:val="1"/>
    <w:qFormat/>
    <w:rsid w:val="00c558e6"/>
    <w:rPr>
      <w:color w:val="000000"/>
      <w:spacing w:val="0"/>
      <w:u w:val="dotted" w:color="4472C4"/>
      <w:shd w:fill="auto" w:val="clear"/>
      <w:lang w:val="ru-RU"/>
    </w:rPr>
  </w:style>
  <w:style w:type="character" w:styleId="Annotationreference">
    <w:name w:val="annotation reference"/>
    <w:basedOn w:val="DefaultParagraphFont"/>
    <w:uiPriority w:val="99"/>
    <w:unhideWhenUsed/>
    <w:qFormat/>
    <w:rsid w:val="007e365e"/>
    <w:rPr>
      <w:sz w:val="16"/>
      <w:szCs w:val="16"/>
    </w:rPr>
  </w:style>
  <w:style w:type="character" w:styleId="Style12" w:customStyle="1">
    <w:name w:val="Текст примечания Знак"/>
    <w:basedOn w:val="DefaultParagraphFont"/>
    <w:link w:val="Annotationtext"/>
    <w:uiPriority w:val="99"/>
    <w:qFormat/>
    <w:rsid w:val="007e365e"/>
    <w:rPr>
      <w:sz w:val="20"/>
      <w:szCs w:val="20"/>
    </w:rPr>
  </w:style>
  <w:style w:type="character" w:styleId="Style13" w:customStyle="1">
    <w:name w:val="Тема примечания Знак"/>
    <w:basedOn w:val="Style12"/>
    <w:link w:val="Annotationsubject"/>
    <w:uiPriority w:val="99"/>
    <w:semiHidden/>
    <w:qFormat/>
    <w:rsid w:val="007e365e"/>
    <w:rPr>
      <w:b/>
      <w:bCs/>
      <w:sz w:val="20"/>
      <w:szCs w:val="20"/>
    </w:rPr>
  </w:style>
  <w:style w:type="character" w:styleId="Style14" w:customStyle="1">
    <w:name w:val="[РГ] Инструкция для участника"/>
    <w:basedOn w:val="DefaultParagraphFont"/>
    <w:uiPriority w:val="1"/>
    <w:qFormat/>
    <w:rsid w:val="005864e9"/>
    <w:rPr>
      <w:i/>
      <w:shd w:fill="D0CECE" w:val="clear"/>
      <w:lang w:val="ru-RU"/>
    </w:rPr>
  </w:style>
  <w:style w:type="character" w:styleId="FollowedHyperlink">
    <w:name w:val="FollowedHyperlink"/>
    <w:basedOn w:val="DefaultParagraphFont"/>
    <w:uiPriority w:val="99"/>
    <w:semiHidden/>
    <w:unhideWhenUsed/>
    <w:rsid w:val="006d25e1"/>
    <w:rPr>
      <w:color w:val="954F72" w:themeColor="followedHyperlink"/>
      <w:u w:val="single"/>
    </w:rPr>
  </w:style>
  <w:style w:type="character" w:styleId="2" w:customStyle="1">
    <w:name w:val="Пункт Знак2"/>
    <w:link w:val="Style29"/>
    <w:qFormat/>
    <w:rsid w:val="00493761"/>
    <w:rPr>
      <w:rFonts w:eastAsia="Times New Roman" w:cs="Times New Roman"/>
      <w:szCs w:val="26"/>
      <w:lang w:eastAsia="ru-RU"/>
    </w:rPr>
  </w:style>
  <w:style w:type="character" w:styleId="1" w:customStyle="1">
    <w:name w:val="Заголовок 1 Знак"/>
    <w:basedOn w:val="DefaultParagraphFont"/>
    <w:qFormat/>
    <w:rsid w:val="00565d50"/>
    <w:rPr>
      <w:rFonts w:ascii="Arial" w:hAnsi="Arial" w:eastAsia="Times New Roman" w:cs="Times New Roman"/>
      <w:b/>
      <w:kern w:val="2"/>
      <w:sz w:val="40"/>
      <w:szCs w:val="26"/>
      <w:lang w:eastAsia="ru-RU"/>
    </w:rPr>
  </w:style>
  <w:style w:type="character" w:styleId="21" w:customStyle="1">
    <w:name w:val="Заголовок 2 Знак"/>
    <w:basedOn w:val="DefaultParagraphFont"/>
    <w:qFormat/>
    <w:rsid w:val="00565d50"/>
    <w:rPr>
      <w:rFonts w:eastAsia="Times New Roman" w:cs="Times New Roman"/>
      <w:b/>
      <w:sz w:val="32"/>
      <w:szCs w:val="26"/>
      <w:lang w:eastAsia="ru-RU"/>
    </w:rPr>
  </w:style>
  <w:style w:type="character" w:styleId="3" w:customStyle="1">
    <w:name w:val="Заголовок 3 Знак"/>
    <w:basedOn w:val="DefaultParagraphFont"/>
    <w:semiHidden/>
    <w:qFormat/>
    <w:rsid w:val="00a74fa4"/>
    <w:rPr>
      <w:rFonts w:ascii="Calibri Light" w:hAnsi="Calibri Light" w:eastAsia="" w:cs="" w:asciiTheme="majorHAnsi" w:cstheme="majorBidi" w:eastAsiaTheme="majorEastAsia" w:hAnsiTheme="majorHAnsi"/>
      <w:color w:val="1F3763" w:themeColor="accent1" w:themeShade="7f"/>
      <w:sz w:val="24"/>
      <w:szCs w:val="24"/>
    </w:rPr>
  </w:style>
  <w:style w:type="character" w:styleId="Style15">
    <w:name w:val="Ссылка указателя"/>
    <w:qFormat/>
    <w:rPr/>
  </w:style>
  <w:style w:type="character" w:styleId="Style16">
    <w:name w:val="Символ концевой сноски"/>
    <w:qFormat/>
    <w:rPr>
      <w:vertAlign w:val="superscript"/>
    </w:rPr>
  </w:style>
  <w:style w:type="character" w:styleId="EndnoteReference">
    <w:name w:val="Endnote Reference"/>
    <w:rPr>
      <w:vertAlign w:val="superscript"/>
    </w:rPr>
  </w:style>
  <w:style w:type="paragraph" w:styleId="Style17">
    <w:name w:val="Заголовок"/>
    <w:basedOn w:val="Normal"/>
    <w:next w:val="BodyText"/>
    <w:qFormat/>
    <w:pPr>
      <w:keepNext w:val="true"/>
      <w:spacing w:before="240" w:after="120"/>
    </w:pPr>
    <w:rPr>
      <w:rFonts w:ascii="Liberation Sans" w:hAnsi="Liberation Sans" w:eastAsia="WenQuanYi Zen Hei Sharp"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 w:type="paragraph" w:styleId="Style19" w:customStyle="1">
    <w:name w:val="[РГ] Раздел"/>
    <w:basedOn w:val="Normal"/>
    <w:next w:val="Style20"/>
    <w:qFormat/>
    <w:rsid w:val="00c95e18"/>
    <w:pPr>
      <w:keepNext w:val="true"/>
      <w:pageBreakBefore/>
      <w:numPr>
        <w:ilvl w:val="0"/>
        <w:numId w:val="1"/>
      </w:numPr>
      <w:spacing w:before="0" w:after="360"/>
      <w:jc w:val="both"/>
      <w:outlineLvl w:val="0"/>
    </w:pPr>
    <w:rPr>
      <w:b/>
      <w:bCs/>
      <w:caps/>
    </w:rPr>
  </w:style>
  <w:style w:type="paragraph" w:styleId="Style20" w:customStyle="1">
    <w:name w:val="[РГ] Подраздел"/>
    <w:basedOn w:val="Normal"/>
    <w:next w:val="Style21"/>
    <w:qFormat/>
    <w:rsid w:val="00891546"/>
    <w:pPr>
      <w:keepNext w:val="true"/>
      <w:numPr>
        <w:ilvl w:val="1"/>
        <w:numId w:val="1"/>
      </w:numPr>
      <w:spacing w:before="360" w:after="0"/>
      <w:jc w:val="both"/>
      <w:outlineLvl w:val="1"/>
    </w:pPr>
    <w:rPr>
      <w:b/>
      <w:bCs/>
    </w:rPr>
  </w:style>
  <w:style w:type="paragraph" w:styleId="Style21" w:customStyle="1">
    <w:name w:val="[РГ] Пункт"/>
    <w:basedOn w:val="Normal"/>
    <w:qFormat/>
    <w:rsid w:val="00891546"/>
    <w:pPr>
      <w:numPr>
        <w:ilvl w:val="2"/>
        <w:numId w:val="1"/>
      </w:numPr>
      <w:jc w:val="both"/>
      <w:outlineLvl w:val="2"/>
    </w:pPr>
    <w:rPr/>
  </w:style>
  <w:style w:type="paragraph" w:styleId="Style22" w:customStyle="1">
    <w:name w:val="[РГ] Подпункт"/>
    <w:basedOn w:val="Normal"/>
    <w:qFormat/>
    <w:rsid w:val="00891546"/>
    <w:pPr>
      <w:numPr>
        <w:ilvl w:val="3"/>
        <w:numId w:val="1"/>
      </w:numPr>
      <w:jc w:val="both"/>
      <w:outlineLvl w:val="3"/>
    </w:pPr>
    <w:rPr/>
  </w:style>
  <w:style w:type="paragraph" w:styleId="Style23" w:customStyle="1">
    <w:name w:val="[РГ] Перечисление"/>
    <w:basedOn w:val="Normal"/>
    <w:qFormat/>
    <w:rsid w:val="00891546"/>
    <w:pPr>
      <w:numPr>
        <w:ilvl w:val="4"/>
        <w:numId w:val="1"/>
      </w:numPr>
      <w:jc w:val="both"/>
      <w:outlineLvl w:val="4"/>
    </w:pPr>
    <w:rPr/>
  </w:style>
  <w:style w:type="paragraph" w:styleId="Style24" w:customStyle="1">
    <w:name w:val="[РГ] Заголовок"/>
    <w:basedOn w:val="Normal"/>
    <w:next w:val="Style25"/>
    <w:qFormat/>
    <w:rsid w:val="00f87384"/>
    <w:pPr>
      <w:keepNext w:val="true"/>
      <w:pageBreakBefore/>
      <w:spacing w:before="0" w:after="360"/>
      <w:jc w:val="both"/>
    </w:pPr>
    <w:rPr>
      <w:b/>
      <w:bCs/>
      <w:caps/>
    </w:rPr>
  </w:style>
  <w:style w:type="paragraph" w:styleId="Style25" w:customStyle="1">
    <w:name w:val="[РГ] Текст"/>
    <w:basedOn w:val="Normal"/>
    <w:qFormat/>
    <w:rsid w:val="00891546"/>
    <w:pPr>
      <w:jc w:val="both"/>
    </w:pPr>
    <w:rPr/>
  </w:style>
  <w:style w:type="paragraph" w:styleId="Style26">
    <w:name w:val="Колонтитул"/>
    <w:basedOn w:val="Normal"/>
    <w:qFormat/>
    <w:pPr/>
    <w:rPr/>
  </w:style>
  <w:style w:type="paragraph" w:styleId="Header">
    <w:name w:val="Header"/>
    <w:basedOn w:val="Normal"/>
    <w:link w:val="Style6"/>
    <w:uiPriority w:val="99"/>
    <w:unhideWhenUsed/>
    <w:rsid w:val="00c95e18"/>
    <w:pPr>
      <w:spacing w:before="0" w:after="120"/>
      <w:jc w:val="center"/>
    </w:pPr>
    <w:rPr/>
  </w:style>
  <w:style w:type="paragraph" w:styleId="Footer">
    <w:name w:val="Footer"/>
    <w:basedOn w:val="Normal"/>
    <w:link w:val="Style7"/>
    <w:unhideWhenUsed/>
    <w:rsid w:val="008364e8"/>
    <w:pPr>
      <w:jc w:val="right"/>
    </w:pPr>
    <w:rPr/>
  </w:style>
  <w:style w:type="paragraph" w:styleId="FootnoteText">
    <w:name w:val="Footnote Text"/>
    <w:basedOn w:val="Normal"/>
    <w:link w:val="Style9"/>
    <w:uiPriority w:val="99"/>
    <w:semiHidden/>
    <w:unhideWhenUsed/>
    <w:rsid w:val="006608d1"/>
    <w:pPr>
      <w:spacing w:before="0" w:after="0"/>
    </w:pPr>
    <w:rPr>
      <w:sz w:val="20"/>
      <w:szCs w:val="20"/>
    </w:rPr>
  </w:style>
  <w:style w:type="paragraph" w:styleId="Style27" w:customStyle="1">
    <w:name w:val="[РГ] Сноска"/>
    <w:basedOn w:val="FootnoteText"/>
    <w:qFormat/>
    <w:rsid w:val="006608d1"/>
    <w:pPr>
      <w:spacing w:before="80" w:after="0"/>
      <w:ind w:left="567" w:hanging="567"/>
      <w:jc w:val="both"/>
    </w:pPr>
    <w:rPr>
      <w:sz w:val="22"/>
    </w:rPr>
  </w:style>
  <w:style w:type="paragraph" w:styleId="TOC2">
    <w:name w:val="TOC 2"/>
    <w:basedOn w:val="Normal"/>
    <w:next w:val="Normal"/>
    <w:autoRedefine/>
    <w:uiPriority w:val="39"/>
    <w:unhideWhenUsed/>
    <w:rsid w:val="002c4b1b"/>
    <w:pPr>
      <w:tabs>
        <w:tab w:val="clear" w:pos="708"/>
        <w:tab w:val="left" w:pos="851" w:leader="none"/>
        <w:tab w:val="right" w:pos="9923" w:leader="none"/>
      </w:tabs>
      <w:spacing w:before="120" w:after="120"/>
      <w:ind w:left="851" w:hanging="851"/>
    </w:pPr>
    <w:rPr/>
  </w:style>
  <w:style w:type="paragraph" w:styleId="TOC1">
    <w:name w:val="TOC 1"/>
    <w:basedOn w:val="Normal"/>
    <w:next w:val="Normal"/>
    <w:autoRedefine/>
    <w:uiPriority w:val="39"/>
    <w:unhideWhenUsed/>
    <w:rsid w:val="00bd294b"/>
    <w:pPr>
      <w:keepNext w:val="true"/>
      <w:tabs>
        <w:tab w:val="clear" w:pos="708"/>
        <w:tab w:val="left" w:pos="851" w:leader="none"/>
        <w:tab w:val="right" w:pos="9923" w:leader="none"/>
      </w:tabs>
      <w:spacing w:before="120" w:after="120"/>
      <w:ind w:left="851" w:hanging="851"/>
    </w:pPr>
    <w:rPr>
      <w:b/>
      <w:caps/>
    </w:rPr>
  </w:style>
  <w:style w:type="paragraph" w:styleId="TOC3">
    <w:name w:val="TOC 3"/>
    <w:basedOn w:val="Normal"/>
    <w:next w:val="Normal"/>
    <w:autoRedefine/>
    <w:uiPriority w:val="39"/>
    <w:unhideWhenUsed/>
    <w:rsid w:val="009c217f"/>
    <w:pPr>
      <w:spacing w:lineRule="auto" w:line="259" w:before="0" w:after="100"/>
      <w:ind w:left="440" w:hanging="0"/>
    </w:pPr>
    <w:rPr>
      <w:rFonts w:ascii="Calibri" w:hAnsi="Calibri" w:eastAsia="" w:asciiTheme="minorHAnsi" w:eastAsiaTheme="minorEastAsia" w:hAnsiTheme="minorHAnsi"/>
      <w:sz w:val="22"/>
      <w:lang w:eastAsia="ru-RU"/>
    </w:rPr>
  </w:style>
  <w:style w:type="paragraph" w:styleId="TOC4">
    <w:name w:val="TOC 4"/>
    <w:basedOn w:val="Normal"/>
    <w:next w:val="Normal"/>
    <w:autoRedefine/>
    <w:uiPriority w:val="39"/>
    <w:unhideWhenUsed/>
    <w:rsid w:val="009c217f"/>
    <w:pPr>
      <w:spacing w:lineRule="auto" w:line="259" w:before="0" w:after="100"/>
      <w:ind w:left="660" w:hanging="0"/>
    </w:pPr>
    <w:rPr>
      <w:rFonts w:ascii="Calibri" w:hAnsi="Calibri" w:eastAsia="" w:asciiTheme="minorHAnsi" w:eastAsiaTheme="minorEastAsia" w:hAnsiTheme="minorHAnsi"/>
      <w:sz w:val="22"/>
      <w:lang w:eastAsia="ru-RU"/>
    </w:rPr>
  </w:style>
  <w:style w:type="paragraph" w:styleId="TOC5">
    <w:name w:val="TOC 5"/>
    <w:basedOn w:val="Normal"/>
    <w:next w:val="Normal"/>
    <w:autoRedefine/>
    <w:uiPriority w:val="39"/>
    <w:unhideWhenUsed/>
    <w:rsid w:val="009c217f"/>
    <w:pPr>
      <w:spacing w:lineRule="auto" w:line="259" w:before="0" w:after="100"/>
      <w:ind w:left="880" w:hanging="0"/>
    </w:pPr>
    <w:rPr>
      <w:rFonts w:ascii="Calibri" w:hAnsi="Calibri" w:eastAsia="" w:asciiTheme="minorHAnsi" w:eastAsiaTheme="minorEastAsia" w:hAnsiTheme="minorHAnsi"/>
      <w:sz w:val="22"/>
      <w:lang w:eastAsia="ru-RU"/>
    </w:rPr>
  </w:style>
  <w:style w:type="paragraph" w:styleId="TOC6">
    <w:name w:val="TOC 6"/>
    <w:basedOn w:val="Normal"/>
    <w:next w:val="Normal"/>
    <w:autoRedefine/>
    <w:uiPriority w:val="39"/>
    <w:unhideWhenUsed/>
    <w:rsid w:val="009c217f"/>
    <w:pPr>
      <w:spacing w:lineRule="auto" w:line="259" w:before="0" w:after="100"/>
      <w:ind w:left="1100" w:hanging="0"/>
    </w:pPr>
    <w:rPr>
      <w:rFonts w:ascii="Calibri" w:hAnsi="Calibri" w:eastAsia="" w:asciiTheme="minorHAnsi" w:eastAsiaTheme="minorEastAsia" w:hAnsiTheme="minorHAnsi"/>
      <w:sz w:val="22"/>
      <w:lang w:eastAsia="ru-RU"/>
    </w:rPr>
  </w:style>
  <w:style w:type="paragraph" w:styleId="TOC7">
    <w:name w:val="TOC 7"/>
    <w:basedOn w:val="Normal"/>
    <w:next w:val="Normal"/>
    <w:autoRedefine/>
    <w:uiPriority w:val="39"/>
    <w:unhideWhenUsed/>
    <w:rsid w:val="009c217f"/>
    <w:pPr>
      <w:spacing w:lineRule="auto" w:line="259" w:before="0" w:after="100"/>
      <w:ind w:left="1320" w:hanging="0"/>
    </w:pPr>
    <w:rPr>
      <w:rFonts w:ascii="Calibri" w:hAnsi="Calibri" w:eastAsia="" w:asciiTheme="minorHAnsi" w:eastAsiaTheme="minorEastAsia" w:hAnsiTheme="minorHAnsi"/>
      <w:sz w:val="22"/>
      <w:lang w:eastAsia="ru-RU"/>
    </w:rPr>
  </w:style>
  <w:style w:type="paragraph" w:styleId="TOC8">
    <w:name w:val="TOC 8"/>
    <w:basedOn w:val="Normal"/>
    <w:next w:val="Normal"/>
    <w:autoRedefine/>
    <w:uiPriority w:val="39"/>
    <w:unhideWhenUsed/>
    <w:rsid w:val="009c217f"/>
    <w:pPr>
      <w:spacing w:lineRule="auto" w:line="259" w:before="0" w:after="100"/>
      <w:ind w:left="1540" w:hanging="0"/>
    </w:pPr>
    <w:rPr>
      <w:rFonts w:ascii="Calibri" w:hAnsi="Calibri" w:eastAsia="" w:asciiTheme="minorHAnsi" w:eastAsiaTheme="minorEastAsia" w:hAnsiTheme="minorHAnsi"/>
      <w:sz w:val="22"/>
      <w:lang w:eastAsia="ru-RU"/>
    </w:rPr>
  </w:style>
  <w:style w:type="paragraph" w:styleId="TOC9">
    <w:name w:val="TOC 9"/>
    <w:basedOn w:val="Normal"/>
    <w:next w:val="Normal"/>
    <w:autoRedefine/>
    <w:uiPriority w:val="39"/>
    <w:unhideWhenUsed/>
    <w:rsid w:val="009c217f"/>
    <w:pPr>
      <w:spacing w:lineRule="auto" w:line="259" w:before="0" w:after="100"/>
      <w:ind w:left="1760" w:hanging="0"/>
    </w:pPr>
    <w:rPr>
      <w:rFonts w:ascii="Calibri" w:hAnsi="Calibri" w:eastAsia="" w:asciiTheme="minorHAnsi" w:eastAsiaTheme="minorEastAsia" w:hAnsiTheme="minorHAnsi"/>
      <w:sz w:val="22"/>
      <w:lang w:eastAsia="ru-RU"/>
    </w:rPr>
  </w:style>
  <w:style w:type="paragraph" w:styleId="Annotationtext">
    <w:name w:val="annotation text"/>
    <w:basedOn w:val="Normal"/>
    <w:link w:val="Style12"/>
    <w:uiPriority w:val="99"/>
    <w:unhideWhenUsed/>
    <w:qFormat/>
    <w:rsid w:val="007e365e"/>
    <w:pPr/>
    <w:rPr>
      <w:sz w:val="20"/>
      <w:szCs w:val="20"/>
    </w:rPr>
  </w:style>
  <w:style w:type="paragraph" w:styleId="Annotationsubject">
    <w:name w:val="annotation subject"/>
    <w:basedOn w:val="Annotationtext"/>
    <w:next w:val="Annotationtext"/>
    <w:link w:val="Style13"/>
    <w:uiPriority w:val="99"/>
    <w:semiHidden/>
    <w:unhideWhenUsed/>
    <w:qFormat/>
    <w:rsid w:val="007e365e"/>
    <w:pPr/>
    <w:rPr>
      <w:b/>
      <w:bCs/>
    </w:rPr>
  </w:style>
  <w:style w:type="paragraph" w:styleId="Style28" w:customStyle="1">
    <w:name w:val="[РГ] Альтернатива / Дополнение"/>
    <w:basedOn w:val="Style25"/>
    <w:next w:val="Style25"/>
    <w:qFormat/>
    <w:rsid w:val="00a932a1"/>
    <w:pPr/>
    <w:rPr>
      <w:i/>
      <w:shd w:fill="CCECFF" w:val="clear"/>
    </w:rPr>
  </w:style>
  <w:style w:type="paragraph" w:styleId="Revision">
    <w:name w:val="Revision"/>
    <w:uiPriority w:val="99"/>
    <w:semiHidden/>
    <w:qFormat/>
    <w:rsid w:val="00537a41"/>
    <w:pPr>
      <w:widowControl/>
      <w:suppressAutoHyphens w:val="true"/>
      <w:bidi w:val="0"/>
      <w:spacing w:before="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ListParagraph">
    <w:name w:val="List Paragraph"/>
    <w:basedOn w:val="Normal"/>
    <w:uiPriority w:val="34"/>
    <w:qFormat/>
    <w:rsid w:val="00bb1e37"/>
    <w:pPr>
      <w:spacing w:before="120" w:after="0"/>
      <w:ind w:left="720" w:hanging="0"/>
      <w:contextualSpacing/>
    </w:pPr>
    <w:rPr/>
  </w:style>
  <w:style w:type="paragraph" w:styleId="Style29" w:customStyle="1">
    <w:name w:val="Пункт"/>
    <w:basedOn w:val="Normal"/>
    <w:link w:val="2"/>
    <w:qFormat/>
    <w:rsid w:val="00493761"/>
    <w:pPr>
      <w:numPr>
        <w:ilvl w:val="2"/>
        <w:numId w:val="8"/>
      </w:numPr>
      <w:jc w:val="both"/>
    </w:pPr>
    <w:rPr>
      <w:rFonts w:eastAsia="Times New Roman" w:cs="Times New Roman"/>
      <w:szCs w:val="26"/>
      <w:lang w:eastAsia="ru-RU"/>
    </w:rPr>
  </w:style>
  <w:style w:type="paragraph" w:styleId="Style30" w:customStyle="1">
    <w:name w:val="Подпункт"/>
    <w:basedOn w:val="Style29"/>
    <w:qFormat/>
    <w:rsid w:val="00493761"/>
    <w:pPr>
      <w:numPr>
        <w:ilvl w:val="3"/>
      </w:numPr>
      <w:tabs>
        <w:tab w:val="clear" w:pos="708"/>
      </w:tabs>
      <w:ind w:left="2880" w:hanging="360"/>
    </w:pPr>
    <w:rPr/>
  </w:style>
  <w:style w:type="paragraph" w:styleId="Style31" w:customStyle="1">
    <w:name w:val="Подподпункт"/>
    <w:basedOn w:val="Style30"/>
    <w:qFormat/>
    <w:rsid w:val="00493761"/>
    <w:pPr>
      <w:numPr>
        <w:ilvl w:val="4"/>
      </w:numPr>
      <w:ind w:left="3600" w:hanging="360"/>
    </w:pPr>
    <w:rPr/>
  </w:style>
  <w:style w:type="paragraph" w:styleId="ListNumber">
    <w:name w:val="List Number"/>
    <w:basedOn w:val="Normal"/>
    <w:uiPriority w:val="99"/>
    <w:semiHidden/>
    <w:unhideWhenUsed/>
    <w:qFormat/>
    <w:rsid w:val="00ba36bb"/>
    <w:pPr>
      <w:numPr>
        <w:ilvl w:val="0"/>
        <w:numId w:val="14"/>
      </w:numPr>
      <w:suppressAutoHyphens w:val="true"/>
      <w:spacing w:before="120" w:after="0"/>
      <w:contextualSpacing/>
    </w:pPr>
    <w:rPr/>
  </w:style>
  <w:style w:type="paragraph" w:styleId="Tableheader" w:customStyle="1">
    <w:name w:val="Table_header"/>
    <w:basedOn w:val="Normal"/>
    <w:qFormat/>
    <w:rsid w:val="00ba36bb"/>
    <w:pPr>
      <w:suppressAutoHyphens w:val="true"/>
      <w:jc w:val="both"/>
    </w:pPr>
    <w:rPr>
      <w:rFonts w:eastAsia="Times New Roman" w:cs="Times New Roman"/>
      <w:b/>
      <w:sz w:val="20"/>
      <w:szCs w:val="24"/>
      <w:lang w:eastAsia="ru-RU"/>
    </w:rPr>
  </w:style>
  <w:style w:type="paragraph" w:styleId="22" w:customStyle="1">
    <w:name w:val="Шапка 2"/>
    <w:basedOn w:val="Normal"/>
    <w:qFormat/>
    <w:rsid w:val="00c563cf"/>
    <w:pPr>
      <w:pBdr>
        <w:bottom w:val="thickThinSmallGap" w:sz="24" w:space="1" w:color="000000"/>
      </w:pBdr>
      <w:spacing w:before="0" w:after="120"/>
      <w:jc w:val="center"/>
    </w:pPr>
    <w:rPr>
      <w:rFonts w:eastAsia="Times New Roman" w:cs="Times New Roman"/>
      <w:b/>
      <w:sz w:val="22"/>
      <w:lang w:eastAsia="ru-RU"/>
    </w:rPr>
  </w:style>
  <w:style w:type="numbering" w:styleId="NoList" w:default="1">
    <w:name w:val="No List"/>
    <w:uiPriority w:val="99"/>
    <w:semiHidden/>
    <w:unhideWhenUsed/>
    <w:qFormat/>
  </w:style>
  <w:style w:type="table" w:default="1" w:styleId="aa">
    <w:name w:val="Normal Table"/>
    <w:uiPriority w:val="99"/>
    <w:semiHidden/>
    <w:unhideWhenUsed/>
    <w:tblPr>
      <w:tblCellMar>
        <w:top w:w="0" w:type="dxa"/>
        <w:left w:w="108" w:type="dxa"/>
        <w:bottom w:w="0" w:type="dxa"/>
        <w:right w:w="108" w:type="dxa"/>
      </w:tblCellMar>
    </w:tblPr>
  </w:style>
  <w:style w:type="table" w:customStyle="1" w:styleId="af8">
    <w:name w:val="[РГ] Таблица"/>
    <w:basedOn w:val="aa"/>
    <w:uiPriority w:val="99"/>
    <w:rsid w:val="006173b0"/>
    <w:pPr>
      <w:spacing w:before="60" w:after="60"/>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57" w:type="dxa"/>
        <w:right w:w="57" w:type="dxa"/>
      </w:tblCellMar>
    </w:tblPr>
    <w:tblStylePr w:type="firstRow">
      <w:pPr>
        <w:wordWrap/>
        <w:jc w:val="center"/>
      </w:pPr>
      <w:rPr>
        <w:b/>
      </w:rPr>
      <w:tblPr/>
    </w:tblStylePr>
  </w:style>
  <w:style w:type="table" w:styleId="af9">
    <w:name w:val="Table Grid"/>
    <w:basedOn w:val="aa"/>
    <w:uiPriority w:val="39"/>
    <w:rsid w:val="006173b0"/>
    <w:pPr>
      <w:spacing w:befor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https://nbt.rushydro.ru/Planning/Program/View/370329?returnUrl=%2FPlanning%2FProgram%2FIndex_all%3Fnotnull%3DTrue%26page%3D1%26pageSize%3D50%26Filter.Index%3D17501%26Filter.LotYears%3D2026%26Filter.UserOrganizationType%3D2%26Filter.ExtendedFilterOpened%3DFalse%26Filter.UserOrganizationType%3D2%26Filter.tabIndex%3D0" TargetMode="External"/><Relationship Id="rId4" Type="http://schemas.openxmlformats.org/officeDocument/2006/relationships/hyperlink" Target="http://www.roseltorg.ru/" TargetMode="External"/><Relationship Id="rId5" Type="http://schemas.openxmlformats.org/officeDocument/2006/relationships/hyperlink" Target="mailto:uesk-sekr@kamenergo.ru" TargetMode="External"/><Relationship Id="rId6" Type="http://schemas.openxmlformats.org/officeDocument/2006/relationships/hyperlink" Target="mailto:kotty@rushydro.ru" TargetMode="External"/><Relationship Id="rId7" Type="http://schemas.openxmlformats.org/officeDocument/2006/relationships/hyperlink" Target="mailto:kotty@rushydro.ru"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package" Target="embeddings/oleObject1.docx"/><Relationship Id="rId16" Type="http://schemas.openxmlformats.org/officeDocument/2006/relationships/image" Target="media/image1.wmf"/><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6.xml"/><Relationship Id="rId22" Type="http://schemas.openxmlformats.org/officeDocument/2006/relationships/header" Target="head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package" Target="embeddings/oleObject2.docx"/><Relationship Id="rId26" Type="http://schemas.openxmlformats.org/officeDocument/2006/relationships/image" Target="media/image2.wmf"/><Relationship Id="rId27" Type="http://schemas.openxmlformats.org/officeDocument/2006/relationships/package" Target="embeddings/oleObject3.docx"/><Relationship Id="rId28" Type="http://schemas.openxmlformats.org/officeDocument/2006/relationships/image" Target="media/image3.wmf"/><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header" Target="header10.xml"/><Relationship Id="rId34" Type="http://schemas.openxmlformats.org/officeDocument/2006/relationships/header" Target="header11.xml"/><Relationship Id="rId35" Type="http://schemas.openxmlformats.org/officeDocument/2006/relationships/footer" Target="footer12.xml"/><Relationship Id="rId36" Type="http://schemas.openxmlformats.org/officeDocument/2006/relationships/footer" Target="footer13.xml"/><Relationship Id="rId37" Type="http://schemas.openxmlformats.org/officeDocument/2006/relationships/header" Target="header12.xml"/><Relationship Id="rId38" Type="http://schemas.openxmlformats.org/officeDocument/2006/relationships/header" Target="head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package" Target="embeddings/oleObject4.xlsx"/><Relationship Id="rId42" Type="http://schemas.openxmlformats.org/officeDocument/2006/relationships/image" Target="media/image4.wmf"/><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footer" Target="footer16.xml"/><Relationship Id="rId46" Type="http://schemas.openxmlformats.org/officeDocument/2006/relationships/footer" Target="footer17.xml"/><Relationship Id="rId47" Type="http://schemas.openxmlformats.org/officeDocument/2006/relationships/footnotes" Target="footnotes.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EF02B-32CE-4AA0-BB38-7A046108E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Application>AlterOffice/3.4.0.9$Linux_X86_64 LibreOffice_project/b8daf9e823b1a5463a2f48435ddc2e8696e7d4fc</Application>
  <AppVersion>15.0000</AppVersion>
  <Pages>67</Pages>
  <Words>17041</Words>
  <Characters>117461</Characters>
  <CharactersWithSpaces>132607</CharactersWithSpaces>
  <Paragraphs>974</Paragraphs>
  <Company>ПАО РусГидро; ИнКонТех</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2023-08-16T07:54:00Z</dcterms:created>
  <dc:creator>Владимир Щербаков</dc:creator>
  <dc:description/>
  <cp:keywords>Типовая форма</cp:keywords>
  <dc:language>ru-RU</dc:language>
  <cp:lastModifiedBy/>
  <dcterms:modified xsi:type="dcterms:W3CDTF">2026-06-18T15:34:59Z</dcterms:modified>
  <cp:revision>226</cp:revision>
  <dc:subject>Альбом типовых форм</dc:subject>
  <dc:title>Документация о закупке</dc:title>
</cp:coreProperties>
</file>

<file path=docProps/custom.xml><?xml version="1.0" encoding="utf-8"?>
<Properties xmlns="http://schemas.openxmlformats.org/officeDocument/2006/custom-properties" xmlns:vt="http://schemas.openxmlformats.org/officeDocument/2006/docPropsVTypes"/>
</file>