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jc w:val="righ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"/>
        <w:keepNext w:val="true"/>
        <w:keepLines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keepNext w:val="true"/>
        <w:keepLines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keepNext w:val="true"/>
        <w:keepLines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keepNext w:val="true"/>
        <w:keepLines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keepNext w:val="true"/>
        <w:keepLines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keepNext w:val="true"/>
        <w:keepLines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keepNext w:val="true"/>
        <w:keepLines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keepNext w:val="true"/>
        <w:keepLines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keepNext w:val="true"/>
        <w:keepLines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keepNext w:val="true"/>
        <w:keepLines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b/>
        </w:rPr>
      </w:pPr>
      <w:r>
        <w:rPr>
          <w:rFonts w:eastAsia="Calibri"/>
          <w:b/>
        </w:rPr>
        <w:t>Технические требования на поставку МТР</w:t>
      </w:r>
    </w:p>
    <w:p>
      <w:pPr>
        <w:pStyle w:val="Normal"/>
        <w:keepNext w:val="true"/>
        <w:keepLines/>
        <w:jc w:val="center"/>
        <w:rPr>
          <w:rFonts w:eastAsia="Calibri"/>
          <w:b/>
        </w:rPr>
      </w:pPr>
      <w:r>
        <w:rPr>
          <w:rFonts w:eastAsia="Calibri"/>
          <w:b/>
        </w:rPr>
      </w:r>
    </w:p>
    <w:p>
      <w:pPr>
        <w:pStyle w:val="Normal"/>
        <w:keepNext w:val="true"/>
        <w:keepLines/>
        <w:jc w:val="center"/>
        <w:rPr>
          <w:rFonts w:eastAsia="Calibri"/>
          <w:b/>
        </w:rPr>
      </w:pPr>
      <w:r>
        <w:rPr>
          <w:rFonts w:eastAsia="Calibri"/>
          <w:b/>
        </w:rPr>
      </w:r>
    </w:p>
    <w:p>
      <w:pPr>
        <w:pStyle w:val="Normal"/>
        <w:keepNext w:val="true"/>
        <w:keepLines/>
        <w:jc w:val="center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>ОКПД2 19.20.29 «Поставка эксплуатационного масла для дизель-генераторных установок иностранного производства»</w:t>
      </w:r>
    </w:p>
    <w:p>
      <w:pPr>
        <w:pStyle w:val="Normal"/>
        <w:keepNext w:val="true"/>
        <w:keepLines/>
        <w:jc w:val="center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</w:r>
    </w:p>
    <w:p>
      <w:pPr>
        <w:pStyle w:val="Normal"/>
        <w:keepNext w:val="true"/>
        <w:keepLines/>
        <w:jc w:val="center"/>
        <w:rPr>
          <w:rFonts w:eastAsia="Calibri"/>
          <w:i/>
          <w:i/>
          <w:sz w:val="26"/>
          <w:szCs w:val="26"/>
        </w:rPr>
      </w:pPr>
      <w:r>
        <w:rPr>
          <w:rFonts w:eastAsia="Calibri"/>
          <w:sz w:val="26"/>
          <w:szCs w:val="26"/>
        </w:rPr>
        <w:t xml:space="preserve">Лот № </w:t>
      </w:r>
      <w:r>
        <w:rPr/>
        <w:t>17501-ЭКСП ПРОД-2026-ЮЭСК</w:t>
      </w:r>
    </w:p>
    <w:p>
      <w:pPr>
        <w:pStyle w:val="Normal"/>
        <w:rPr>
          <w:b/>
        </w:rPr>
      </w:pPr>
      <w:r>
        <w:rPr>
          <w:b/>
        </w:rPr>
      </w:r>
      <w:r>
        <w:br w:type="page"/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left" w:pos="560" w:leader="none"/>
              <w:tab w:val="right" w:pos="9921" w:leader="dot"/>
            </w:tabs>
            <w:spacing w:before="0" w:after="0"/>
            <w:rPr>
              <w:rFonts w:ascii="Calibri" w:hAnsi="Calibri" w:eastAsia="新細明體" w:cs="Arial" w:asciiTheme="minorHAnsi" w:cstheme="minorBidi" w:eastAsiaTheme="minorEastAsia" w:hAnsiTheme="minorHAnsi"/>
              <w:b w:val="false"/>
              <w:bCs w:val="false"/>
            </w:rPr>
          </w:pPr>
          <w:r>
            <w:fldChar w:fldCharType="begin"/>
          </w:r>
          <w:r>
            <w:rPr>
              <w:webHidden/>
              <w:rStyle w:val="Style14"/>
            </w:rPr>
            <w:instrText xml:space="preserve"> TOC \z \o "1-4" \u \h</w:instrText>
          </w:r>
          <w:r>
            <w:rPr>
              <w:webHidden/>
              <w:rStyle w:val="Style14"/>
            </w:rPr>
            <w:fldChar w:fldCharType="separate"/>
          </w:r>
          <w:hyperlink w:anchor="_Toc75446566">
            <w:r>
              <w:rPr>
                <w:webHidden/>
                <w:rStyle w:val="Style14"/>
              </w:rPr>
              <w:t>1.</w:t>
            </w:r>
            <w:r>
              <w:rPr>
                <w:rStyle w:val="Style14"/>
                <w:rFonts w:eastAsia="新細明體" w:cs="Arial" w:ascii="Calibri" w:hAnsi="Calibri" w:asciiTheme="minorHAnsi" w:cstheme="minorBidi" w:eastAsiaTheme="minorEastAsia" w:hAnsiTheme="minorHAnsi"/>
                <w:b w:val="false"/>
                <w:bCs w:val="false"/>
              </w:rPr>
              <w:tab/>
            </w:r>
            <w:r>
              <w:rPr>
                <w:rStyle w:val="Style14"/>
              </w:rPr>
              <w:t>Общие сведения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_Toc75446566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tabs>
              <w:tab w:val="clear" w:pos="708"/>
              <w:tab w:val="left" w:pos="1120" w:leader="none"/>
              <w:tab w:val="right" w:pos="9921" w:leader="dot"/>
            </w:tabs>
            <w:rPr>
              <w:rFonts w:ascii="Calibri" w:hAnsi="Calibri" w:eastAsia="新細明體" w:cs="Arial" w:asciiTheme="minorHAnsi" w:cstheme="minorBidi" w:eastAsiaTheme="minorEastAsia" w:hAnsiTheme="minorHAnsi"/>
              <w:sz w:val="24"/>
              <w:szCs w:val="24"/>
            </w:rPr>
          </w:pPr>
          <w:hyperlink w:anchor="_Toc75446568">
            <w:r>
              <w:rPr>
                <w:webHidden/>
                <w:rStyle w:val="Style14"/>
                <w:iCs/>
                <w:sz w:val="24"/>
                <w:szCs w:val="24"/>
              </w:rPr>
              <w:t>1.1.</w:t>
            </w:r>
            <w:r>
              <w:rPr>
                <w:rStyle w:val="Style14"/>
                <w:rFonts w:eastAsia="新細明體" w:cs="Arial" w:ascii="Calibri" w:hAnsi="Calibri" w:asciiTheme="minorHAnsi" w:cstheme="minorBidi" w:eastAsiaTheme="minorEastAsia" w:hAnsiTheme="minorHAnsi"/>
                <w:sz w:val="24"/>
                <w:szCs w:val="24"/>
              </w:rPr>
              <w:tab/>
            </w:r>
            <w:r>
              <w:rPr>
                <w:rStyle w:val="Style14"/>
                <w:sz w:val="24"/>
                <w:szCs w:val="24"/>
              </w:rPr>
              <w:t>Наименование закупаемой продукции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_Toc75446568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tabs>
              <w:tab w:val="clear" w:pos="708"/>
              <w:tab w:val="left" w:pos="1120" w:leader="none"/>
              <w:tab w:val="right" w:pos="9921" w:leader="dot"/>
            </w:tabs>
            <w:rPr>
              <w:rFonts w:ascii="Calibri" w:hAnsi="Calibri" w:eastAsia="新細明體" w:cs="Arial" w:asciiTheme="minorHAnsi" w:cstheme="minorBidi" w:eastAsiaTheme="minorEastAsia" w:hAnsiTheme="minorHAnsi"/>
              <w:sz w:val="24"/>
              <w:szCs w:val="24"/>
            </w:rPr>
          </w:pPr>
          <w:hyperlink w:anchor="_Toc75446569">
            <w:r>
              <w:rPr>
                <w:webHidden/>
                <w:rStyle w:val="Style14"/>
                <w:iCs/>
                <w:sz w:val="24"/>
                <w:szCs w:val="24"/>
              </w:rPr>
              <w:t>1.2.</w:t>
            </w:r>
            <w:r>
              <w:rPr>
                <w:rStyle w:val="Style14"/>
                <w:rFonts w:eastAsia="新細明體" w:cs="Arial" w:ascii="Calibri" w:hAnsi="Calibri" w:asciiTheme="minorHAnsi" w:cstheme="minorBidi" w:eastAsiaTheme="minorEastAsia" w:hAnsiTheme="minorHAnsi"/>
                <w:sz w:val="24"/>
                <w:szCs w:val="24"/>
              </w:rPr>
              <w:tab/>
            </w:r>
            <w:r>
              <w:rPr>
                <w:rStyle w:val="Style14"/>
                <w:sz w:val="24"/>
                <w:szCs w:val="24"/>
              </w:rPr>
              <w:t>Цель использования закупаемой продукции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_Toc75446569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4"/>
            <w:tabs>
              <w:tab w:val="clear" w:pos="708"/>
              <w:tab w:val="left" w:pos="1120" w:leader="none"/>
              <w:tab w:val="right" w:pos="9921" w:leader="dot"/>
            </w:tabs>
            <w:rPr>
              <w:rFonts w:ascii="Calibri" w:hAnsi="Calibri" w:eastAsia="新細明體" w:cs="Arial" w:asciiTheme="minorHAnsi" w:cstheme="minorBidi" w:eastAsiaTheme="minorEastAsia" w:hAnsiTheme="minorHAnsi"/>
              <w:sz w:val="24"/>
              <w:szCs w:val="24"/>
            </w:rPr>
          </w:pPr>
          <w:hyperlink w:anchor="_Toc75446571">
            <w:r>
              <w:rPr>
                <w:webHidden/>
                <w:rStyle w:val="Style14"/>
                <w:iCs/>
                <w:sz w:val="24"/>
                <w:szCs w:val="24"/>
              </w:rPr>
              <w:t>1.3.</w:t>
            </w:r>
            <w:r>
              <w:rPr>
                <w:rStyle w:val="Style14"/>
                <w:rFonts w:eastAsia="新細明體" w:cs="Arial" w:ascii="Calibri" w:hAnsi="Calibri" w:asciiTheme="minorHAnsi" w:cstheme="minorBidi" w:eastAsiaTheme="minorEastAsia" w:hAnsiTheme="minorHAnsi"/>
                <w:sz w:val="24"/>
                <w:szCs w:val="24"/>
              </w:rPr>
              <w:tab/>
            </w:r>
            <w:r>
              <w:rPr>
                <w:rStyle w:val="Style14"/>
                <w:sz w:val="24"/>
                <w:szCs w:val="24"/>
              </w:rPr>
              <w:t>Информация в отношении исполнения договора, которая должна быть учтена при подготовке заявки (в том числе перечень ресурсов, услуг и документов, предоставляемых заказчиком на этапе исполнения договора)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_Toc75446571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vanish w:val="false"/>
                <w:sz w:val="24"/>
                <w:szCs w:val="24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560" w:leader="none"/>
              <w:tab w:val="right" w:pos="9921" w:leader="dot"/>
            </w:tabs>
            <w:spacing w:before="0" w:after="0"/>
            <w:rPr>
              <w:rFonts w:ascii="Calibri" w:hAnsi="Calibri" w:eastAsia="新細明體" w:cs="Arial" w:asciiTheme="minorHAnsi" w:cstheme="minorBidi" w:eastAsiaTheme="minorEastAsia" w:hAnsiTheme="minorHAnsi"/>
              <w:b w:val="false"/>
              <w:bCs w:val="false"/>
            </w:rPr>
          </w:pPr>
          <w:hyperlink w:anchor="_Toc75446573">
            <w:r>
              <w:rPr>
                <w:webHidden/>
                <w:rStyle w:val="Style14"/>
              </w:rPr>
              <w:t>2.</w:t>
            </w:r>
            <w:r>
              <w:rPr>
                <w:rStyle w:val="Style14"/>
                <w:rFonts w:eastAsia="新細明體" w:cs="Arial" w:ascii="Calibri" w:hAnsi="Calibri" w:asciiTheme="minorHAnsi" w:cstheme="minorBidi" w:eastAsiaTheme="minorEastAsia" w:hAnsiTheme="minorHAnsi"/>
                <w:b w:val="false"/>
                <w:bCs w:val="false"/>
              </w:rPr>
              <w:tab/>
            </w:r>
            <w:r>
              <w:rPr>
                <w:rStyle w:val="Style14"/>
                <w:iCs/>
              </w:rPr>
              <w:t>Требования к продукции</w:t>
            </w:r>
            <w:r>
              <w:rPr>
                <w:rStyle w:val="Style14"/>
                <w:vanish w:val="false"/>
              </w:rPr>
              <w:tab/>
            </w:r>
          </w:hyperlink>
          <w:r>
            <w:rPr/>
            <w:t>3</w:t>
          </w:r>
        </w:p>
        <w:p>
          <w:pPr>
            <w:pStyle w:val="TOC4"/>
            <w:tabs>
              <w:tab w:val="clear" w:pos="708"/>
              <w:tab w:val="left" w:pos="1120" w:leader="none"/>
              <w:tab w:val="right" w:pos="9921" w:leader="dot"/>
            </w:tabs>
            <w:rPr>
              <w:sz w:val="24"/>
              <w:szCs w:val="24"/>
            </w:rPr>
          </w:pPr>
          <w:hyperlink w:anchor="_Toc75446574">
            <w:r>
              <w:rPr>
                <w:webHidden/>
                <w:rStyle w:val="Style14"/>
                <w:iCs/>
                <w:sz w:val="24"/>
                <w:szCs w:val="24"/>
              </w:rPr>
              <w:t>2.1.</w:t>
            </w:r>
            <w:r>
              <w:rPr>
                <w:rStyle w:val="Style14"/>
                <w:rFonts w:eastAsia="新細明體" w:cs="Arial" w:ascii="Calibri" w:hAnsi="Calibri" w:asciiTheme="minorHAnsi" w:cstheme="minorBidi" w:eastAsiaTheme="minorEastAsia" w:hAnsiTheme="minorHAnsi"/>
                <w:sz w:val="24"/>
                <w:szCs w:val="24"/>
              </w:rPr>
              <w:tab/>
            </w:r>
            <w:r>
              <w:rPr>
                <w:rStyle w:val="Style14"/>
                <w:sz w:val="24"/>
                <w:szCs w:val="24"/>
              </w:rPr>
              <w:t>Требования к объемам и срокам поставки</w:t>
            </w:r>
            <w:r>
              <w:rPr>
                <w:rStyle w:val="Style14"/>
                <w:vanish w:val="false"/>
                <w:sz w:val="24"/>
                <w:szCs w:val="24"/>
              </w:rPr>
              <w:tab/>
            </w:r>
          </w:hyperlink>
          <w:r>
            <w:rPr>
              <w:sz w:val="24"/>
              <w:szCs w:val="24"/>
            </w:rPr>
            <w:t>3</w:t>
          </w:r>
        </w:p>
        <w:p>
          <w:pPr>
            <w:pStyle w:val="Normal"/>
            <w:tabs>
              <w:tab w:val="clear" w:pos="708"/>
              <w:tab w:val="right" w:pos="9921" w:leader="dot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        </w:t>
          </w:r>
          <w:r>
            <w:rPr>
              <w:sz w:val="24"/>
              <w:szCs w:val="24"/>
            </w:rPr>
            <w:t>2.1.1.  Перечень и объем закупаемой продукции ………………………………........................3</w:t>
          </w:r>
        </w:p>
        <w:p>
          <w:pPr>
            <w:pStyle w:val="Normal"/>
            <w:tabs>
              <w:tab w:val="clear" w:pos="708"/>
              <w:tab w:val="right" w:pos="9921" w:leader="dot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        </w:t>
          </w:r>
          <w:r>
            <w:rPr>
              <w:sz w:val="24"/>
              <w:szCs w:val="24"/>
            </w:rPr>
            <w:t>2.1.2. Требования к срокам поставки продукции и оказания сопутствующих услуг…..…….3</w:t>
          </w:r>
        </w:p>
        <w:p>
          <w:pPr>
            <w:pStyle w:val="Normal"/>
            <w:tabs>
              <w:tab w:val="clear" w:pos="708"/>
              <w:tab w:val="right" w:pos="9921" w:leader="dot"/>
            </w:tabs>
            <w:rPr>
              <w:sz w:val="24"/>
              <w:szCs w:val="24"/>
            </w:rPr>
          </w:pPr>
          <w:r>
            <w:rPr>
              <w:sz w:val="24"/>
              <w:szCs w:val="24"/>
            </w:rPr>
            <w:t xml:space="preserve">        </w:t>
          </w:r>
          <w:r>
            <w:rPr>
              <w:sz w:val="24"/>
              <w:szCs w:val="24"/>
            </w:rPr>
            <w:t>2.2. Требования к качеству продукции………………………………………………………….4</w:t>
          </w:r>
        </w:p>
        <w:p>
          <w:pPr>
            <w:pStyle w:val="TOC1"/>
            <w:tabs>
              <w:tab w:val="clear" w:pos="708"/>
              <w:tab w:val="right" w:pos="9921" w:leader="dot"/>
            </w:tabs>
            <w:spacing w:before="0" w:after="0"/>
            <w:rPr>
              <w:rFonts w:ascii="Calibri" w:hAnsi="Calibri" w:eastAsia="新細明體" w:cs="Arial" w:asciiTheme="minorHAnsi" w:cstheme="minorBidi" w:eastAsiaTheme="minorEastAsia" w:hAnsiTheme="minorHAnsi"/>
              <w:b w:val="false"/>
              <w:bCs w:val="false"/>
            </w:rPr>
          </w:pPr>
          <w:hyperlink w:anchor="_Toc75446576">
            <w:r>
              <w:rPr>
                <w:webHidden/>
                <w:rStyle w:val="Style14"/>
                <w:b w:val="false"/>
              </w:rPr>
              <w:t>Таблица 1. Перечень и объем закупаемой продукции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_Toc75446576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b w:val="fals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921" w:leader="dot"/>
            </w:tabs>
            <w:spacing w:before="0" w:after="0"/>
            <w:rPr>
              <w:rFonts w:ascii="Calibri" w:hAnsi="Calibri" w:eastAsia="新細明體" w:cs="Arial" w:asciiTheme="minorHAnsi" w:cstheme="minorBidi" w:eastAsiaTheme="minorEastAsia" w:hAnsiTheme="minorHAnsi"/>
              <w:b w:val="false"/>
              <w:bCs w:val="false"/>
            </w:rPr>
          </w:pPr>
          <w:hyperlink w:anchor="_Toc75446579">
            <w:r>
              <w:rPr>
                <w:webHidden/>
                <w:rStyle w:val="Style14"/>
                <w:b w:val="false"/>
              </w:rPr>
              <w:t>Таблица 2. Требования по срокам поставки продукции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_Toc75446579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b w:val="fals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921" w:leader="dot"/>
            </w:tabs>
            <w:spacing w:before="0" w:after="0"/>
            <w:rPr>
              <w:b w:val="false"/>
            </w:rPr>
          </w:pPr>
          <w:hyperlink w:anchor="_Toc75446582">
            <w:r>
              <w:rPr>
                <w:webHidden/>
                <w:rStyle w:val="Style14"/>
                <w:b w:val="false"/>
              </w:rPr>
              <w:t>Таблица 3. Требования к продукции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_Toc75446582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4"/>
                <w:b w:val="fals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left" w:pos="560" w:leader="none"/>
              <w:tab w:val="right" w:pos="9921" w:leader="dot"/>
            </w:tabs>
            <w:spacing w:before="0" w:after="0"/>
            <w:rPr/>
          </w:pPr>
          <w:r>
            <w:rPr/>
            <w:t xml:space="preserve">3.     </w:t>
          </w:r>
          <w:hyperlink w:anchor="_Toc75446583">
            <w:r>
              <w:rPr>
                <w:webHidden/>
                <w:rStyle w:val="Style14"/>
              </w:rPr>
              <w:t>Т</w:t>
            </w:r>
            <w:r>
              <w:rPr>
                <w:rStyle w:val="Style14"/>
                <w:rFonts w:eastAsia="Calibri"/>
              </w:rPr>
              <w:t xml:space="preserve">ребования к </w:t>
            </w:r>
            <w:r>
              <w:rPr>
                <w:rStyle w:val="Style14"/>
                <w:iCs/>
              </w:rPr>
              <w:t>документам и формам, которые необходимо заполнить участникам закупки</w:t>
            </w:r>
            <w:r>
              <w:rPr>
                <w:rStyle w:val="Style14"/>
                <w:vanish w:val="false"/>
              </w:rPr>
              <w:tab/>
            </w:r>
          </w:hyperlink>
          <w:r>
            <w:rPr/>
            <w:t>6</w:t>
          </w:r>
        </w:p>
        <w:p>
          <w:pPr>
            <w:pStyle w:val="Normal"/>
            <w:tabs>
              <w:tab w:val="clear" w:pos="708"/>
              <w:tab w:val="right" w:pos="9921" w:leader="dot"/>
            </w:tabs>
            <w:rPr>
              <w:rFonts w:eastAsia="新細明體" w:eastAsiaTheme="minorEastAsia"/>
              <w:sz w:val="24"/>
              <w:szCs w:val="24"/>
            </w:rPr>
          </w:pPr>
          <w:r>
            <w:rPr>
              <w:rFonts w:eastAsia="新細明體" w:eastAsiaTheme="minorEastAsia"/>
              <w:sz w:val="24"/>
              <w:szCs w:val="24"/>
            </w:rPr>
            <w:t>Таблица 4. ...…………………………………………………………………………….........................6</w:t>
          </w:r>
        </w:p>
        <w:p>
          <w:pPr>
            <w:pStyle w:val="Normal"/>
            <w:tabs>
              <w:tab w:val="clear" w:pos="708"/>
              <w:tab w:val="right" w:pos="9921" w:leader="dot"/>
            </w:tabs>
            <w:rPr>
              <w:rFonts w:eastAsia="新細明體" w:eastAsiaTheme="minorEastAsia"/>
              <w:sz w:val="24"/>
              <w:szCs w:val="24"/>
            </w:rPr>
          </w:pPr>
          <w:r>
            <w:rPr>
              <w:rFonts w:eastAsia="新細明體" w:eastAsiaTheme="minorEastAsia"/>
              <w:sz w:val="24"/>
              <w:szCs w:val="24"/>
            </w:rPr>
            <w:t xml:space="preserve">4. </w:t>
          </w:r>
          <w:r>
            <w:rPr>
              <w:rFonts w:eastAsia="新細明體" w:eastAsiaTheme="minorEastAsia"/>
              <w:b/>
              <w:sz w:val="24"/>
              <w:szCs w:val="24"/>
            </w:rPr>
            <w:t>Требования к победителю закупочной процедуры                                                                    6</w:t>
          </w:r>
          <w:r>
            <w:rPr>
              <w:sz w:val="24"/>
              <w:b/>
              <w:szCs w:val="24"/>
              <w:rFonts w:eastAsia="新細明體"/>
            </w:rPr>
            <w:fldChar w:fldCharType="end"/>
          </w:r>
        </w:p>
      </w:sdtContent>
    </w:sdt>
    <w:p>
      <w:pPr>
        <w:pStyle w:val="Heading2"/>
        <w:numPr>
          <w:ilvl w:val="0"/>
          <w:numId w:val="0"/>
        </w:numPr>
        <w:tabs>
          <w:tab w:val="clear" w:pos="708"/>
          <w:tab w:val="right" w:pos="9921" w:leader="dot"/>
        </w:tabs>
        <w:spacing w:before="0" w:after="0"/>
        <w:ind w:left="0" w:hanging="0"/>
        <w:rPr>
          <w:b w:val="false"/>
          <w:i/>
          <w:i/>
        </w:rPr>
      </w:pPr>
      <w:r>
        <w:rPr>
          <w:b w:val="false"/>
          <w:i/>
        </w:rPr>
      </w:r>
    </w:p>
    <w:p>
      <w:pPr>
        <w:pStyle w:val="Normal"/>
        <w:keepNext w:val="true"/>
        <w:keepLines/>
        <w:jc w:val="center"/>
        <w:rPr>
          <w:rFonts w:eastAsia="Calibri"/>
          <w:b/>
          <w:i/>
          <w:i/>
          <w:sz w:val="24"/>
          <w:szCs w:val="24"/>
        </w:rPr>
      </w:pPr>
      <w:r>
        <w:rPr>
          <w:rFonts w:eastAsia="Calibri"/>
          <w:b/>
          <w:i/>
          <w:sz w:val="24"/>
          <w:szCs w:val="24"/>
        </w:rPr>
      </w:r>
      <w:r>
        <w:br w:type="page"/>
      </w:r>
    </w:p>
    <w:p>
      <w:pPr>
        <w:pStyle w:val="Heading1"/>
        <w:numPr>
          <w:ilvl w:val="0"/>
          <w:numId w:val="3"/>
        </w:numPr>
        <w:rPr>
          <w:sz w:val="24"/>
          <w:szCs w:val="24"/>
        </w:rPr>
      </w:pPr>
      <w:bookmarkStart w:id="0" w:name="_Toc75446568"/>
      <w:bookmarkStart w:id="1" w:name="_Toc46743506"/>
      <w:r>
        <w:rPr>
          <w:sz w:val="24"/>
          <w:szCs w:val="24"/>
        </w:rPr>
        <w:t>Общие сведения.</w:t>
      </w:r>
    </w:p>
    <w:p>
      <w:pPr>
        <w:pStyle w:val="Normal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</w:r>
    </w:p>
    <w:p>
      <w:pPr>
        <w:pStyle w:val="Heading4"/>
        <w:numPr>
          <w:ilvl w:val="1"/>
          <w:numId w:val="3"/>
        </w:numPr>
        <w:rPr/>
      </w:pPr>
      <w:bookmarkStart w:id="2" w:name="_Toc75446568"/>
      <w:bookmarkStart w:id="3" w:name="_Toc46743506"/>
      <w:r>
        <w:rPr/>
        <w:t>Наименование закупаемой продукции</w:t>
      </w:r>
      <w:bookmarkEnd w:id="2"/>
      <w:bookmarkEnd w:id="3"/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120"/>
        <w:rPr>
          <w:rFonts w:eastAsia="Calibri"/>
          <w:i/>
          <w:i/>
          <w:sz w:val="24"/>
          <w:szCs w:val="24"/>
          <w:lang w:eastAsia="x-none"/>
        </w:rPr>
      </w:pPr>
      <w:r>
        <w:rPr>
          <w:rFonts w:eastAsia="Calibri"/>
          <w:i/>
          <w:sz w:val="24"/>
          <w:szCs w:val="24"/>
          <w:lang w:eastAsia="x-none"/>
        </w:rPr>
        <w:t xml:space="preserve">      </w:t>
      </w:r>
      <w:r>
        <w:rPr>
          <w:rFonts w:eastAsia="Calibri"/>
          <w:i/>
          <w:sz w:val="24"/>
          <w:szCs w:val="24"/>
          <w:lang w:eastAsia="x-none"/>
        </w:rPr>
        <w:t>ОКПД2 19.20.29 «Поставка эксплуатационного масла для дизель-генераторных установок иностранного производства»</w:t>
      </w:r>
    </w:p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120"/>
        <w:rPr>
          <w:rFonts w:eastAsia="Calibri"/>
          <w:sz w:val="24"/>
          <w:szCs w:val="24"/>
          <w:lang w:eastAsia="x-none"/>
        </w:rPr>
      </w:pPr>
      <w:r>
        <w:rPr>
          <w:rFonts w:eastAsia="Calibri"/>
          <w:sz w:val="24"/>
          <w:szCs w:val="24"/>
          <w:lang w:eastAsia="x-none"/>
        </w:rPr>
      </w:r>
    </w:p>
    <w:p>
      <w:pPr>
        <w:pStyle w:val="Heading4"/>
        <w:numPr>
          <w:ilvl w:val="1"/>
          <w:numId w:val="3"/>
        </w:numPr>
        <w:spacing w:before="240" w:after="60"/>
        <w:ind w:left="431" w:hanging="431"/>
        <w:rPr/>
      </w:pPr>
      <w:bookmarkStart w:id="4" w:name="_Toc75446569"/>
      <w:bookmarkStart w:id="5" w:name="_Toc46743507"/>
      <w:r>
        <w:rPr/>
        <w:t xml:space="preserve">Цель </w:t>
      </w:r>
      <w:bookmarkEnd w:id="5"/>
      <w:r>
        <w:rPr>
          <w:lang w:val="ru-RU"/>
        </w:rPr>
        <w:t xml:space="preserve">использования закупаемой продукции  </w:t>
      </w:r>
      <w:bookmarkEnd w:id="4"/>
    </w:p>
    <w:p>
      <w:pPr>
        <w:pStyle w:val="Heading4"/>
        <w:numPr>
          <w:ilvl w:val="0"/>
          <w:numId w:val="0"/>
        </w:numPr>
        <w:spacing w:before="240" w:after="60"/>
        <w:ind w:left="431" w:hanging="0"/>
        <w:rPr/>
      </w:pPr>
      <w:r>
        <w:rPr>
          <w:rFonts w:eastAsia="Times New Roman"/>
          <w:b w:val="false"/>
          <w:bCs w:val="false"/>
          <w:lang w:val="ru-RU" w:eastAsia="ru-RU"/>
        </w:rPr>
        <w:t>Выработка электрической энергии Покупателем с применением дизельных генераторных установок</w:t>
      </w:r>
    </w:p>
    <w:p>
      <w:pPr>
        <w:pStyle w:val="Heading4"/>
        <w:numPr>
          <w:ilvl w:val="1"/>
          <w:numId w:val="3"/>
        </w:numPr>
        <w:rPr/>
      </w:pPr>
      <w:bookmarkStart w:id="6" w:name="_Toc75446571"/>
      <w:bookmarkStart w:id="7" w:name="_Hlk49857604"/>
      <w:bookmarkStart w:id="8" w:name="_Toc46743509"/>
      <w:r>
        <w:rPr/>
        <w:t xml:space="preserve">Информация в отношении исполнения договора, </w:t>
      </w:r>
      <w:bookmarkStart w:id="9" w:name="_Hlk46492347"/>
      <w:r>
        <w:rPr/>
        <w:t xml:space="preserve">которая должна быть учтена при подготовке заявки </w:t>
      </w:r>
      <w:bookmarkEnd w:id="9"/>
      <w:r>
        <w:rPr/>
        <w:t xml:space="preserve">(в том числе перечень ресурсов, услуг и документов, предоставляемых </w:t>
      </w:r>
      <w:r>
        <w:rPr>
          <w:lang w:val="ru-RU"/>
        </w:rPr>
        <w:t>заказчиком</w:t>
      </w:r>
      <w:r>
        <w:rPr/>
        <w:t xml:space="preserve"> на этапе исполнения договора)</w:t>
      </w:r>
      <w:bookmarkStart w:id="10" w:name="_Hlk48209761"/>
      <w:bookmarkEnd w:id="6"/>
      <w:bookmarkEnd w:id="7"/>
      <w:bookmarkEnd w:id="8"/>
    </w:p>
    <w:p>
      <w:pPr>
        <w:pStyle w:val="Normal"/>
        <w:rPr>
          <w:sz w:val="24"/>
          <w:szCs w:val="24"/>
          <w:lang w:eastAsia="x-none"/>
        </w:rPr>
      </w:pPr>
      <w:r>
        <w:rPr>
          <w:sz w:val="24"/>
          <w:szCs w:val="24"/>
          <w:lang w:eastAsia="x-none"/>
        </w:rPr>
      </w:r>
    </w:p>
    <w:p>
      <w:pPr>
        <w:pStyle w:val="Normal"/>
        <w:rPr>
          <w:sz w:val="24"/>
          <w:szCs w:val="24"/>
          <w:lang w:val="x-none" w:eastAsia="x-none"/>
        </w:rPr>
      </w:pPr>
      <w:r>
        <w:rPr>
          <w:sz w:val="24"/>
          <w:szCs w:val="24"/>
          <w:lang w:eastAsia="x-none"/>
        </w:rPr>
        <w:t>Полный перечень условий поставки прописан в проекте договора поставки, который является неотъемлемой частью Документации о закупке</w:t>
      </w:r>
    </w:p>
    <w:p>
      <w:pPr>
        <w:pStyle w:val="Heading1"/>
        <w:keepLines/>
        <w:numPr>
          <w:ilvl w:val="0"/>
          <w:numId w:val="3"/>
        </w:numPr>
        <w:ind w:left="357" w:hanging="357"/>
        <w:jc w:val="center"/>
        <w:rPr>
          <w:iCs/>
          <w:caps/>
          <w:sz w:val="24"/>
          <w:szCs w:val="24"/>
          <w:lang w:val="ru-RU"/>
        </w:rPr>
      </w:pPr>
      <w:bookmarkStart w:id="11" w:name="_Toc51339693"/>
      <w:bookmarkStart w:id="12" w:name="_Toc75446573"/>
      <w:bookmarkStart w:id="13" w:name="_Toc50125126"/>
      <w:bookmarkStart w:id="14" w:name="_Toc46743510"/>
      <w:bookmarkEnd w:id="10"/>
      <w:bookmarkEnd w:id="13"/>
      <w:bookmarkEnd w:id="14"/>
      <w:r>
        <w:rPr>
          <w:iCs/>
          <w:sz w:val="24"/>
          <w:szCs w:val="24"/>
        </w:rPr>
        <w:t>Требования к продукции</w:t>
      </w:r>
      <w:bookmarkEnd w:id="11"/>
      <w:bookmarkEnd w:id="12"/>
    </w:p>
    <w:p>
      <w:pPr>
        <w:pStyle w:val="Heading4"/>
        <w:numPr>
          <w:ilvl w:val="1"/>
          <w:numId w:val="3"/>
        </w:numPr>
        <w:rPr/>
      </w:pPr>
      <w:bookmarkStart w:id="15" w:name="_Toc75446574"/>
      <w:r>
        <w:rPr/>
        <w:t xml:space="preserve">Требования к объемам и срокам </w:t>
      </w:r>
      <w:r>
        <w:rPr>
          <w:lang w:val="ru-RU"/>
        </w:rPr>
        <w:t>поставки</w:t>
      </w:r>
      <w:bookmarkEnd w:id="15"/>
    </w:p>
    <w:p>
      <w:pPr>
        <w:pStyle w:val="Heading3"/>
        <w:numPr>
          <w:ilvl w:val="2"/>
          <w:numId w:val="3"/>
        </w:numPr>
        <w:rPr/>
      </w:pPr>
      <w:bookmarkStart w:id="16" w:name="_Toc75446575"/>
      <w:r>
        <w:rPr>
          <w:lang w:val="ru-RU"/>
        </w:rPr>
        <w:t>Перечень и объем закупаемой продукции</w:t>
      </w:r>
      <w:bookmarkEnd w:id="16"/>
    </w:p>
    <w:p>
      <w:pPr>
        <w:pStyle w:val="Heading1"/>
        <w:keepLines/>
        <w:numPr>
          <w:ilvl w:val="0"/>
          <w:numId w:val="0"/>
        </w:numPr>
        <w:spacing w:before="240" w:after="60"/>
        <w:ind w:left="0" w:hanging="0"/>
        <w:rPr>
          <w:sz w:val="24"/>
          <w:szCs w:val="24"/>
          <w:lang w:val="ru-RU"/>
        </w:rPr>
      </w:pPr>
      <w:bookmarkStart w:id="17" w:name="_Toc75446576"/>
      <w:bookmarkStart w:id="18" w:name="_Toc51339695"/>
      <w:r>
        <w:rPr>
          <w:sz w:val="24"/>
          <w:szCs w:val="24"/>
        </w:rPr>
        <w:t xml:space="preserve">Таблица </w:t>
      </w:r>
      <w:r>
        <w:rPr>
          <w:sz w:val="24"/>
          <w:szCs w:val="24"/>
          <w:lang w:val="ru-RU"/>
        </w:rPr>
        <w:t>1.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Перечень </w:t>
      </w:r>
      <w:bookmarkEnd w:id="18"/>
      <w:r>
        <w:rPr>
          <w:sz w:val="24"/>
          <w:szCs w:val="24"/>
          <w:lang w:val="ru-RU"/>
        </w:rPr>
        <w:t>и объем закупаемой продукции</w:t>
      </w:r>
      <w:bookmarkEnd w:id="17"/>
    </w:p>
    <w:tbl>
      <w:tblPr>
        <w:tblW w:w="10093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 w:noHBand="0" w:noVBand="0" w:firstColumn="0" w:lastRow="0" w:lastColumn="0" w:firstRow="0"/>
      </w:tblPr>
      <w:tblGrid>
        <w:gridCol w:w="848"/>
        <w:gridCol w:w="6127"/>
        <w:gridCol w:w="1418"/>
        <w:gridCol w:w="1699"/>
      </w:tblGrid>
      <w:tr>
        <w:trPr/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suppressAutoHyphens w:val="true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№</w:t>
            </w:r>
          </w:p>
          <w:p>
            <w:pPr>
              <w:pStyle w:val="Normal"/>
              <w:keepNext w:val="true"/>
              <w:widowControl w:val="false"/>
              <w:suppressAutoHyphens w:val="true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п/п</w:t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suppressAutoHyphens w:val="true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Наименование продукции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suppressAutoHyphens w:val="true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Единица измерения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 w:val="false"/>
              <w:suppressAutoHyphens w:val="true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Количество</w:t>
            </w:r>
          </w:p>
        </w:tc>
      </w:tr>
      <w:tr>
        <w:trPr/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</w:tr>
      <w:tr>
        <w:trPr/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widowControl w:val="false"/>
              <w:numPr>
                <w:ilvl w:val="0"/>
                <w:numId w:val="7"/>
              </w:numPr>
              <w:suppressAutoHyphens w:val="true"/>
              <w:rPr/>
            </w:pPr>
            <w:r>
              <w:rPr/>
            </w:r>
          </w:p>
        </w:tc>
        <w:tc>
          <w:tcPr>
            <w:tcW w:w="6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Масло моторное классификации </w:t>
            </w:r>
            <w:r>
              <w:rPr>
                <w:i/>
                <w:sz w:val="24"/>
                <w:szCs w:val="24"/>
                <w:lang w:val="en-US"/>
              </w:rPr>
              <w:t>API</w:t>
            </w:r>
            <w:r>
              <w:rPr>
                <w:i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  <w:lang w:val="en-US"/>
              </w:rPr>
              <w:t>CI</w:t>
            </w:r>
            <w:r>
              <w:rPr>
                <w:i/>
                <w:sz w:val="24"/>
                <w:szCs w:val="24"/>
              </w:rPr>
              <w:t xml:space="preserve">4 </w:t>
            </w:r>
            <w:r>
              <w:rPr>
                <w:i/>
                <w:sz w:val="24"/>
                <w:szCs w:val="24"/>
                <w:lang w:val="en-US"/>
              </w:rPr>
              <w:t>SAE</w:t>
            </w:r>
            <w:r>
              <w:rPr>
                <w:i/>
                <w:sz w:val="24"/>
                <w:szCs w:val="24"/>
              </w:rPr>
              <w:t xml:space="preserve"> 15 </w:t>
            </w:r>
            <w:r>
              <w:rPr>
                <w:i/>
                <w:sz w:val="24"/>
                <w:szCs w:val="24"/>
                <w:lang w:val="en-US"/>
              </w:rPr>
              <w:t>W</w:t>
            </w:r>
            <w:r>
              <w:rPr>
                <w:i/>
                <w:sz w:val="24"/>
                <w:szCs w:val="24"/>
              </w:rPr>
              <w:t>40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тонна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uppressAutoHyphens w:val="true"/>
              <w:jc w:val="center"/>
              <w:rPr>
                <w:i/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100</w:t>
            </w:r>
          </w:p>
        </w:tc>
      </w:tr>
    </w:tbl>
    <w:p>
      <w:pPr>
        <w:pStyle w:val="Normal"/>
        <w:widowControl w:val="false"/>
        <w:tabs>
          <w:tab w:val="clear" w:pos="708"/>
          <w:tab w:val="left" w:pos="426" w:leader="none"/>
        </w:tabs>
        <w:spacing w:before="120" w:after="120"/>
        <w:rPr>
          <w:bCs/>
          <w:i/>
          <w:i/>
          <w:sz w:val="24"/>
          <w:szCs w:val="24"/>
          <w:shd w:fill="FFFF99" w:val="clear"/>
        </w:rPr>
      </w:pPr>
      <w:r>
        <w:rPr>
          <w:bCs/>
          <w:i/>
          <w:sz w:val="24"/>
          <w:szCs w:val="24"/>
          <w:shd w:fill="FFFF99" w:val="clear"/>
        </w:rPr>
      </w:r>
    </w:p>
    <w:p>
      <w:pPr>
        <w:pStyle w:val="Heading3"/>
        <w:numPr>
          <w:ilvl w:val="2"/>
          <w:numId w:val="3"/>
        </w:numPr>
        <w:rPr>
          <w:lang w:val="ru-RU"/>
        </w:rPr>
      </w:pPr>
      <w:bookmarkStart w:id="19" w:name="_Toc75446578"/>
      <w:bookmarkStart w:id="20" w:name="_Toc51339696"/>
      <w:r>
        <w:rPr>
          <w:lang w:val="ru-RU"/>
        </w:rPr>
        <w:t xml:space="preserve">Требования </w:t>
      </w:r>
      <w:bookmarkEnd w:id="20"/>
      <w:r>
        <w:rPr>
          <w:lang w:val="ru-RU"/>
        </w:rPr>
        <w:t>к срокам поставки продукции и оказания сопутствующих услуг</w:t>
      </w:r>
      <w:bookmarkEnd w:id="19"/>
    </w:p>
    <w:p>
      <w:pPr>
        <w:pStyle w:val="Heading1"/>
        <w:keepLines/>
        <w:numPr>
          <w:ilvl w:val="0"/>
          <w:numId w:val="0"/>
        </w:numPr>
        <w:spacing w:before="240" w:after="60"/>
        <w:ind w:left="0" w:hanging="0"/>
        <w:rPr>
          <w:sz w:val="24"/>
          <w:szCs w:val="24"/>
          <w:lang w:val="ru-RU"/>
        </w:rPr>
      </w:pPr>
      <w:bookmarkStart w:id="21" w:name="_Toc50125126"/>
      <w:bookmarkStart w:id="22" w:name="_Toc75446579"/>
      <w:bookmarkStart w:id="23" w:name="_Toc51339697"/>
      <w:bookmarkStart w:id="24" w:name="_Toc50125127"/>
      <w:bookmarkEnd w:id="21"/>
      <w:r>
        <w:rPr>
          <w:sz w:val="24"/>
          <w:szCs w:val="24"/>
        </w:rPr>
        <w:t xml:space="preserve">Таблица </w:t>
      </w:r>
      <w:r>
        <w:rPr>
          <w:sz w:val="24"/>
          <w:szCs w:val="24"/>
          <w:lang w:val="ru-RU"/>
        </w:rPr>
        <w:t>2</w:t>
      </w:r>
      <w:r>
        <w:rPr>
          <w:sz w:val="24"/>
          <w:szCs w:val="24"/>
        </w:rPr>
        <w:t xml:space="preserve">. </w:t>
      </w:r>
      <w:bookmarkStart w:id="25" w:name="_Hlk50465284"/>
      <w:r>
        <w:rPr>
          <w:sz w:val="24"/>
          <w:szCs w:val="24"/>
        </w:rPr>
        <w:t xml:space="preserve">Требования по срокам </w:t>
      </w:r>
      <w:bookmarkEnd w:id="23"/>
      <w:bookmarkEnd w:id="24"/>
      <w:bookmarkEnd w:id="25"/>
      <w:r>
        <w:rPr>
          <w:sz w:val="24"/>
          <w:szCs w:val="24"/>
          <w:lang w:val="ru-RU"/>
        </w:rPr>
        <w:t>поставки продукции</w:t>
      </w:r>
      <w:bookmarkEnd w:id="22"/>
      <w:r>
        <w:rPr>
          <w:sz w:val="24"/>
          <w:szCs w:val="24"/>
          <w:lang w:val="ru-RU"/>
        </w:rPr>
        <w:t xml:space="preserve"> </w:t>
      </w:r>
    </w:p>
    <w:tbl>
      <w:tblPr>
        <w:tblW w:w="1020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80"/>
        <w:gridCol w:w="3525"/>
        <w:gridCol w:w="3120"/>
        <w:gridCol w:w="2775"/>
      </w:tblGrid>
      <w:tr>
        <w:trPr/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№ </w:t>
            </w:r>
            <w:r>
              <w:rPr>
                <w:b/>
                <w:bCs/>
                <w:sz w:val="18"/>
                <w:szCs w:val="18"/>
              </w:rPr>
              <w:t>п/п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Пункт поставки, количество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Требования к началу срока поставки продукции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Требования к окончанию срока поставки продукции</w:t>
            </w:r>
          </w:p>
        </w:tc>
      </w:tr>
      <w:tr>
        <w:trPr/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keepNext w:val="false"/>
              <w:widowControl w:val="false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28"/>
              <w:keepNext w:val="false"/>
              <w:widowControl w:val="false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</w:tr>
      <w:tr>
        <w:trPr>
          <w:trHeight w:val="677" w:hRule="atLeast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ListParagraph"/>
              <w:widowControl w:val="false"/>
              <w:numPr>
                <w:ilvl w:val="0"/>
                <w:numId w:val="8"/>
              </w:numPr>
              <w:suppressAutoHyphens w:val="true"/>
              <w:jc w:val="center"/>
              <w:rPr/>
            </w:pPr>
            <w:r>
              <w:rPr/>
            </w:r>
          </w:p>
        </w:tc>
        <w:tc>
          <w:tcPr>
            <w:tcW w:w="3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Склад АО «ЮЭСК» в г.Петропавловск-Камчатский 100 тонн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01.08.2026</w:t>
            </w:r>
          </w:p>
        </w:tc>
        <w:tc>
          <w:tcPr>
            <w:tcW w:w="2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30.08.2026</w:t>
            </w:r>
          </w:p>
        </w:tc>
      </w:tr>
    </w:tbl>
    <w:p>
      <w:pPr>
        <w:pStyle w:val="Normal"/>
        <w:rPr>
          <w:sz w:val="24"/>
          <w:szCs w:val="24"/>
          <w:lang w:val="x-none" w:eastAsia="x-none"/>
        </w:rPr>
      </w:pPr>
      <w:r>
        <w:rPr>
          <w:sz w:val="24"/>
          <w:szCs w:val="24"/>
          <w:lang w:val="x-none" w:eastAsia="x-none"/>
        </w:rPr>
      </w:r>
      <w:bookmarkStart w:id="26" w:name="_Toc46743510"/>
      <w:bookmarkStart w:id="27" w:name="_Toc46743510"/>
      <w:bookmarkEnd w:id="27"/>
    </w:p>
    <w:p>
      <w:pPr>
        <w:pStyle w:val="Normal"/>
        <w:rPr>
          <w:sz w:val="24"/>
          <w:szCs w:val="24"/>
          <w:lang w:val="x-none" w:eastAsia="x-none"/>
        </w:rPr>
      </w:pPr>
      <w:r>
        <w:rPr>
          <w:sz w:val="24"/>
          <w:szCs w:val="24"/>
          <w:lang w:val="x-none" w:eastAsia="x-none"/>
        </w:rPr>
      </w:r>
    </w:p>
    <w:p>
      <w:pPr>
        <w:pStyle w:val="Normal"/>
        <w:rPr>
          <w:sz w:val="24"/>
          <w:szCs w:val="24"/>
          <w:lang w:val="x-none" w:eastAsia="x-none"/>
        </w:rPr>
      </w:pPr>
      <w:r>
        <w:rPr>
          <w:sz w:val="24"/>
          <w:szCs w:val="24"/>
          <w:lang w:val="x-none" w:eastAsia="x-none"/>
        </w:rPr>
      </w:r>
    </w:p>
    <w:p>
      <w:pPr>
        <w:pStyle w:val="Normal"/>
        <w:rPr>
          <w:sz w:val="24"/>
          <w:szCs w:val="24"/>
          <w:lang w:val="x-none" w:eastAsia="x-none"/>
        </w:rPr>
      </w:pPr>
      <w:r>
        <w:rPr>
          <w:sz w:val="24"/>
          <w:szCs w:val="24"/>
          <w:lang w:val="x-none" w:eastAsia="x-none"/>
        </w:rPr>
      </w:r>
    </w:p>
    <w:p>
      <w:pPr>
        <w:pStyle w:val="Normal"/>
        <w:rPr>
          <w:sz w:val="24"/>
          <w:szCs w:val="24"/>
          <w:lang w:val="x-none" w:eastAsia="x-none"/>
        </w:rPr>
      </w:pPr>
      <w:r>
        <w:rPr>
          <w:sz w:val="24"/>
          <w:szCs w:val="24"/>
          <w:lang w:val="x-none" w:eastAsia="x-none"/>
        </w:rPr>
      </w:r>
    </w:p>
    <w:p>
      <w:pPr>
        <w:pStyle w:val="Normal"/>
        <w:rPr>
          <w:sz w:val="24"/>
          <w:szCs w:val="24"/>
          <w:lang w:val="x-none" w:eastAsia="x-none"/>
        </w:rPr>
      </w:pPr>
      <w:r>
        <w:rPr>
          <w:sz w:val="24"/>
          <w:szCs w:val="24"/>
          <w:lang w:val="x-none" w:eastAsia="x-none"/>
        </w:rPr>
      </w:r>
    </w:p>
    <w:p>
      <w:pPr>
        <w:pStyle w:val="Normal"/>
        <w:rPr>
          <w:sz w:val="24"/>
          <w:szCs w:val="24"/>
          <w:lang w:val="x-none" w:eastAsia="x-none"/>
        </w:rPr>
      </w:pPr>
      <w:r>
        <w:rPr>
          <w:sz w:val="24"/>
          <w:szCs w:val="24"/>
          <w:lang w:val="x-none" w:eastAsia="x-none"/>
        </w:rPr>
      </w:r>
    </w:p>
    <w:p>
      <w:pPr>
        <w:pStyle w:val="Normal"/>
        <w:rPr>
          <w:sz w:val="24"/>
          <w:szCs w:val="24"/>
          <w:lang w:val="x-none" w:eastAsia="x-none"/>
        </w:rPr>
      </w:pPr>
      <w:r>
        <w:rPr>
          <w:sz w:val="24"/>
          <w:szCs w:val="24"/>
          <w:lang w:val="x-none" w:eastAsia="x-none"/>
        </w:rPr>
      </w:r>
    </w:p>
    <w:p>
      <w:pPr>
        <w:pStyle w:val="Normal"/>
        <w:rPr>
          <w:sz w:val="24"/>
          <w:szCs w:val="24"/>
          <w:lang w:val="x-none" w:eastAsia="x-none"/>
        </w:rPr>
      </w:pPr>
      <w:r>
        <w:rPr>
          <w:sz w:val="24"/>
          <w:szCs w:val="24"/>
          <w:lang w:val="x-none" w:eastAsia="x-none"/>
        </w:rPr>
      </w:r>
    </w:p>
    <w:p>
      <w:pPr>
        <w:pStyle w:val="Heading4"/>
        <w:numPr>
          <w:ilvl w:val="1"/>
          <w:numId w:val="3"/>
        </w:numPr>
        <w:rPr>
          <w:lang w:val="ru-RU"/>
        </w:rPr>
      </w:pPr>
      <w:bookmarkStart w:id="28" w:name="_Toc51339698"/>
      <w:bookmarkStart w:id="29" w:name="_Toc75446581"/>
      <w:bookmarkStart w:id="30" w:name="_Toc46743511"/>
      <w:r>
        <w:rPr/>
        <w:t xml:space="preserve">Требования к </w:t>
      </w:r>
      <w:bookmarkEnd w:id="30"/>
      <w:r>
        <w:rPr>
          <w:lang w:val="ru-RU"/>
        </w:rPr>
        <w:t>качеству продукции</w:t>
      </w:r>
      <w:bookmarkEnd w:id="29"/>
    </w:p>
    <w:p>
      <w:pPr>
        <w:pStyle w:val="Heading1"/>
        <w:keepLines/>
        <w:numPr>
          <w:ilvl w:val="0"/>
          <w:numId w:val="0"/>
        </w:numPr>
        <w:spacing w:before="240" w:after="60"/>
        <w:ind w:left="0" w:hanging="0"/>
        <w:rPr>
          <w:rStyle w:val="Style8"/>
          <w:b/>
          <w:i w:val="false"/>
          <w:i w:val="false"/>
          <w:sz w:val="24"/>
          <w:szCs w:val="24"/>
          <w:shd w:fill="auto" w:val="clear"/>
        </w:rPr>
      </w:pPr>
      <w:r>
        <w:rPr>
          <w:sz w:val="24"/>
          <w:szCs w:val="24"/>
        </w:rPr>
        <w:t xml:space="preserve"> </w:t>
      </w:r>
      <w:bookmarkStart w:id="31" w:name="_Toc75446582"/>
      <w:r>
        <w:rPr>
          <w:sz w:val="24"/>
          <w:szCs w:val="24"/>
        </w:rPr>
        <w:t>Таблица </w:t>
      </w:r>
      <w:r>
        <w:rPr>
          <w:sz w:val="24"/>
          <w:szCs w:val="24"/>
          <w:lang w:val="ru-RU"/>
        </w:rPr>
        <w:t>3</w:t>
      </w:r>
      <w:r>
        <w:rPr>
          <w:sz w:val="24"/>
          <w:szCs w:val="24"/>
        </w:rPr>
        <w:t xml:space="preserve">. Требования к </w:t>
      </w:r>
      <w:r>
        <w:rPr>
          <w:sz w:val="24"/>
          <w:szCs w:val="24"/>
          <w:lang w:val="ru-RU"/>
        </w:rPr>
        <w:t>продукции</w:t>
      </w:r>
      <w:bookmarkEnd w:id="31"/>
      <w:r>
        <w:rPr>
          <w:sz w:val="24"/>
          <w:szCs w:val="24"/>
        </w:rPr>
        <w:t xml:space="preserve"> </w:t>
      </w:r>
      <w:bookmarkEnd w:id="28"/>
    </w:p>
    <w:tbl>
      <w:tblPr>
        <w:tblStyle w:val="af"/>
        <w:tblW w:w="1037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11"/>
        <w:gridCol w:w="2123"/>
        <w:gridCol w:w="2704"/>
        <w:gridCol w:w="1692"/>
        <w:gridCol w:w="1991"/>
        <w:gridCol w:w="29"/>
        <w:gridCol w:w="1109"/>
        <w:gridCol w:w="12"/>
      </w:tblGrid>
      <w:tr>
        <w:trPr>
          <w:trHeight w:val="455" w:hRule="atLeast"/>
        </w:trPr>
        <w:tc>
          <w:tcPr>
            <w:tcW w:w="711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Cs/>
                <w:sz w:val="18"/>
                <w:szCs w:val="18"/>
              </w:rPr>
            </w:pPr>
            <w:r>
              <w:rPr>
                <w:rFonts w:eastAsia="Times New Roman" w:cs="Times New Roman"/>
                <w:bCs/>
                <w:kern w:val="0"/>
                <w:sz w:val="18"/>
                <w:szCs w:val="18"/>
                <w:lang w:val="ru-RU" w:eastAsia="ru-RU" w:bidi="ar-SA"/>
              </w:rPr>
              <w:t xml:space="preserve">№ </w:t>
            </w:r>
            <w:r>
              <w:rPr>
                <w:rFonts w:eastAsia="Times New Roman" w:cs="Times New Roman"/>
                <w:bCs/>
                <w:kern w:val="0"/>
                <w:sz w:val="18"/>
                <w:szCs w:val="18"/>
                <w:lang w:val="ru-RU" w:eastAsia="ru-RU" w:bidi="ar-SA"/>
              </w:rPr>
              <w:t>п/п</w:t>
            </w:r>
          </w:p>
        </w:tc>
        <w:tc>
          <w:tcPr>
            <w:tcW w:w="2123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Cs/>
                <w:sz w:val="18"/>
                <w:szCs w:val="18"/>
              </w:rPr>
            </w:pPr>
            <w:r>
              <w:rPr>
                <w:rFonts w:eastAsia="Times New Roman" w:cs="Times New Roman"/>
                <w:bCs/>
                <w:kern w:val="0"/>
                <w:sz w:val="18"/>
                <w:szCs w:val="18"/>
                <w:lang w:val="ru-RU" w:eastAsia="ru-RU" w:bidi="ar-SA"/>
              </w:rPr>
              <w:t>Наименование параметра</w:t>
            </w:r>
          </w:p>
        </w:tc>
        <w:tc>
          <w:tcPr>
            <w:tcW w:w="2704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Cs/>
                <w:sz w:val="18"/>
                <w:szCs w:val="18"/>
              </w:rPr>
            </w:pPr>
            <w:r>
              <w:rPr>
                <w:rFonts w:eastAsia="Times New Roman" w:cs="Times New Roman"/>
                <w:bCs/>
                <w:kern w:val="0"/>
                <w:sz w:val="18"/>
                <w:szCs w:val="18"/>
                <w:lang w:val="ru-RU" w:eastAsia="ru-RU" w:bidi="ar-SA"/>
              </w:rPr>
              <w:t>Требование заказчика</w:t>
            </w:r>
          </w:p>
        </w:tc>
        <w:tc>
          <w:tcPr>
            <w:tcW w:w="3712" w:type="dxa"/>
            <w:gridSpan w:val="3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Cs/>
                <w:sz w:val="18"/>
                <w:szCs w:val="18"/>
              </w:rPr>
            </w:pPr>
            <w:r>
              <w:rPr>
                <w:rFonts w:eastAsia="Times New Roman" w:cs="Times New Roman"/>
                <w:bCs/>
                <w:kern w:val="0"/>
                <w:sz w:val="18"/>
                <w:szCs w:val="18"/>
                <w:lang w:val="ru-RU" w:eastAsia="ru-RU" w:bidi="ar-SA"/>
              </w:rPr>
              <w:t>Способ подтверждения участником соответствия требованиям</w:t>
            </w:r>
          </w:p>
        </w:tc>
        <w:tc>
          <w:tcPr>
            <w:tcW w:w="1121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Cs/>
                <w:sz w:val="18"/>
                <w:szCs w:val="18"/>
              </w:rPr>
            </w:pPr>
            <w:r>
              <w:rPr>
                <w:rFonts w:eastAsia="Times New Roman" w:cs="Times New Roman"/>
                <w:bCs/>
                <w:kern w:val="0"/>
                <w:sz w:val="18"/>
                <w:szCs w:val="18"/>
                <w:lang w:val="ru-RU" w:eastAsia="ru-RU" w:bidi="ar-SA"/>
              </w:rPr>
              <w:t>Предложение участника по характеристикам и параметрам</w:t>
            </w:r>
          </w:p>
        </w:tc>
      </w:tr>
      <w:tr>
        <w:trPr>
          <w:trHeight w:val="949" w:hRule="atLeast"/>
        </w:trPr>
        <w:tc>
          <w:tcPr>
            <w:tcW w:w="711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18"/>
                <w:szCs w:val="18"/>
              </w:rPr>
            </w:pPr>
            <w:r>
              <w:rPr>
                <w:rFonts w:eastAsia="Times New Roman" w:cs="Times New Roman"/>
                <w:bCs/>
                <w:kern w:val="0"/>
                <w:sz w:val="18"/>
                <w:szCs w:val="18"/>
                <w:lang w:val="ru-RU" w:eastAsia="ru-RU" w:bidi="ar-SA"/>
              </w:rPr>
            </w:r>
          </w:p>
        </w:tc>
        <w:tc>
          <w:tcPr>
            <w:tcW w:w="2123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18"/>
                <w:szCs w:val="18"/>
              </w:rPr>
            </w:pPr>
            <w:r>
              <w:rPr>
                <w:rFonts w:eastAsia="Times New Roman" w:cs="Times New Roman"/>
                <w:bCs/>
                <w:kern w:val="0"/>
                <w:sz w:val="18"/>
                <w:szCs w:val="18"/>
                <w:lang w:val="ru-RU" w:eastAsia="ru-RU" w:bidi="ar-SA"/>
              </w:rPr>
            </w:r>
          </w:p>
        </w:tc>
        <w:tc>
          <w:tcPr>
            <w:tcW w:w="2704" w:type="dxa"/>
            <w:vMerge w:val="continue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18"/>
                <w:szCs w:val="18"/>
              </w:rPr>
            </w:pPr>
            <w:r>
              <w:rPr>
                <w:rFonts w:eastAsia="Times New Roman" w:cs="Times New Roman"/>
                <w:bCs/>
                <w:kern w:val="0"/>
                <w:sz w:val="18"/>
                <w:szCs w:val="18"/>
                <w:lang w:val="ru-RU" w:eastAsia="ru-RU" w:bidi="ar-SA"/>
              </w:rPr>
            </w:r>
          </w:p>
        </w:tc>
        <w:tc>
          <w:tcPr>
            <w:tcW w:w="169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Cs/>
                <w:sz w:val="18"/>
                <w:szCs w:val="18"/>
              </w:rPr>
            </w:pPr>
            <w:r>
              <w:rPr>
                <w:rFonts w:eastAsia="Times New Roman" w:cs="Times New Roman"/>
                <w:bCs/>
                <w:kern w:val="0"/>
                <w:sz w:val="18"/>
                <w:szCs w:val="18"/>
                <w:lang w:val="ru-RU" w:eastAsia="ru-RU" w:bidi="ar-SA"/>
              </w:rPr>
              <w:t>Согласие с требованием/указание характеристик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Cs/>
                <w:sz w:val="18"/>
                <w:szCs w:val="18"/>
              </w:rPr>
            </w:pPr>
            <w:r>
              <w:rPr>
                <w:rFonts w:eastAsia="Times New Roman" w:cs="Times New Roman"/>
                <w:bCs/>
                <w:kern w:val="0"/>
                <w:sz w:val="18"/>
                <w:szCs w:val="18"/>
                <w:lang w:val="ru-RU" w:eastAsia="ru-RU" w:bidi="ar-SA"/>
              </w:rPr>
              <w:t>Предоставление подтверждающего документа или иной способ подтверждения</w:t>
            </w:r>
          </w:p>
        </w:tc>
        <w:tc>
          <w:tcPr>
            <w:tcW w:w="1138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Cs/>
                <w:sz w:val="18"/>
                <w:szCs w:val="18"/>
              </w:rPr>
            </w:pPr>
            <w:r>
              <w:rPr>
                <w:rFonts w:eastAsia="Times New Roman" w:cs="Times New Roman"/>
                <w:bCs/>
                <w:kern w:val="0"/>
                <w:sz w:val="18"/>
                <w:szCs w:val="18"/>
                <w:lang w:val="ru-RU" w:eastAsia="ru-RU" w:bidi="ar-SA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</w:tr>
      <w:tr>
        <w:trPr>
          <w:trHeight w:val="328" w:hRule="atLeast"/>
        </w:trPr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ru-RU" w:eastAsia="ru-RU" w:bidi="ar-SA"/>
              </w:rPr>
              <w:t>1</w:t>
            </w:r>
          </w:p>
        </w:tc>
        <w:tc>
          <w:tcPr>
            <w:tcW w:w="21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ru-RU" w:eastAsia="ru-RU" w:bidi="ar-SA"/>
              </w:rPr>
              <w:t>2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ru-RU" w:eastAsia="ru-RU" w:bidi="ar-SA"/>
              </w:rPr>
              <w:t>3</w:t>
            </w:r>
          </w:p>
        </w:tc>
        <w:tc>
          <w:tcPr>
            <w:tcW w:w="1692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ru-RU" w:eastAsia="ru-RU" w:bidi="ar-SA"/>
              </w:rPr>
              <w:t>4</w:t>
            </w:r>
          </w:p>
        </w:tc>
        <w:tc>
          <w:tcPr>
            <w:tcW w:w="1991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ru-RU" w:eastAsia="ru-RU" w:bidi="ar-SA"/>
              </w:rPr>
              <w:t>5</w:t>
            </w:r>
          </w:p>
        </w:tc>
        <w:tc>
          <w:tcPr>
            <w:tcW w:w="1138" w:type="dxa"/>
            <w:gridSpan w:val="2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18"/>
                <w:szCs w:val="18"/>
              </w:rPr>
            </w:pPr>
            <w:r>
              <w:rPr>
                <w:rFonts w:eastAsia="Times New Roman" w:cs="Times New Roman"/>
                <w:b/>
                <w:kern w:val="0"/>
                <w:sz w:val="18"/>
                <w:szCs w:val="18"/>
                <w:lang w:val="ru-RU" w:eastAsia="ru-RU" w:bidi="ar-SA"/>
              </w:rPr>
              <w:t>6</w:t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</w:tr>
      <w:tr>
        <w:trPr>
          <w:trHeight w:val="455" w:hRule="atLeast"/>
        </w:trPr>
        <w:tc>
          <w:tcPr>
            <w:tcW w:w="711" w:type="dxa"/>
            <w:tcBorders/>
            <w:vAlign w:val="center"/>
          </w:tcPr>
          <w:p>
            <w:pPr>
              <w:pStyle w:val="ListParagraph"/>
              <w:widowControl/>
              <w:numPr>
                <w:ilvl w:val="0"/>
                <w:numId w:val="6"/>
              </w:numPr>
              <w:spacing w:before="60" w:after="60"/>
              <w:contextualSpacing/>
              <w:jc w:val="center"/>
              <w:rPr>
                <w:rFonts w:ascii="Times New Roman" w:hAnsi="Times New Roman" w:cs="Times New Roman"/>
                <w:kern w:val="0"/>
                <w:lang w:val="ru-RU" w:eastAsia="ru-RU" w:bidi="ar-SA"/>
              </w:rPr>
            </w:pPr>
            <w:r>
              <w:rPr>
                <w:rFonts w:cs="Times New Roman"/>
                <w:kern w:val="0"/>
                <w:lang w:val="ru-RU" w:eastAsia="ru-RU" w:bidi="ar-SA"/>
              </w:rPr>
            </w:r>
          </w:p>
        </w:tc>
        <w:tc>
          <w:tcPr>
            <w:tcW w:w="9648" w:type="dxa"/>
            <w:gridSpan w:val="6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4"/>
                <w:szCs w:val="24"/>
              </w:rPr>
            </w:pPr>
            <w:bookmarkStart w:id="32" w:name="_Hlk126919934"/>
            <w:r>
              <w:rPr>
                <w:rFonts w:eastAsia="Times New Roman" w:cs="Times New Roman"/>
                <w:b/>
                <w:color w:val="000000"/>
                <w:kern w:val="0"/>
                <w:sz w:val="24"/>
                <w:szCs w:val="24"/>
                <w:lang w:val="ru-RU" w:eastAsia="ru-RU" w:bidi="ar-SA"/>
              </w:rPr>
              <w:t>Требования к техническим и функциональным характеристикам</w:t>
            </w:r>
            <w:bookmarkEnd w:id="32"/>
            <w:r>
              <w:rPr>
                <w:rFonts w:eastAsia="Times New Roman" w:cs="Times New Roman"/>
                <w:b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 масла моторного </w:t>
            </w:r>
            <w:r>
              <w:rPr>
                <w:rFonts w:eastAsia="Times New Roman" w:cs="Times New Roman"/>
                <w:b/>
                <w:color w:val="000000"/>
                <w:kern w:val="0"/>
                <w:sz w:val="24"/>
                <w:szCs w:val="24"/>
                <w:lang w:val="en-US" w:eastAsia="ru-RU" w:bidi="ar-SA"/>
              </w:rPr>
              <w:t>SAE</w:t>
            </w:r>
            <w:r>
              <w:rPr>
                <w:rFonts w:eastAsia="Times New Roman" w:cs="Times New Roman"/>
                <w:b/>
                <w:color w:val="000000"/>
                <w:kern w:val="0"/>
                <w:sz w:val="24"/>
                <w:szCs w:val="24"/>
                <w:lang w:val="ru-RU" w:eastAsia="ru-RU" w:bidi="ar-SA"/>
              </w:rPr>
              <w:t xml:space="preserve"> 15</w:t>
            </w:r>
            <w:r>
              <w:rPr>
                <w:rFonts w:eastAsia="Times New Roman" w:cs="Times New Roman"/>
                <w:b/>
                <w:color w:val="000000"/>
                <w:kern w:val="0"/>
                <w:sz w:val="24"/>
                <w:szCs w:val="24"/>
                <w:lang w:val="en-US" w:eastAsia="ru-RU" w:bidi="ar-SA"/>
              </w:rPr>
              <w:t>W</w:t>
            </w:r>
            <w:r>
              <w:rPr>
                <w:rFonts w:eastAsia="Times New Roman" w:cs="Times New Roman"/>
                <w:b/>
                <w:color w:val="000000"/>
                <w:kern w:val="0"/>
                <w:sz w:val="24"/>
                <w:szCs w:val="24"/>
                <w:lang w:val="ru-RU" w:eastAsia="ru-RU" w:bidi="ar-SA"/>
              </w:rPr>
              <w:t>-40</w:t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</w:tr>
      <w:tr>
        <w:trPr>
          <w:trHeight w:val="455" w:hRule="atLeast"/>
        </w:trPr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1.1.</w:t>
            </w:r>
          </w:p>
        </w:tc>
        <w:tc>
          <w:tcPr>
            <w:tcW w:w="21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i/>
                <w:i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ru-RU" w:eastAsia="ru-RU" w:bidi="ar-SA"/>
              </w:rPr>
              <w:t>Обозначение моторного масла по классу вязкости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b/>
                <w:sz w:val="22"/>
                <w:szCs w:val="22"/>
                <w:lang w:val="en-US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en-US" w:eastAsia="ru-RU" w:bidi="ar-SA"/>
              </w:rPr>
              <w:t>SAE 15W-40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rFonts w:eastAsia="Times New Roman" w:cs="Times New Roman"/>
                <w:bCs/>
                <w:kern w:val="0"/>
                <w:sz w:val="22"/>
                <w:szCs w:val="22"/>
                <w:lang w:val="ru-RU" w:eastAsia="ru-RU" w:bidi="ar-SA"/>
              </w:rPr>
              <w:t>Согласие с требованием</w:t>
            </w:r>
          </w:p>
        </w:tc>
        <w:tc>
          <w:tcPr>
            <w:tcW w:w="1991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rFonts w:eastAsia="Times New Roman" w:cs="Times New Roman"/>
                <w:iCs/>
                <w:kern w:val="0"/>
                <w:sz w:val="22"/>
                <w:szCs w:val="22"/>
                <w:lang w:val="ru-RU" w:eastAsia="ru-RU" w:bidi="ar-SA"/>
              </w:rPr>
              <w:t>Копию действующего паспорта качества или иной другой документ, подтверждающий соответствие характеристикам  на предложенный товар</w:t>
            </w:r>
          </w:p>
        </w:tc>
        <w:tc>
          <w:tcPr>
            <w:tcW w:w="1138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</w:tr>
      <w:tr>
        <w:trPr>
          <w:trHeight w:val="455" w:hRule="atLeast"/>
        </w:trPr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 xml:space="preserve">1.2. </w:t>
            </w:r>
          </w:p>
        </w:tc>
        <w:tc>
          <w:tcPr>
            <w:tcW w:w="21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i/>
                <w:i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ru-RU" w:eastAsia="ru-RU" w:bidi="ar-SA"/>
              </w:rPr>
              <w:t xml:space="preserve">Соответствие  допуска применения 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i/>
                <w:i/>
                <w:sz w:val="22"/>
                <w:szCs w:val="22"/>
                <w:lang w:val="en-US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en-US" w:eastAsia="ru-RU" w:bidi="ar-SA"/>
              </w:rPr>
              <w:t>API CI4/CI4+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rFonts w:eastAsia="Times New Roman" w:cs="Times New Roman"/>
                <w:bCs/>
                <w:kern w:val="0"/>
                <w:sz w:val="22"/>
                <w:szCs w:val="22"/>
                <w:lang w:val="ru-RU" w:eastAsia="ru-RU" w:bidi="ar-SA"/>
              </w:rPr>
              <w:t>Согласие с требованием</w:t>
            </w:r>
          </w:p>
        </w:tc>
        <w:tc>
          <w:tcPr>
            <w:tcW w:w="1991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1138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</w:tr>
      <w:tr>
        <w:trPr>
          <w:trHeight w:val="455" w:hRule="atLeast"/>
        </w:trPr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1.3</w:t>
            </w:r>
          </w:p>
        </w:tc>
        <w:tc>
          <w:tcPr>
            <w:tcW w:w="2123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  <w:t>Дата изготовления моторного масла</w:t>
            </w:r>
          </w:p>
        </w:tc>
        <w:tc>
          <w:tcPr>
            <w:tcW w:w="2704" w:type="dxa"/>
            <w:tcBorders/>
            <w:shd w:color="auto" w:fill="auto" w:val="clear"/>
          </w:tcPr>
          <w:p>
            <w:pPr>
              <w:pStyle w:val="Normal"/>
              <w:widowControl/>
              <w:spacing w:before="0" w:after="0"/>
              <w:jc w:val="left"/>
              <w:rPr>
                <w:color w:val="000000"/>
                <w:sz w:val="22"/>
                <w:szCs w:val="22"/>
              </w:rPr>
            </w:pP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  <w:t>не ранее 2025 года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Cs/>
                <w:sz w:val="22"/>
                <w:szCs w:val="22"/>
              </w:rPr>
            </w:pPr>
            <w:r>
              <w:rPr>
                <w:rFonts w:eastAsia="Times New Roman" w:cs="Times New Roman"/>
                <w:bCs/>
                <w:kern w:val="0"/>
                <w:sz w:val="22"/>
                <w:szCs w:val="22"/>
                <w:lang w:val="ru-RU" w:eastAsia="ru-RU" w:bidi="ar-SA"/>
              </w:rPr>
              <w:t>Указание даты изготовления</w:t>
            </w:r>
          </w:p>
        </w:tc>
        <w:tc>
          <w:tcPr>
            <w:tcW w:w="1991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1138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</w:tr>
      <w:tr>
        <w:trPr>
          <w:trHeight w:val="2176" w:hRule="atLeast"/>
        </w:trPr>
        <w:tc>
          <w:tcPr>
            <w:tcW w:w="711" w:type="dxa"/>
            <w:tcBorders/>
            <w:vAlign w:val="center"/>
          </w:tcPr>
          <w:p>
            <w:pPr>
              <w:pStyle w:val="Normal"/>
              <w:widowControl/>
              <w:spacing w:before="60" w:after="60"/>
              <w:jc w:val="center"/>
              <w:rPr>
                <w:sz w:val="24"/>
                <w:szCs w:val="24"/>
              </w:rPr>
            </w:pPr>
            <w:r>
              <w:rPr>
                <w:rFonts w:eastAsia="Times New Roman" w:cs="Times New Roman"/>
                <w:kern w:val="0"/>
                <w:sz w:val="24"/>
                <w:szCs w:val="24"/>
                <w:lang w:val="ru-RU" w:eastAsia="ru-RU" w:bidi="ar-SA"/>
              </w:rPr>
              <w:t>1.4.</w:t>
            </w:r>
          </w:p>
        </w:tc>
        <w:tc>
          <w:tcPr>
            <w:tcW w:w="2123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i/>
                <w:i/>
                <w:sz w:val="22"/>
                <w:szCs w:val="22"/>
              </w:rPr>
            </w:pPr>
            <w:r>
              <w:rPr>
                <w:rFonts w:eastAsia="Times New Roman" w:cs="Times New Roman"/>
                <w:bCs/>
                <w:color w:val="000000"/>
                <w:kern w:val="0"/>
                <w:sz w:val="22"/>
                <w:szCs w:val="22"/>
                <w:lang w:val="ru-RU" w:eastAsia="ru-RU" w:bidi="ar-SA"/>
              </w:rPr>
              <w:t>Требования</w:t>
            </w:r>
            <w:r>
              <w:rPr>
                <w:rFonts w:eastAsia="Times New Roman" w:cs="Times New Roman"/>
                <w:bCs/>
                <w:color w:val="000000"/>
                <w:kern w:val="0"/>
                <w:sz w:val="22"/>
                <w:szCs w:val="22"/>
                <w:lang w:val="x-none" w:eastAsia="ru-RU" w:bidi="ar-SA"/>
              </w:rPr>
              <w:t xml:space="preserve"> к безопасности</w:t>
            </w:r>
          </w:p>
        </w:tc>
        <w:tc>
          <w:tcPr>
            <w:tcW w:w="2704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i/>
                <w:i/>
                <w:sz w:val="22"/>
                <w:szCs w:val="22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val="ru-RU" w:eastAsia="ru-RU" w:bidi="ar-SA"/>
              </w:rPr>
              <w:t>Соответствие: Техническому регламенту Таможенного союза 030/2012</w:t>
            </w:r>
            <w:r>
              <w:rPr>
                <w:rFonts w:eastAsia="Times New Roman" w:cs="Times New Roman"/>
                <w:kern w:val="0"/>
                <w:sz w:val="22"/>
                <w:szCs w:val="22"/>
                <w:lang w:val="ru-RU" w:eastAsia="ru-RU" w:bidi="ar-SA"/>
              </w:rPr>
              <w:t xml:space="preserve"> </w:t>
            </w:r>
            <w:r>
              <w:rPr>
                <w:rFonts w:eastAsia="Times New Roman" w:cs="Times New Roman"/>
                <w:i/>
                <w:kern w:val="0"/>
                <w:sz w:val="22"/>
                <w:szCs w:val="22"/>
                <w:lang w:val="ru-RU" w:eastAsia="ru-RU" w:bidi="ar-SA"/>
              </w:rPr>
              <w:t>«</w:t>
            </w:r>
            <w:r>
              <w:rPr>
                <w:rFonts w:eastAsia="Times New Roman" w:cs="Times New Roman"/>
                <w:iCs/>
                <w:kern w:val="0"/>
                <w:sz w:val="22"/>
                <w:szCs w:val="22"/>
                <w:lang w:val="ru-RU" w:eastAsia="ru-RU" w:bidi="ar-SA"/>
              </w:rPr>
              <w:t>О  требованиях к смазочным материалам, маслам и специальным жидкостям».</w:t>
            </w:r>
          </w:p>
        </w:tc>
        <w:tc>
          <w:tcPr>
            <w:tcW w:w="169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2"/>
                <w:szCs w:val="22"/>
              </w:rPr>
            </w:pPr>
            <w:r>
              <w:rPr>
                <w:rFonts w:eastAsia="Times New Roman" w:cs="Times New Roman"/>
                <w:bCs/>
                <w:kern w:val="0"/>
                <w:sz w:val="22"/>
                <w:szCs w:val="22"/>
                <w:lang w:val="ru-RU" w:eastAsia="ru-RU" w:bidi="ar-SA"/>
              </w:rPr>
              <w:t>Согласие с требованием (с указанием реквизитов декларации соответствия)</w:t>
            </w:r>
          </w:p>
        </w:tc>
        <w:tc>
          <w:tcPr>
            <w:tcW w:w="1991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1138" w:type="dxa"/>
            <w:gridSpan w:val="2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4"/>
                <w:lang w:val="ru-RU" w:eastAsia="ru-RU" w:bidi="ar-SA"/>
              </w:rPr>
            </w:r>
          </w:p>
        </w:tc>
        <w:tc>
          <w:tcPr>
            <w:tcW w:w="1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eastAsia="Times New Roman" w:cs="Times New Roman"/>
                <w:kern w:val="0"/>
                <w:lang w:val="ru-RU" w:eastAsia="ru-RU" w:bidi="ar-SA"/>
              </w:rPr>
            </w:pPr>
            <w:r>
              <w:rPr>
                <w:rFonts w:eastAsia="Times New Roman" w:cs="Times New Roman"/>
                <w:kern w:val="0"/>
                <w:lang w:val="ru-RU" w:eastAsia="ru-RU" w:bidi="ar-SA"/>
              </w:rPr>
            </w:r>
          </w:p>
        </w:tc>
      </w:tr>
    </w:tbl>
    <w:tbl>
      <w:tblPr>
        <w:tblW w:w="10397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682"/>
        <w:gridCol w:w="1868"/>
        <w:gridCol w:w="6165"/>
        <w:gridCol w:w="1681"/>
      </w:tblGrid>
      <w:tr>
        <w:trPr>
          <w:trHeight w:val="284" w:hRule="atLeast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2.</w:t>
            </w:r>
          </w:p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</w:r>
          </w:p>
        </w:tc>
        <w:tc>
          <w:tcPr>
            <w:tcW w:w="9714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  <w:bookmarkStart w:id="33" w:name="_Hlk126919957"/>
            <w:bookmarkStart w:id="34" w:name="_Hlk126919957"/>
          </w:p>
          <w:p>
            <w:pPr>
              <w:pStyle w:val="Normal"/>
              <w:widowControl w:val="false"/>
              <w:rPr>
                <w:b/>
                <w:bCs/>
                <w:sz w:val="24"/>
                <w:szCs w:val="24"/>
              </w:rPr>
            </w:pPr>
            <w:bookmarkStart w:id="35" w:name="_Hlk126919957"/>
            <w:r>
              <w:rPr>
                <w:b/>
                <w:bCs/>
                <w:sz w:val="24"/>
                <w:szCs w:val="24"/>
              </w:rPr>
              <w:t>Требования к доставке, маркировке, упаковке, транспортировке, перемещению, условиям хранения, приемке и испытаниям</w:t>
            </w:r>
            <w:bookmarkEnd w:id="35"/>
          </w:p>
          <w:p>
            <w:pPr>
              <w:pStyle w:val="Normal"/>
              <w:widowControl w:val="false"/>
              <w:rPr>
                <w:rFonts w:eastAsia="Calibri"/>
                <w:bCs/>
                <w:sz w:val="24"/>
                <w:szCs w:val="24"/>
                <w:lang w:eastAsia="x-none"/>
              </w:rPr>
            </w:pPr>
            <w:r>
              <w:rPr>
                <w:rFonts w:eastAsia="Calibri"/>
                <w:bCs/>
                <w:sz w:val="24"/>
                <w:szCs w:val="24"/>
                <w:lang w:eastAsia="x-none"/>
              </w:rPr>
            </w:r>
          </w:p>
        </w:tc>
      </w:tr>
      <w:tr>
        <w:trPr>
          <w:trHeight w:val="854" w:hRule="atLeast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2.1.</w:t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2"/>
                <w:szCs w:val="22"/>
                <w:lang w:val="en-US"/>
              </w:rPr>
            </w:pPr>
            <w:r>
              <w:rPr>
                <w:color w:val="000000"/>
                <w:sz w:val="22"/>
                <w:szCs w:val="22"/>
              </w:rPr>
              <w:t>Базис поставки</w:t>
            </w:r>
            <w:r>
              <w:rPr>
                <w:color w:val="000000"/>
                <w:sz w:val="22"/>
                <w:szCs w:val="22"/>
                <w:lang w:val="en-US"/>
              </w:rPr>
              <w:t>:</w:t>
            </w:r>
          </w:p>
        </w:tc>
        <w:tc>
          <w:tcPr>
            <w:tcW w:w="6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both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Поставщик должен обеспечить передачу товара Покупателю с выгрузкой бочек из контейнеров на складе Покупателя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>Согласие с требованием</w:t>
            </w:r>
          </w:p>
        </w:tc>
      </w:tr>
      <w:tr>
        <w:trPr>
          <w:trHeight w:val="854" w:hRule="atLeast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2.2</w:t>
            </w:r>
            <w:r>
              <w:rPr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Пункт поставки</w:t>
            </w:r>
          </w:p>
        </w:tc>
        <w:tc>
          <w:tcPr>
            <w:tcW w:w="6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  <w:lang w:eastAsia="en-US"/>
              </w:rPr>
              <w:t>Склад хранения  АО «ЮЭСК» в черте города Петропавловск-Камчатский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Согласие с требованием</w:t>
            </w:r>
          </w:p>
        </w:tc>
      </w:tr>
      <w:tr>
        <w:trPr>
          <w:trHeight w:val="854" w:hRule="atLeast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2.3</w:t>
            </w:r>
            <w:r>
              <w:rPr>
                <w:color w:val="000000"/>
                <w:sz w:val="24"/>
                <w:szCs w:val="24"/>
                <w:lang w:val="en-US"/>
              </w:rPr>
              <w:t>.</w:t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Вид упаковки</w:t>
            </w:r>
          </w:p>
        </w:tc>
        <w:tc>
          <w:tcPr>
            <w:tcW w:w="6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  <w:lang w:eastAsia="x-none"/>
              </w:rPr>
              <w:t>В металлических пломбированных бочках, объемом 200-220 литров, заполненных на НПЗ (нефтеперерабатывающий завод). Бочки должны размещаться на деревянных поддонах (полетах), под  погрузку/разгрузку автокарами.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Согласие с требованием</w:t>
            </w:r>
          </w:p>
        </w:tc>
      </w:tr>
      <w:tr>
        <w:trPr>
          <w:trHeight w:val="854" w:hRule="atLeast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2.4</w:t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Условия доставки</w:t>
            </w:r>
          </w:p>
        </w:tc>
        <w:tc>
          <w:tcPr>
            <w:tcW w:w="6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Все услуги связанные с доставкой товара его погрузкой, разгрузкой  и прочие услуги на всех этапах поставки поставщик организовывает самостоятельно и закладывает их в конечную стоимость поставки.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Согласие с требованием</w:t>
            </w:r>
          </w:p>
        </w:tc>
      </w:tr>
      <w:tr>
        <w:trPr>
          <w:trHeight w:val="854" w:hRule="atLeast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2.5.</w:t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Определение количества поставленного товара </w:t>
            </w:r>
          </w:p>
        </w:tc>
        <w:tc>
          <w:tcPr>
            <w:tcW w:w="6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Контрольное взвешивание заполненных бочек с маслом за вычетом порожней бочкотары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Согласие с требованием</w:t>
            </w:r>
          </w:p>
        </w:tc>
      </w:tr>
      <w:tr>
        <w:trPr>
          <w:trHeight w:val="854" w:hRule="atLeast"/>
        </w:trPr>
        <w:tc>
          <w:tcPr>
            <w:tcW w:w="6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2.6</w:t>
            </w:r>
          </w:p>
        </w:tc>
        <w:tc>
          <w:tcPr>
            <w:tcW w:w="18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Требования к условиям сдачи и приемки</w:t>
            </w:r>
          </w:p>
        </w:tc>
        <w:tc>
          <w:tcPr>
            <w:tcW w:w="6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Согласно проекту договора.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bCs/>
                <w:color w:val="000000"/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>Согласие с требованием</w:t>
            </w:r>
          </w:p>
        </w:tc>
      </w:tr>
    </w:tbl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rFonts w:eastAsia="Calibri"/>
          <w:b/>
          <w:sz w:val="24"/>
          <w:szCs w:val="24"/>
        </w:rPr>
      </w:pPr>
      <w:r>
        <w:rPr>
          <w:b/>
          <w:sz w:val="24"/>
          <w:szCs w:val="24"/>
        </w:rPr>
        <w:t>3. Т</w:t>
      </w:r>
      <w:r>
        <w:rPr>
          <w:rFonts w:eastAsia="Calibri"/>
          <w:b/>
          <w:sz w:val="24"/>
          <w:szCs w:val="24"/>
        </w:rPr>
        <w:t xml:space="preserve">ребования к </w:t>
      </w:r>
      <w:r>
        <w:rPr>
          <w:b/>
          <w:iCs/>
          <w:sz w:val="24"/>
          <w:szCs w:val="24"/>
        </w:rPr>
        <w:t xml:space="preserve">документам и формам, которые необходимо заполнить участникам закупки </w:t>
      </w:r>
    </w:p>
    <w:p>
      <w:pPr>
        <w:pStyle w:val="Normal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</w:r>
    </w:p>
    <w:p>
      <w:pPr>
        <w:pStyle w:val="Normal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Таблица 4</w:t>
      </w:r>
    </w:p>
    <w:tbl>
      <w:tblPr>
        <w:tblW w:w="10209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08"/>
        <w:gridCol w:w="3120"/>
        <w:gridCol w:w="6381"/>
      </w:tblGrid>
      <w:tr>
        <w:trPr/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№ </w:t>
            </w:r>
            <w:r>
              <w:rPr>
                <w:b/>
                <w:color w:val="000000"/>
                <w:sz w:val="18"/>
                <w:szCs w:val="18"/>
              </w:rPr>
              <w:t>п/п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>Наименование требования</w:t>
            </w:r>
          </w:p>
        </w:tc>
        <w:tc>
          <w:tcPr>
            <w:tcW w:w="6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jc w:val="center"/>
              <w:rPr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Требования к документам </w:t>
            </w:r>
            <w:r>
              <w:rPr>
                <w:b/>
                <w:iCs/>
                <w:color w:val="000000"/>
                <w:sz w:val="18"/>
                <w:szCs w:val="18"/>
              </w:rPr>
              <w:t>и формам, которые необходимо заполнить участникам закупки</w:t>
            </w:r>
            <w:r>
              <w:rPr>
                <w:b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/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spacing w:before="60" w:after="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Требование к документам подтверждающим качество продукции</w:t>
            </w:r>
          </w:p>
        </w:tc>
        <w:tc>
          <w:tcPr>
            <w:tcW w:w="6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Участник закупочной процедуры в составе </w:t>
            </w:r>
            <w:r>
              <w:rPr>
                <w:b/>
                <w:color w:val="000000"/>
                <w:sz w:val="24"/>
                <w:szCs w:val="24"/>
              </w:rPr>
              <w:t>ПЕРВОЙ ЧАСТИ заявки</w:t>
            </w:r>
            <w:r>
              <w:rPr>
                <w:color w:val="000000"/>
                <w:sz w:val="24"/>
                <w:szCs w:val="24"/>
              </w:rPr>
              <w:t xml:space="preserve"> должен предоставить копию паспорта качества или иной другой документ, подтверждающий соответствие предлагаемой им продукции требованиям, установленным в разделе 1 Таблицы № 3 Технических требований.       </w:t>
            </w:r>
          </w:p>
        </w:tc>
      </w:tr>
    </w:tbl>
    <w:p>
      <w:pPr>
        <w:pStyle w:val="Normal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b/>
          <w:sz w:val="24"/>
          <w:szCs w:val="24"/>
        </w:rPr>
        <w:t>4. Требование к победителю Закупочной процедуры</w:t>
      </w:r>
      <w:r>
        <w:rPr>
          <w:sz w:val="24"/>
          <w:szCs w:val="24"/>
        </w:rPr>
        <w:t>.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Признанный победитель Закупки, в срок не позднее 15 календарных дней с даты опубликования итогового протокола настоящей закупочной процедуры должен предоставить на электронный адрес </w:t>
      </w:r>
      <w:r>
        <w:rPr>
          <w:color w:val="4472C4" w:themeColor="accent1"/>
          <w:sz w:val="24"/>
          <w:szCs w:val="24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Piskunov</w:t>
      </w:r>
      <w:hyperlink r:id="rId2">
        <w:r>
          <w:rPr>
            <w:rStyle w:val="Hyperlink"/>
            <w:sz w:val="24"/>
            <w:szCs w:val="24"/>
            <w:lang w:val="en-US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AP</w:t>
        </w:r>
        <w:r>
          <w:rPr>
            <w:rStyle w:val="Hyperlink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@</w:t>
        </w:r>
        <w:r>
          <w:rPr>
            <w:rStyle w:val="Hyperlink"/>
            <w:sz w:val="24"/>
            <w:szCs w:val="24"/>
            <w:lang w:val="en-US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rushydro</w:t>
        </w:r>
        <w:r>
          <w:rPr>
            <w:rStyle w:val="Hyperlink"/>
            <w:sz w:val="24"/>
            <w:szCs w:val="24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.</w:t>
        </w:r>
        <w:r>
          <w:rPr>
            <w:rStyle w:val="Hyperlink"/>
            <w:sz w:val="24"/>
            <w:szCs w:val="24"/>
            <w:lang w:val="en-US"/>
            <w14:shadow w14:blurRad="38100" w14:dist="25400" w14:dir="5400000" w14:sx="100000" w14:sy="100000" w14:kx="0" w14:ky="0" w14:algn="ctr">
              <w14:srgbClr w14:val="6E747A">
                <w14:alpha w14:val="57000"/>
              </w14:srgb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ru</w:t>
        </w:r>
      </w:hyperlink>
      <w:r>
        <w:rPr>
          <w:sz w:val="24"/>
          <w:szCs w:val="24"/>
        </w:rPr>
        <w:t xml:space="preserve"> следующие документы: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spacing w:before="57" w:after="57"/>
        <w:jc w:val="both"/>
        <w:rPr/>
      </w:pPr>
      <w:r>
        <w:rPr>
          <w:sz w:val="24"/>
          <w:szCs w:val="24"/>
        </w:rPr>
        <w:t xml:space="preserve">1. Паспорта качества или иной другой документ на предполагаемый к поставке Товар и Протоколы испытаний от независимой аккредитованной лаборатории на каждую партию предполагаемого к поставке Товара. В каждом Протоколе испытаний должна быть указана информация о Паспорте качества испытываемой пробы моторного масла и вывод о соответствии по итогам испытаний данной пробы указанному паспорту качества. </w:t>
      </w:r>
    </w:p>
    <w:p>
      <w:pPr>
        <w:pStyle w:val="Normal"/>
        <w:spacing w:before="57" w:after="57"/>
        <w:jc w:val="both"/>
        <w:rPr/>
      </w:pPr>
      <w:r>
        <w:rPr>
          <w:sz w:val="24"/>
          <w:szCs w:val="24"/>
        </w:rPr>
        <w:t>2.   Документы подтверждающие действующую Аккредитацию независимой лаборатории, привлеченной для проведения протоколов испытаний предполагаемого к поставке Товара.</w:t>
      </w:r>
    </w:p>
    <w:p>
      <w:pPr>
        <w:pStyle w:val="Normal"/>
        <w:spacing w:before="57" w:after="57"/>
        <w:jc w:val="both"/>
        <w:rPr/>
      </w:pPr>
      <w:r>
        <w:rPr>
          <w:sz w:val="24"/>
          <w:szCs w:val="24"/>
          <w:lang w:eastAsia="x-none"/>
        </w:rPr>
        <w:t xml:space="preserve">3.  </w:t>
      </w:r>
      <w:r>
        <w:rPr>
          <w:color w:val="000000"/>
          <w:sz w:val="24"/>
          <w:szCs w:val="24"/>
        </w:rPr>
        <w:t>Документы на подтверждение наличия товара у Участника в зависимости от условий:</w:t>
      </w:r>
    </w:p>
    <w:p>
      <w:pPr>
        <w:pStyle w:val="Normal"/>
        <w:spacing w:before="57" w:after="57"/>
        <w:jc w:val="both"/>
        <w:rPr/>
      </w:pPr>
      <w:r>
        <w:rPr>
          <w:color w:val="000000"/>
          <w:sz w:val="24"/>
          <w:szCs w:val="24"/>
        </w:rPr>
        <w:t>-</w:t>
      </w:r>
      <w:r>
        <w:rPr>
          <w:sz w:val="24"/>
          <w:szCs w:val="24"/>
          <w:lang w:eastAsia="x-none"/>
        </w:rPr>
        <w:t xml:space="preserve"> Письмо-подтверждение от производителя моторного масла, со ссылкой на настоящую закупку и согласии на его передачу Участнику в период осуществления данной поставки в заявленном Участником объеме (ресурсная справка).</w:t>
      </w:r>
    </w:p>
    <w:p>
      <w:pPr>
        <w:pStyle w:val="Normal"/>
        <w:spacing w:before="57" w:after="57"/>
        <w:jc w:val="both"/>
        <w:rPr/>
      </w:pPr>
      <w:r>
        <w:rPr>
          <w:sz w:val="24"/>
          <w:szCs w:val="24"/>
          <w:lang w:eastAsia="x-none"/>
        </w:rPr>
        <w:t>- Письмо-подтверждение от иного собственника Товара со ссылкой на настоящую закупку, о наличии предлагаемой продукции с указанием места фактического нахождения товара, и согласии на его передачу Участнику в период осуществления данной поставки в заявленном Участником объеме (ресурсная справка).</w:t>
      </w:r>
    </w:p>
    <w:p>
      <w:pPr>
        <w:pStyle w:val="Normal"/>
        <w:spacing w:before="57" w:after="57"/>
        <w:jc w:val="both"/>
        <w:rPr/>
      </w:pPr>
      <w:r>
        <w:rPr>
          <w:sz w:val="24"/>
          <w:szCs w:val="24"/>
          <w:lang w:eastAsia="x-none"/>
        </w:rPr>
        <w:t xml:space="preserve">- Письмо-подтверждение о наличии в собственности Участника товара и месте фактического нахождения. </w:t>
      </w:r>
    </w:p>
    <w:p>
      <w:pPr>
        <w:pStyle w:val="Normal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>
      <w:pPr>
        <w:pStyle w:val="Normal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</w:r>
      <w:bookmarkStart w:id="36" w:name="_GoBack"/>
      <w:bookmarkStart w:id="37" w:name="_GoBack"/>
      <w:bookmarkEnd w:id="37"/>
    </w:p>
    <w:p>
      <w:pPr>
        <w:pStyle w:val="Normal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1"/>
        <w:keepLines/>
        <w:numPr>
          <w:ilvl w:val="0"/>
          <w:numId w:val="0"/>
        </w:numPr>
        <w:spacing w:before="120" w:after="60"/>
        <w:ind w:left="0" w:hanging="0"/>
        <w:rPr>
          <w:lang w:val="ru-RU"/>
        </w:rPr>
      </w:pPr>
      <w:r>
        <w:rPr/>
      </w:r>
      <w:bookmarkStart w:id="38" w:name="_Toc51339699"/>
      <w:bookmarkStart w:id="39" w:name="_Toc51339699"/>
      <w:bookmarkEnd w:id="39"/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134" w:right="851" w:gutter="0" w:header="680" w:top="1134" w:footer="0" w:bottom="992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Arial Unicode MS">
    <w:charset w:val="01"/>
    <w:family w:val="roman"/>
    <w:pitch w:val="variable"/>
  </w:font>
  <w:font w:name="Verdana">
    <w:charset w:val="01"/>
    <w:family w:val="roman"/>
    <w:pitch w:val="variable"/>
  </w:font>
  <w:font w:name="Garamond">
    <w:charset w:val="01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Врез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1649176515"/>
    </w:sdtPr>
    <w:sdtContent>
      <w:p>
        <w:pPr>
          <w:pStyle w:val="Head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357"/>
        </w:tabs>
        <w:ind w:left="0" w:hanging="0"/>
      </w:pPr>
      <w:rPr/>
    </w:lvl>
    <w:lvl w:ilvl="2">
      <w:start w:val="1"/>
      <w:numFmt w:val="decimal"/>
      <w:lvlText w:val="%1.%2.%3."/>
      <w:lvlJc w:val="left"/>
      <w:pPr>
        <w:tabs>
          <w:tab w:val="num" w:pos="357"/>
        </w:tabs>
        <w:ind w:left="0" w:hanging="0"/>
      </w:pPr>
      <w:rPr/>
    </w:lvl>
    <w:lvl w:ilvl="3">
      <w:start w:val="1"/>
      <w:numFmt w:val="decimal"/>
      <w:lvlText w:val="%1.%2.%3.%4."/>
      <w:lvlJc w:val="left"/>
      <w:pPr>
        <w:tabs>
          <w:tab w:val="num" w:pos="357"/>
        </w:tabs>
        <w:ind w:left="0" w:hanging="0"/>
      </w:pPr>
      <w:rPr/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0" w:hanging="0"/>
      </w:pPr>
      <w:rPr/>
    </w:lvl>
    <w:lvl w:ilvl="5">
      <w:start w:val="1"/>
      <w:numFmt w:val="decimal"/>
      <w:lvlText w:val="%1.%2.%3.%4.%5.%6."/>
      <w:lvlJc w:val="left"/>
      <w:pPr>
        <w:tabs>
          <w:tab w:val="num" w:pos="357"/>
        </w:tabs>
        <w:ind w:left="0" w:hanging="0"/>
      </w:pPr>
      <w:rPr/>
    </w:lvl>
    <w:lvl w:ilvl="6">
      <w:start w:val="1"/>
      <w:numFmt w:val="decimal"/>
      <w:lvlText w:val="%1.%2.%3.%4.%5.%6.%7."/>
      <w:lvlJc w:val="left"/>
      <w:pPr>
        <w:tabs>
          <w:tab w:val="num" w:pos="357"/>
        </w:tabs>
        <w:ind w:left="0" w:hanging="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357"/>
        </w:tabs>
        <w:ind w:left="0" w:hanging="0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357"/>
        </w:tabs>
        <w:ind w:left="0" w:hanging="0"/>
      </w:pPr>
      <w:rPr/>
    </w:lvl>
  </w:abstractNum>
  <w:abstractNum w:abstractNumId="2">
    <w:lvl w:ilvl="0">
      <w:start w:val="4"/>
      <w:numFmt w:val="bullet"/>
      <w:lvlText w:val="-"/>
      <w:lvlJc w:val="left"/>
      <w:pPr>
        <w:tabs>
          <w:tab w:val="num" w:pos="0"/>
        </w:tabs>
        <w:ind w:left="-207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513"/>
        </w:tabs>
        <w:ind w:left="51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233"/>
        </w:tabs>
        <w:ind w:left="1233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953"/>
        </w:tabs>
        <w:ind w:left="195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673"/>
        </w:tabs>
        <w:ind w:left="267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393"/>
        </w:tabs>
        <w:ind w:left="339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113"/>
        </w:tabs>
        <w:ind w:left="411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4833"/>
        </w:tabs>
        <w:ind w:left="483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5553"/>
        </w:tabs>
        <w:ind w:left="5553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5038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8"/>
        <w:sz w:val="28"/>
        <w:spacing w:val="0"/>
        <w:i w:val="false"/>
        <w:u w:val="none"/>
        <w:b/>
        <w:kern w:val="0"/>
        <w:effect w:val="none"/>
        <w:szCs w:val="28"/>
        <w:iCs w:val="false"/>
        <w:bCs w:val="false"/>
        <w:em w:val="none"/>
        <w:vanish w:val="false"/>
        <w:rFonts w:ascii="Times New Roman" w:hAnsi="Times New Roman" w:cs="Times New Roman"/>
        <w:color w:val="00000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32" w:hanging="432"/>
      </w:pPr>
      <w:rPr>
        <w:sz w:val="24"/>
        <w:i w:val="false"/>
        <w:b/>
        <w:szCs w:val="24"/>
        <w:iCs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134" w:hanging="1134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1134" w:hanging="1134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134" w:hanging="1134"/>
      </w:pPr>
      <w:rPr/>
    </w:lvl>
    <w:lvl w:ilvl="3">
      <w:start w:val="1"/>
      <w:numFmt w:val="russianLower"/>
      <w:lvlText w:val="(%4)"/>
      <w:lvlJc w:val="left"/>
      <w:pPr>
        <w:tabs>
          <w:tab w:val="num" w:pos="0"/>
        </w:tabs>
        <w:ind w:left="1985" w:hanging="567"/>
      </w:pPr>
      <w:rPr/>
    </w:lvl>
    <w:lvl w:ilvl="4">
      <w:start w:val="1"/>
      <w:numFmt w:val="bullet"/>
      <w:lvlText w:val="–"/>
      <w:lvlJc w:val="left"/>
      <w:pPr>
        <w:tabs>
          <w:tab w:val="num" w:pos="0"/>
        </w:tabs>
        <w:ind w:left="2268" w:hanging="567"/>
      </w:pPr>
      <w:rPr>
        <w:rFonts w:ascii="Times New Roman" w:hAnsi="Times New Roman" w:cs="Times New Roman" w:hint="default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34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701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134" w:hanging="0"/>
      </w:pPr>
      <w:rPr/>
    </w:lvl>
  </w:abstractNum>
  <w:abstractNum w:abstractNumId="5">
    <w:lvl w:ilvl="0">
      <w:start w:val="1"/>
      <w:numFmt w:val="decimal"/>
      <w:lvlText w:val="1.%1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sz w:val="24"/>
        <w:b/>
        <w:szCs w:val="24"/>
        <w:bCs w:val="false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>
        <w:sz w:val="24"/>
        <w:b w:val="false"/>
        <w:szCs w:val="24"/>
        <w:bCs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zh-TW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uiPriority="99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uiPriority="99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2166f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8"/>
      <w:szCs w:val="28"/>
      <w:lang w:val="ru-RU" w:eastAsia="ru-RU" w:bidi="ar-SA"/>
    </w:rPr>
  </w:style>
  <w:style w:type="paragraph" w:styleId="Heading1">
    <w:name w:val="Heading 1"/>
    <w:basedOn w:val="Heading3"/>
    <w:next w:val="Normal"/>
    <w:link w:val="1"/>
    <w:qFormat/>
    <w:rsid w:val="00353a27"/>
    <w:pPr>
      <w:numPr>
        <w:ilvl w:val="0"/>
      </w:numPr>
      <w:outlineLvl w:val="0"/>
    </w:pPr>
    <w:rPr>
      <w:sz w:val="28"/>
      <w:szCs w:val="28"/>
    </w:rPr>
  </w:style>
  <w:style w:type="paragraph" w:styleId="Heading2">
    <w:name w:val="Heading 2"/>
    <w:basedOn w:val="Heading4"/>
    <w:next w:val="Normal"/>
    <w:link w:val="2"/>
    <w:qFormat/>
    <w:rsid w:val="00ea61a8"/>
    <w:pPr>
      <w:outlineLvl w:val="1"/>
    </w:pPr>
    <w:rPr/>
  </w:style>
  <w:style w:type="paragraph" w:styleId="Heading3">
    <w:name w:val="Heading 3"/>
    <w:basedOn w:val="Normal"/>
    <w:next w:val="Normal"/>
    <w:link w:val="3"/>
    <w:autoRedefine/>
    <w:qFormat/>
    <w:rsid w:val="00035e96"/>
    <w:pPr>
      <w:keepNext w:val="true"/>
      <w:numPr>
        <w:ilvl w:val="2"/>
        <w:numId w:val="3"/>
      </w:numPr>
      <w:spacing w:before="120" w:after="60"/>
      <w:outlineLvl w:val="2"/>
    </w:pPr>
    <w:rPr>
      <w:rFonts w:eastAsia="Calibri"/>
      <w:b/>
      <w:sz w:val="24"/>
      <w:szCs w:val="24"/>
      <w:lang w:val="x-none" w:eastAsia="x-none"/>
    </w:rPr>
  </w:style>
  <w:style w:type="paragraph" w:styleId="Heading4">
    <w:name w:val="Heading 4"/>
    <w:basedOn w:val="Heading3"/>
    <w:next w:val="Normal"/>
    <w:link w:val="4"/>
    <w:qFormat/>
    <w:rsid w:val="006629c9"/>
    <w:pPr>
      <w:numPr>
        <w:ilvl w:val="1"/>
      </w:numPr>
      <w:outlineLvl w:val="3"/>
    </w:pPr>
    <w:rPr>
      <w:bCs/>
    </w:rPr>
  </w:style>
  <w:style w:type="paragraph" w:styleId="Heading5">
    <w:name w:val="Heading 5"/>
    <w:basedOn w:val="Normal"/>
    <w:next w:val="Normal"/>
    <w:link w:val="5"/>
    <w:uiPriority w:val="9"/>
    <w:qFormat/>
    <w:rsid w:val="0076353a"/>
    <w:pPr>
      <w:spacing w:before="240" w:after="60"/>
      <w:outlineLvl w:val="4"/>
    </w:pPr>
    <w:rPr>
      <w:b/>
      <w:bCs/>
      <w:i/>
      <w:iCs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6"/>
    <w:uiPriority w:val="9"/>
    <w:qFormat/>
    <w:rsid w:val="00d22f6d"/>
    <w:pPr>
      <w:keepNext w:val="true"/>
      <w:keepLines/>
      <w:spacing w:before="200" w:after="0"/>
      <w:outlineLvl w:val="5"/>
    </w:pPr>
    <w:rPr>
      <w:rFonts w:ascii="Cambria" w:hAnsi="Cambria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7"/>
    <w:uiPriority w:val="9"/>
    <w:qFormat/>
    <w:rsid w:val="00d22f6d"/>
    <w:pPr>
      <w:keepNext w:val="true"/>
      <w:keepLines/>
      <w:spacing w:before="200" w:after="0"/>
      <w:outlineLvl w:val="6"/>
    </w:pPr>
    <w:rPr>
      <w:rFonts w:ascii="Cambria" w:hAnsi="Cambria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8"/>
    <w:uiPriority w:val="9"/>
    <w:qFormat/>
    <w:rsid w:val="00d22f6d"/>
    <w:pPr>
      <w:keepNext w:val="true"/>
      <w:keepLines/>
      <w:spacing w:before="200" w:after="0"/>
      <w:outlineLvl w:val="7"/>
    </w:pPr>
    <w:rPr>
      <w:rFonts w:ascii="Cambria" w:hAnsi="Cambria"/>
      <w:color w:val="4F81BD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9"/>
    <w:uiPriority w:val="9"/>
    <w:qFormat/>
    <w:rsid w:val="0076353a"/>
    <w:pPr>
      <w:spacing w:before="240" w:after="60"/>
      <w:outlineLvl w:val="8"/>
    </w:pPr>
    <w:rPr>
      <w:rFonts w:ascii="Arial" w:hAnsi="Arial"/>
      <w:sz w:val="22"/>
      <w:szCs w:val="22"/>
      <w:lang w:val="x-none" w:eastAsia="x-no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">
    <w:name w:val="Символ сноски"/>
    <w:qFormat/>
    <w:rsid w:val="00d561d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basedOn w:val="DefaultParagraphFont"/>
    <w:qFormat/>
    <w:rsid w:val="006c2f3f"/>
    <w:rPr/>
  </w:style>
  <w:style w:type="character" w:styleId="Hyperlink">
    <w:name w:val="Hyperlink"/>
    <w:uiPriority w:val="99"/>
    <w:rsid w:val="006c2f3f"/>
    <w:rPr>
      <w:color w:val="0000FF"/>
      <w:u w:val="single"/>
    </w:rPr>
  </w:style>
  <w:style w:type="character" w:styleId="Annotationreference">
    <w:name w:val="annotation reference"/>
    <w:uiPriority w:val="99"/>
    <w:semiHidden/>
    <w:qFormat/>
    <w:rsid w:val="00b714b0"/>
    <w:rPr>
      <w:sz w:val="16"/>
      <w:szCs w:val="16"/>
    </w:rPr>
  </w:style>
  <w:style w:type="character" w:styleId="Strong">
    <w:name w:val="Strong"/>
    <w:qFormat/>
    <w:rsid w:val="00165965"/>
    <w:rPr>
      <w:b/>
      <w:bCs/>
    </w:rPr>
  </w:style>
  <w:style w:type="character" w:styleId="6" w:customStyle="1">
    <w:name w:val="Заголовок 6 Знак"/>
    <w:uiPriority w:val="9"/>
    <w:qFormat/>
    <w:rsid w:val="00d22f6d"/>
    <w:rPr>
      <w:rFonts w:ascii="Cambria" w:hAnsi="Cambria"/>
      <w:i/>
      <w:iCs/>
      <w:color w:val="243F60"/>
      <w:lang w:val="x-none" w:eastAsia="x-none"/>
    </w:rPr>
  </w:style>
  <w:style w:type="character" w:styleId="7" w:customStyle="1">
    <w:name w:val="Заголовок 7 Знак"/>
    <w:uiPriority w:val="9"/>
    <w:qFormat/>
    <w:rsid w:val="00d22f6d"/>
    <w:rPr>
      <w:rFonts w:ascii="Cambria" w:hAnsi="Cambria"/>
      <w:i/>
      <w:iCs/>
      <w:color w:val="404040"/>
      <w:lang w:val="x-none" w:eastAsia="x-none"/>
    </w:rPr>
  </w:style>
  <w:style w:type="character" w:styleId="8" w:customStyle="1">
    <w:name w:val="Заголовок 8 Знак"/>
    <w:uiPriority w:val="9"/>
    <w:qFormat/>
    <w:rsid w:val="00d22f6d"/>
    <w:rPr>
      <w:rFonts w:ascii="Cambria" w:hAnsi="Cambria"/>
      <w:color w:val="4F81BD"/>
      <w:lang w:val="x-none" w:eastAsia="x-none"/>
    </w:rPr>
  </w:style>
  <w:style w:type="character" w:styleId="1" w:customStyle="1">
    <w:name w:val="Заголовок 1 Знак"/>
    <w:qFormat/>
    <w:rsid w:val="00353a27"/>
    <w:rPr>
      <w:rFonts w:eastAsia="Calibri"/>
      <w:b/>
      <w:sz w:val="28"/>
      <w:szCs w:val="28"/>
      <w:lang w:val="x-none" w:eastAsia="x-none"/>
    </w:rPr>
  </w:style>
  <w:style w:type="character" w:styleId="2" w:customStyle="1">
    <w:name w:val="Заголовок 2 Знак"/>
    <w:qFormat/>
    <w:rsid w:val="00ea61a8"/>
    <w:rPr>
      <w:rFonts w:eastAsia="Calibri"/>
      <w:b/>
      <w:bCs/>
      <w:sz w:val="24"/>
      <w:szCs w:val="24"/>
      <w:lang w:val="x-none" w:eastAsia="x-none"/>
    </w:rPr>
  </w:style>
  <w:style w:type="character" w:styleId="3" w:customStyle="1">
    <w:name w:val="Заголовок 3 Знак"/>
    <w:qFormat/>
    <w:rsid w:val="00035e96"/>
    <w:rPr>
      <w:rFonts w:eastAsia="Calibri"/>
      <w:b/>
      <w:sz w:val="24"/>
      <w:szCs w:val="24"/>
      <w:lang w:val="x-none" w:eastAsia="x-none"/>
    </w:rPr>
  </w:style>
  <w:style w:type="character" w:styleId="4" w:customStyle="1">
    <w:name w:val="Заголовок 4 Знак"/>
    <w:qFormat/>
    <w:rsid w:val="006629c9"/>
    <w:rPr>
      <w:rFonts w:eastAsia="Calibri"/>
      <w:b/>
      <w:bCs/>
      <w:sz w:val="24"/>
      <w:szCs w:val="24"/>
      <w:lang w:val="x-none" w:eastAsia="x-none"/>
    </w:rPr>
  </w:style>
  <w:style w:type="character" w:styleId="5" w:customStyle="1">
    <w:name w:val="Заголовок 5 Знак"/>
    <w:uiPriority w:val="9"/>
    <w:qFormat/>
    <w:rsid w:val="00d22f6d"/>
    <w:rPr>
      <w:b/>
      <w:bCs/>
      <w:i/>
      <w:iCs/>
      <w:sz w:val="26"/>
      <w:szCs w:val="26"/>
    </w:rPr>
  </w:style>
  <w:style w:type="character" w:styleId="9" w:customStyle="1">
    <w:name w:val="Заголовок 9 Знак"/>
    <w:uiPriority w:val="9"/>
    <w:qFormat/>
    <w:rsid w:val="00d22f6d"/>
    <w:rPr>
      <w:rFonts w:ascii="Arial" w:hAnsi="Arial" w:cs="Arial"/>
      <w:sz w:val="22"/>
      <w:szCs w:val="22"/>
    </w:rPr>
  </w:style>
  <w:style w:type="character" w:styleId="Style1" w:customStyle="1">
    <w:name w:val="Название Знак"/>
    <w:link w:val="15"/>
    <w:uiPriority w:val="10"/>
    <w:qFormat/>
    <w:rsid w:val="00d22f6d"/>
    <w:rPr>
      <w:sz w:val="28"/>
    </w:rPr>
  </w:style>
  <w:style w:type="character" w:styleId="Style2" w:customStyle="1">
    <w:name w:val="Подзаголовок Знак"/>
    <w:uiPriority w:val="11"/>
    <w:qFormat/>
    <w:rsid w:val="00d22f6d"/>
    <w:rPr>
      <w:rFonts w:ascii="Cambria" w:hAnsi="Cambria"/>
      <w:i/>
      <w:iCs/>
      <w:color w:val="4F81BD"/>
      <w:spacing w:val="15"/>
      <w:sz w:val="24"/>
      <w:szCs w:val="24"/>
      <w:lang w:val="x-none" w:eastAsia="x-none"/>
    </w:rPr>
  </w:style>
  <w:style w:type="character" w:styleId="Emphasis">
    <w:name w:val="Emphasis"/>
    <w:uiPriority w:val="20"/>
    <w:qFormat/>
    <w:rsid w:val="00d22f6d"/>
    <w:rPr>
      <w:i/>
      <w:iCs/>
    </w:rPr>
  </w:style>
  <w:style w:type="character" w:styleId="21" w:customStyle="1">
    <w:name w:val="Цитата 2 Знак"/>
    <w:link w:val="Quote"/>
    <w:uiPriority w:val="29"/>
    <w:qFormat/>
    <w:rsid w:val="00d22f6d"/>
    <w:rPr>
      <w:rFonts w:ascii="Calibri" w:hAnsi="Calibri" w:eastAsia="Calibri"/>
      <w:i/>
      <w:iCs/>
      <w:color w:val="000000"/>
      <w:lang w:val="x-none" w:eastAsia="x-none"/>
    </w:rPr>
  </w:style>
  <w:style w:type="character" w:styleId="Style3" w:customStyle="1">
    <w:name w:val="Выделенная цитата Знак"/>
    <w:link w:val="IntenseQuote"/>
    <w:uiPriority w:val="30"/>
    <w:qFormat/>
    <w:rsid w:val="00d22f6d"/>
    <w:rPr>
      <w:rFonts w:ascii="Calibri" w:hAnsi="Calibri" w:eastAsia="Calibri"/>
      <w:b/>
      <w:bCs/>
      <w:i/>
      <w:iCs/>
      <w:color w:val="4F81BD"/>
      <w:lang w:val="x-none" w:eastAsia="x-none"/>
    </w:rPr>
  </w:style>
  <w:style w:type="character" w:styleId="SubtleEmphasis">
    <w:name w:val="Subtle Emphasis"/>
    <w:uiPriority w:val="19"/>
    <w:qFormat/>
    <w:rsid w:val="00d22f6d"/>
    <w:rPr>
      <w:i/>
      <w:iCs/>
      <w:color w:val="808080"/>
    </w:rPr>
  </w:style>
  <w:style w:type="character" w:styleId="IntenseEmphasis">
    <w:name w:val="Intense Emphasis"/>
    <w:uiPriority w:val="21"/>
    <w:qFormat/>
    <w:rsid w:val="00d22f6d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d22f6d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d22f6d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d22f6d"/>
    <w:rPr>
      <w:b/>
      <w:bCs/>
      <w:smallCaps/>
      <w:spacing w:val="5"/>
    </w:rPr>
  </w:style>
  <w:style w:type="character" w:styleId="Style4" w:customStyle="1">
    <w:name w:val="Электронная подпись Знак"/>
    <w:link w:val="E-mailSignature"/>
    <w:uiPriority w:val="99"/>
    <w:qFormat/>
    <w:rsid w:val="00d22f6d"/>
    <w:rPr>
      <w:rFonts w:eastAsia="Calibri"/>
      <w:sz w:val="24"/>
      <w:szCs w:val="24"/>
    </w:rPr>
  </w:style>
  <w:style w:type="character" w:styleId="11" w:customStyle="1">
    <w:name w:val="Подпункт Знак1"/>
    <w:link w:val="Style21"/>
    <w:qFormat/>
    <w:locked/>
    <w:rsid w:val="00d22f6d"/>
    <w:rPr>
      <w:sz w:val="28"/>
    </w:rPr>
  </w:style>
  <w:style w:type="character" w:styleId="Style5" w:customStyle="1">
    <w:name w:val="Текст сноски Знак"/>
    <w:qFormat/>
    <w:rsid w:val="00d22f6d"/>
    <w:rPr/>
  </w:style>
  <w:style w:type="character" w:styleId="Style6" w:customStyle="1">
    <w:name w:val="Основной текст Знак"/>
    <w:qFormat/>
    <w:rsid w:val="004459a5"/>
    <w:rPr>
      <w:sz w:val="28"/>
      <w:szCs w:val="28"/>
    </w:rPr>
  </w:style>
  <w:style w:type="character" w:styleId="Blk" w:customStyle="1">
    <w:name w:val="blk"/>
    <w:qFormat/>
    <w:rsid w:val="00431ace"/>
    <w:rPr/>
  </w:style>
  <w:style w:type="character" w:styleId="Style7" w:customStyle="1">
    <w:name w:val="Абзац списка Знак"/>
    <w:link w:val="ListParagraph"/>
    <w:qFormat/>
    <w:locked/>
    <w:rsid w:val="00310eb4"/>
    <w:rPr>
      <w:rFonts w:eastAsia="Calibri"/>
      <w:sz w:val="24"/>
      <w:szCs w:val="24"/>
    </w:rPr>
  </w:style>
  <w:style w:type="character" w:styleId="Style8" w:customStyle="1">
    <w:name w:val="комментарий"/>
    <w:qFormat/>
    <w:rsid w:val="0025139e"/>
    <w:rPr>
      <w:b/>
      <w:i/>
      <w:shd w:fill="FFFF99" w:val="clear"/>
    </w:rPr>
  </w:style>
  <w:style w:type="character" w:styleId="Style9" w:customStyle="1">
    <w:name w:val="Подподпункт Знак"/>
    <w:link w:val="Style29"/>
    <w:qFormat/>
    <w:locked/>
    <w:rsid w:val="0025139e"/>
    <w:rPr>
      <w:sz w:val="26"/>
      <w:szCs w:val="26"/>
    </w:rPr>
  </w:style>
  <w:style w:type="character" w:styleId="31" w:customStyle="1">
    <w:name w:val="УРОВЕНЬ_Абзац_тип3 Знак"/>
    <w:link w:val="36"/>
    <w:qFormat/>
    <w:rsid w:val="00b56f46"/>
    <w:rPr>
      <w:rFonts w:eastAsia="Calibri"/>
      <w:sz w:val="26"/>
      <w:szCs w:val="28"/>
      <w:lang w:eastAsia="en-US"/>
    </w:rPr>
  </w:style>
  <w:style w:type="character" w:styleId="Style10" w:customStyle="1">
    <w:name w:val="Верхний колонтитул Знак"/>
    <w:uiPriority w:val="99"/>
    <w:qFormat/>
    <w:rsid w:val="002f31af"/>
    <w:rPr>
      <w:sz w:val="24"/>
      <w:szCs w:val="24"/>
    </w:rPr>
  </w:style>
  <w:style w:type="character" w:styleId="Style11" w:customStyle="1">
    <w:name w:val="Текст примечания Знак"/>
    <w:link w:val="Annotationtext"/>
    <w:semiHidden/>
    <w:qFormat/>
    <w:rsid w:val="00dc0f7d"/>
    <w:rPr/>
  </w:style>
  <w:style w:type="character" w:styleId="Style12" w:customStyle="1">
    <w:name w:val="Текст концевой сноски Знак"/>
    <w:basedOn w:val="DefaultParagraphFont"/>
    <w:qFormat/>
    <w:rsid w:val="003879d4"/>
    <w:rPr/>
  </w:style>
  <w:style w:type="character" w:styleId="Style13">
    <w:name w:val="Символ концевой сноски"/>
    <w:basedOn w:val="DefaultParagraphFont"/>
    <w:qFormat/>
    <w:rsid w:val="003879d4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22" w:customStyle="1">
    <w:name w:val="Пункт2 Знак"/>
    <w:link w:val="24"/>
    <w:qFormat/>
    <w:rsid w:val="00de52bc"/>
    <w:rPr>
      <w:b/>
      <w:sz w:val="28"/>
    </w:rPr>
  </w:style>
  <w:style w:type="character" w:styleId="12" w:customStyle="1">
    <w:name w:val="УРОВЕНЬ_1. Знак"/>
    <w:link w:val="19"/>
    <w:qFormat/>
    <w:rsid w:val="004a17ae"/>
    <w:rPr>
      <w:rFonts w:eastAsia="Calibri"/>
      <w:caps/>
      <w:sz w:val="28"/>
      <w:szCs w:val="28"/>
      <w:lang w:eastAsia="en-US"/>
    </w:rPr>
  </w:style>
  <w:style w:type="character" w:styleId="13" w:customStyle="1">
    <w:name w:val="Неразрешенное упоминание1"/>
    <w:basedOn w:val="DefaultParagraphFont"/>
    <w:uiPriority w:val="99"/>
    <w:semiHidden/>
    <w:unhideWhenUsed/>
    <w:qFormat/>
    <w:rsid w:val="00c36f30"/>
    <w:rPr>
      <w:color w:val="605E5C"/>
      <w:shd w:fill="E1DFDD" w:val="clear"/>
    </w:rPr>
  </w:style>
  <w:style w:type="character" w:styleId="32" w:customStyle="1">
    <w:name w:val="Основной текст с отступом 3 Знак"/>
    <w:link w:val="BodyTextIndent3"/>
    <w:qFormat/>
    <w:rsid w:val="00c36f30"/>
    <w:rPr>
      <w:sz w:val="16"/>
      <w:szCs w:val="16"/>
    </w:rPr>
  </w:style>
  <w:style w:type="character" w:styleId="FollowedHyperlink">
    <w:name w:val="FollowedHyperlink"/>
    <w:basedOn w:val="DefaultParagraphFont"/>
    <w:semiHidden/>
    <w:unhideWhenUsed/>
    <w:rsid w:val="00d83936"/>
    <w:rPr>
      <w:color w:val="954F72" w:themeColor="followedHyperlink"/>
      <w:u w:val="single"/>
    </w:rPr>
  </w:style>
  <w:style w:type="character" w:styleId="Style14">
    <w:name w:val="Ссылка указателя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Style6"/>
    <w:rsid w:val="0076353a"/>
    <w:pPr>
      <w:spacing w:before="0" w:after="12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Style17" w:customStyle="1">
    <w:name w:val="Название раздела инструкции"/>
    <w:basedOn w:val="Normal"/>
    <w:autoRedefine/>
    <w:qFormat/>
    <w:rsid w:val="00275328"/>
    <w:pPr>
      <w:jc w:val="center"/>
    </w:pPr>
    <w:rPr>
      <w:b/>
    </w:rPr>
  </w:style>
  <w:style w:type="paragraph" w:styleId="Style18" w:customStyle="1">
    <w:name w:val="Раздел положения"/>
    <w:basedOn w:val="Normal"/>
    <w:autoRedefine/>
    <w:qFormat/>
    <w:rsid w:val="007475ee"/>
    <w:pPr>
      <w:numPr>
        <w:ilvl w:val="0"/>
        <w:numId w:val="1"/>
      </w:numPr>
      <w:spacing w:before="80" w:after="80"/>
      <w:jc w:val="center"/>
    </w:pPr>
    <w:rPr>
      <w:b/>
      <w:sz w:val="32"/>
      <w:szCs w:val="32"/>
    </w:rPr>
  </w:style>
  <w:style w:type="paragraph" w:styleId="Style19" w:customStyle="1">
    <w:name w:val="Подраздел раздела положения"/>
    <w:basedOn w:val="Normal"/>
    <w:autoRedefine/>
    <w:qFormat/>
    <w:rsid w:val="007475ee"/>
    <w:pPr>
      <w:numPr>
        <w:ilvl w:val="1"/>
        <w:numId w:val="1"/>
      </w:numPr>
      <w:spacing w:before="80" w:after="80"/>
      <w:jc w:val="both"/>
    </w:pPr>
    <w:rPr/>
  </w:style>
  <w:style w:type="paragraph" w:styleId="FootnoteText">
    <w:name w:val="Footnote Text"/>
    <w:basedOn w:val="Normal"/>
    <w:link w:val="Style5"/>
    <w:rsid w:val="00d561d9"/>
    <w:pPr/>
    <w:rPr>
      <w:sz w:val="20"/>
      <w:szCs w:val="20"/>
    </w:rPr>
  </w:style>
  <w:style w:type="paragraph" w:styleId="14" w:customStyle="1">
    <w:name w:val="Шапка 1"/>
    <w:basedOn w:val="Normal"/>
    <w:qFormat/>
    <w:rsid w:val="00d561d9"/>
    <w:pPr>
      <w:pBdr>
        <w:bottom w:val="thickThinSmallGap" w:sz="24" w:space="1" w:color="000000"/>
      </w:pBdr>
      <w:spacing w:before="0" w:after="240"/>
      <w:jc w:val="center"/>
    </w:pPr>
    <w:rPr>
      <w:sz w:val="22"/>
      <w:szCs w:val="22"/>
    </w:rPr>
  </w:style>
  <w:style w:type="paragraph" w:styleId="23" w:customStyle="1">
    <w:name w:val="Шапка 2"/>
    <w:basedOn w:val="Normal"/>
    <w:qFormat/>
    <w:rsid w:val="00d561d9"/>
    <w:pPr>
      <w:pBdr>
        <w:bottom w:val="thickThinSmallGap" w:sz="24" w:space="1" w:color="000000"/>
      </w:pBdr>
      <w:spacing w:before="0" w:after="120"/>
      <w:jc w:val="center"/>
    </w:pPr>
    <w:rPr>
      <w:b/>
      <w:sz w:val="22"/>
      <w:szCs w:val="22"/>
    </w:rPr>
  </w:style>
  <w:style w:type="paragraph" w:styleId="33" w:customStyle="1">
    <w:name w:val="Шапка 3"/>
    <w:basedOn w:val="Normal"/>
    <w:qFormat/>
    <w:rsid w:val="00d561d9"/>
    <w:pPr>
      <w:pBdr>
        <w:bottom w:val="thickThinSmallGap" w:sz="24" w:space="1" w:color="000000"/>
      </w:pBdr>
      <w:spacing w:before="240" w:after="360"/>
      <w:jc w:val="center"/>
    </w:pPr>
    <w:rPr>
      <w:b/>
      <w:sz w:val="24"/>
      <w:szCs w:val="24"/>
    </w:rPr>
  </w:style>
  <w:style w:type="paragraph" w:styleId="15" w:customStyle="1">
    <w:name w:val="Название1"/>
    <w:basedOn w:val="Normal"/>
    <w:link w:val="Style1"/>
    <w:uiPriority w:val="10"/>
    <w:qFormat/>
    <w:rsid w:val="00bd4014"/>
    <w:pPr>
      <w:jc w:val="center"/>
    </w:pPr>
    <w:rPr>
      <w:szCs w:val="20"/>
      <w:lang w:val="x-none" w:eastAsia="x-none"/>
    </w:rPr>
  </w:style>
  <w:style w:type="paragraph" w:styleId="Style20">
    <w:name w:val="Колонтитул"/>
    <w:basedOn w:val="Normal"/>
    <w:qFormat/>
    <w:pPr/>
    <w:rPr/>
  </w:style>
  <w:style w:type="paragraph" w:styleId="Header">
    <w:name w:val="Header"/>
    <w:basedOn w:val="Normal"/>
    <w:link w:val="Style10"/>
    <w:uiPriority w:val="99"/>
    <w:rsid w:val="0076353a"/>
    <w:pPr>
      <w:tabs>
        <w:tab w:val="clear" w:pos="708"/>
        <w:tab w:val="center" w:pos="4677" w:leader="none"/>
        <w:tab w:val="right" w:pos="9355" w:leader="none"/>
      </w:tabs>
    </w:pPr>
    <w:rPr>
      <w:sz w:val="24"/>
      <w:szCs w:val="24"/>
    </w:rPr>
  </w:style>
  <w:style w:type="paragraph" w:styleId="BodyTextIndent">
    <w:name w:val="Body Text Indent"/>
    <w:basedOn w:val="Normal"/>
    <w:rsid w:val="0076353a"/>
    <w:pPr>
      <w:ind w:left="360" w:hanging="0"/>
    </w:pPr>
    <w:rPr>
      <w:sz w:val="24"/>
      <w:szCs w:val="24"/>
    </w:rPr>
  </w:style>
  <w:style w:type="paragraph" w:styleId="Footer">
    <w:name w:val="Footer"/>
    <w:basedOn w:val="Normal"/>
    <w:rsid w:val="0076353a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BodyTextIndent2">
    <w:name w:val="Body Text Indent 2"/>
    <w:basedOn w:val="Normal"/>
    <w:qFormat/>
    <w:rsid w:val="0076353a"/>
    <w:pPr>
      <w:spacing w:lineRule="auto" w:line="480" w:before="0" w:after="120"/>
      <w:ind w:left="283" w:hanging="0"/>
    </w:pPr>
    <w:rPr/>
  </w:style>
  <w:style w:type="paragraph" w:styleId="BodyText3">
    <w:name w:val="Body Text 3"/>
    <w:basedOn w:val="Normal"/>
    <w:qFormat/>
    <w:rsid w:val="0076353a"/>
    <w:pPr>
      <w:spacing w:before="0" w:after="120"/>
    </w:pPr>
    <w:rPr>
      <w:sz w:val="16"/>
      <w:szCs w:val="16"/>
    </w:rPr>
  </w:style>
  <w:style w:type="paragraph" w:styleId="BodyTextIndent3">
    <w:name w:val="Body Text Indent 3"/>
    <w:basedOn w:val="Normal"/>
    <w:link w:val="32"/>
    <w:qFormat/>
    <w:rsid w:val="0076353a"/>
    <w:pPr>
      <w:spacing w:before="0" w:after="120"/>
      <w:ind w:left="283" w:hanging="0"/>
    </w:pPr>
    <w:rPr>
      <w:sz w:val="16"/>
      <w:szCs w:val="16"/>
    </w:rPr>
  </w:style>
  <w:style w:type="paragraph" w:styleId="BodyText2">
    <w:name w:val="Body Text 2"/>
    <w:basedOn w:val="Normal"/>
    <w:qFormat/>
    <w:rsid w:val="0076353a"/>
    <w:pPr>
      <w:spacing w:lineRule="auto" w:line="480" w:before="0" w:after="120"/>
    </w:pPr>
    <w:rPr/>
  </w:style>
  <w:style w:type="paragraph" w:styleId="BlockText">
    <w:name w:val="Block Text"/>
    <w:basedOn w:val="Normal"/>
    <w:qFormat/>
    <w:rsid w:val="0076353a"/>
    <w:pPr>
      <w:ind w:left="-567" w:right="-766" w:hanging="0"/>
      <w:jc w:val="center"/>
    </w:pPr>
    <w:rPr>
      <w:b/>
      <w:bCs/>
      <w:sz w:val="24"/>
      <w:szCs w:val="20"/>
    </w:rPr>
  </w:style>
  <w:style w:type="paragraph" w:styleId="Style21" w:customStyle="1">
    <w:name w:val="Подпункт"/>
    <w:basedOn w:val="Normal"/>
    <w:link w:val="11"/>
    <w:qFormat/>
    <w:rsid w:val="0076353a"/>
    <w:pPr>
      <w:tabs>
        <w:tab w:val="clear" w:pos="708"/>
        <w:tab w:val="left" w:pos="1134" w:leader="none"/>
      </w:tabs>
      <w:snapToGrid w:val="false"/>
      <w:spacing w:lineRule="auto" w:line="360"/>
      <w:ind w:left="1134" w:hanging="1134"/>
      <w:jc w:val="both"/>
    </w:pPr>
    <w:rPr>
      <w:szCs w:val="20"/>
      <w:lang w:val="x-none" w:eastAsia="x-none"/>
    </w:rPr>
  </w:style>
  <w:style w:type="paragraph" w:styleId="24" w:customStyle="1">
    <w:name w:val="Пункт2"/>
    <w:basedOn w:val="Normal"/>
    <w:link w:val="22"/>
    <w:qFormat/>
    <w:rsid w:val="0076353a"/>
    <w:pPr>
      <w:keepNext w:val="true"/>
      <w:tabs>
        <w:tab w:val="clear" w:pos="708"/>
        <w:tab w:val="left" w:pos="1134" w:leader="none"/>
      </w:tabs>
      <w:suppressAutoHyphens w:val="true"/>
      <w:snapToGrid w:val="false"/>
      <w:spacing w:before="240" w:after="120"/>
      <w:ind w:left="1134" w:hanging="1134"/>
      <w:outlineLvl w:val="2"/>
    </w:pPr>
    <w:rPr>
      <w:b/>
      <w:szCs w:val="20"/>
    </w:rPr>
  </w:style>
  <w:style w:type="paragraph" w:styleId="TOC1">
    <w:name w:val="TOC 1"/>
    <w:basedOn w:val="Normal"/>
    <w:next w:val="Normal"/>
    <w:autoRedefine/>
    <w:uiPriority w:val="39"/>
    <w:rsid w:val="00421b6b"/>
    <w:pPr>
      <w:spacing w:before="120" w:after="0"/>
    </w:pPr>
    <w:rPr>
      <w:rFonts w:cs="Calibri Light (Заголовки)"/>
      <w:b/>
      <w:bCs/>
      <w:sz w:val="24"/>
      <w:szCs w:val="24"/>
    </w:rPr>
  </w:style>
  <w:style w:type="paragraph" w:styleId="TOC3">
    <w:name w:val="TOC 3"/>
    <w:basedOn w:val="Normal"/>
    <w:next w:val="Normal"/>
    <w:autoRedefine/>
    <w:uiPriority w:val="39"/>
    <w:rsid w:val="00c01756"/>
    <w:pPr>
      <w:ind w:left="280" w:hanging="0"/>
    </w:pPr>
    <w:rPr>
      <w:rFonts w:cs="Calibri" w:cstheme="minorHAnsi"/>
      <w:sz w:val="20"/>
      <w:szCs w:val="20"/>
    </w:rPr>
  </w:style>
  <w:style w:type="paragraph" w:styleId="Style22" w:customStyle="1">
    <w:name w:val="Раздел регламента"/>
    <w:basedOn w:val="Normal"/>
    <w:qFormat/>
    <w:rsid w:val="00e228fa"/>
    <w:pPr/>
    <w:rPr/>
  </w:style>
  <w:style w:type="paragraph" w:styleId="Style23" w:customStyle="1">
    <w:name w:val="Приложение к регламенту"/>
    <w:basedOn w:val="Normal"/>
    <w:qFormat/>
    <w:rsid w:val="00e228fa"/>
    <w:pPr>
      <w:jc w:val="right"/>
    </w:pPr>
    <w:rPr/>
  </w:style>
  <w:style w:type="paragraph" w:styleId="TOC2">
    <w:name w:val="TOC 2"/>
    <w:basedOn w:val="Normal"/>
    <w:next w:val="Normal"/>
    <w:autoRedefine/>
    <w:uiPriority w:val="39"/>
    <w:rsid w:val="00c01756"/>
    <w:pPr>
      <w:spacing w:before="240" w:after="0"/>
    </w:pPr>
    <w:rPr>
      <w:rFonts w:cs="Calibri" w:cstheme="minorHAnsi"/>
      <w:b/>
      <w:bCs/>
      <w:sz w:val="20"/>
      <w:szCs w:val="20"/>
    </w:rPr>
  </w:style>
  <w:style w:type="paragraph" w:styleId="BalloonText">
    <w:name w:val="Balloon Text"/>
    <w:basedOn w:val="Normal"/>
    <w:semiHidden/>
    <w:qFormat/>
    <w:rsid w:val="00197c91"/>
    <w:pPr/>
    <w:rPr>
      <w:rFonts w:ascii="Tahoma" w:hAnsi="Tahoma" w:cs="Tahoma"/>
      <w:sz w:val="16"/>
      <w:szCs w:val="16"/>
    </w:rPr>
  </w:style>
  <w:style w:type="paragraph" w:styleId="Annotationtext">
    <w:name w:val="annotation text"/>
    <w:basedOn w:val="Normal"/>
    <w:link w:val="Style11"/>
    <w:semiHidden/>
    <w:qFormat/>
    <w:rsid w:val="00b714b0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semiHidden/>
    <w:qFormat/>
    <w:rsid w:val="00b714b0"/>
    <w:pPr/>
    <w:rPr>
      <w:b/>
      <w:bCs/>
    </w:rPr>
  </w:style>
  <w:style w:type="paragraph" w:styleId="16" w:customStyle="1">
    <w:name w:val="Обычный (веб)1"/>
    <w:basedOn w:val="Normal"/>
    <w:uiPriority w:val="99"/>
    <w:qFormat/>
    <w:rsid w:val="002f559a"/>
    <w:pPr>
      <w:spacing w:beforeAutospacing="1" w:afterAutospacing="1"/>
    </w:pPr>
    <w:rPr>
      <w:rFonts w:ascii="Arial Unicode MS" w:hAnsi="Arial Unicode MS" w:eastAsia="Arial Unicode MS" w:cs="Arial Unicode MS"/>
      <w:sz w:val="24"/>
      <w:szCs w:val="24"/>
    </w:rPr>
  </w:style>
  <w:style w:type="paragraph" w:styleId="TOC9">
    <w:name w:val="TOC 9"/>
    <w:basedOn w:val="Normal"/>
    <w:next w:val="Normal"/>
    <w:autoRedefine/>
    <w:semiHidden/>
    <w:rsid w:val="00f57628"/>
    <w:pPr>
      <w:ind w:left="1960" w:hanging="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semiHidden/>
    <w:rsid w:val="00f57628"/>
    <w:pPr>
      <w:ind w:left="840" w:hanging="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rsid w:val="00c01756"/>
    <w:pPr>
      <w:ind w:left="560" w:hanging="0"/>
    </w:pPr>
    <w:rPr>
      <w:rFonts w:cs="Calibri" w:cstheme="minorHAnsi"/>
      <w:sz w:val="20"/>
      <w:szCs w:val="20"/>
    </w:rPr>
  </w:style>
  <w:style w:type="paragraph" w:styleId="25" w:customStyle="1">
    <w:name w:val="Раздел положения 2"/>
    <w:basedOn w:val="Normal"/>
    <w:qFormat/>
    <w:rsid w:val="002c1e0e"/>
    <w:pPr>
      <w:pageBreakBefore/>
      <w:jc w:val="both"/>
      <w:outlineLvl w:val="0"/>
    </w:pPr>
    <w:rPr>
      <w:b/>
    </w:rPr>
  </w:style>
  <w:style w:type="paragraph" w:styleId="Style24" w:customStyle="1">
    <w:name w:val="Знак Знак Знак Знак Знак Знак Знак Знак Знак"/>
    <w:basedOn w:val="Normal"/>
    <w:qFormat/>
    <w:rsid w:val="00d22f6d"/>
    <w:pPr>
      <w:spacing w:lineRule="exact" w:line="240" w:before="0" w:after="160"/>
      <w:jc w:val="both"/>
    </w:pPr>
    <w:rPr>
      <w:rFonts w:ascii="Verdana" w:hAnsi="Verdana" w:cs="Verdana"/>
      <w:sz w:val="22"/>
      <w:szCs w:val="22"/>
      <w:lang w:val="en-US" w:eastAsia="en-US"/>
    </w:rPr>
  </w:style>
  <w:style w:type="paragraph" w:styleId="NoSpacing">
    <w:name w:val="No Spacing"/>
    <w:basedOn w:val="Normal"/>
    <w:uiPriority w:val="1"/>
    <w:qFormat/>
    <w:rsid w:val="00d22f6d"/>
    <w:pPr>
      <w:spacing w:lineRule="auto" w:line="360"/>
    </w:pPr>
    <w:rPr>
      <w:rFonts w:eastAsia="Calibri"/>
      <w:sz w:val="24"/>
      <w:szCs w:val="24"/>
    </w:rPr>
  </w:style>
  <w:style w:type="paragraph" w:styleId="Caption1">
    <w:name w:val="caption1"/>
    <w:basedOn w:val="Normal"/>
    <w:next w:val="Normal"/>
    <w:uiPriority w:val="35"/>
    <w:qFormat/>
    <w:rsid w:val="00d22f6d"/>
    <w:pPr/>
    <w:rPr>
      <w:rFonts w:eastAsia="Calibri"/>
      <w:b/>
      <w:bCs/>
      <w:color w:val="4F81BD"/>
      <w:sz w:val="18"/>
      <w:szCs w:val="18"/>
    </w:rPr>
  </w:style>
  <w:style w:type="paragraph" w:styleId="Subtitle">
    <w:name w:val="Subtitle"/>
    <w:basedOn w:val="Normal"/>
    <w:next w:val="Normal"/>
    <w:link w:val="Style2"/>
    <w:uiPriority w:val="11"/>
    <w:qFormat/>
    <w:rsid w:val="00d22f6d"/>
    <w:pPr>
      <w:numPr>
        <w:ilvl w:val="1"/>
      </w:numPr>
      <w:ind w:left="1066" w:firstLine="709"/>
    </w:pPr>
    <w:rPr>
      <w:rFonts w:ascii="Cambria" w:hAnsi="Cambria"/>
      <w:i/>
      <w:iCs/>
      <w:color w:val="4F81BD"/>
      <w:spacing w:val="15"/>
      <w:sz w:val="24"/>
      <w:szCs w:val="24"/>
      <w:lang w:val="x-none" w:eastAsia="x-none"/>
    </w:rPr>
  </w:style>
  <w:style w:type="paragraph" w:styleId="ListParagraph">
    <w:name w:val="List Paragraph"/>
    <w:basedOn w:val="Normal"/>
    <w:link w:val="Style7"/>
    <w:qFormat/>
    <w:rsid w:val="00d22f6d"/>
    <w:pPr>
      <w:spacing w:before="0" w:after="0"/>
      <w:ind w:left="720" w:hanging="0"/>
      <w:contextualSpacing/>
    </w:pPr>
    <w:rPr>
      <w:rFonts w:eastAsia="Calibri"/>
      <w:sz w:val="24"/>
      <w:szCs w:val="24"/>
    </w:rPr>
  </w:style>
  <w:style w:type="paragraph" w:styleId="Quote">
    <w:name w:val="Quote"/>
    <w:basedOn w:val="Normal"/>
    <w:next w:val="Normal"/>
    <w:link w:val="21"/>
    <w:uiPriority w:val="29"/>
    <w:qFormat/>
    <w:rsid w:val="00d22f6d"/>
    <w:pPr/>
    <w:rPr>
      <w:rFonts w:ascii="Calibri" w:hAnsi="Calibri" w:eastAsia="Calibri"/>
      <w:i/>
      <w:iCs/>
      <w:color w:val="000000"/>
      <w:sz w:val="20"/>
      <w:szCs w:val="20"/>
      <w:lang w:val="x-none" w:eastAsia="x-none"/>
    </w:rPr>
  </w:style>
  <w:style w:type="paragraph" w:styleId="IntenseQuote">
    <w:name w:val="Intense Quote"/>
    <w:basedOn w:val="Normal"/>
    <w:next w:val="Normal"/>
    <w:link w:val="Style3"/>
    <w:uiPriority w:val="30"/>
    <w:qFormat/>
    <w:rsid w:val="00d22f6d"/>
    <w:pPr>
      <w:pBdr>
        <w:bottom w:val="single" w:sz="4" w:space="4" w:color="4F81BD"/>
      </w:pBdr>
      <w:spacing w:before="200" w:after="280"/>
      <w:ind w:left="936" w:right="936" w:hanging="0"/>
    </w:pPr>
    <w:rPr>
      <w:rFonts w:ascii="Calibri" w:hAnsi="Calibri" w:eastAsia="Calibri"/>
      <w:b/>
      <w:bCs/>
      <w:i/>
      <w:iCs/>
      <w:color w:val="4F81BD"/>
      <w:sz w:val="20"/>
      <w:szCs w:val="20"/>
      <w:lang w:val="x-none" w:eastAsia="x-none"/>
    </w:rPr>
  </w:style>
  <w:style w:type="paragraph" w:styleId="IndexHeading">
    <w:name w:val="Index Heading"/>
    <w:basedOn w:val="Style15"/>
    <w:pPr/>
    <w:rPr/>
  </w:style>
  <w:style w:type="paragraph" w:styleId="TOCHeading">
    <w:name w:val="TOC Heading"/>
    <w:basedOn w:val="Heading1"/>
    <w:next w:val="Normal"/>
    <w:uiPriority w:val="39"/>
    <w:qFormat/>
    <w:rsid w:val="00d22f6d"/>
    <w:pPr>
      <w:keepLines/>
      <w:spacing w:before="480" w:after="60"/>
      <w:outlineLvl w:val="9"/>
    </w:pPr>
    <w:rPr>
      <w:rFonts w:ascii="Cambria" w:hAnsi="Cambria"/>
      <w:bCs/>
      <w:color w:val="365F91"/>
    </w:rPr>
  </w:style>
  <w:style w:type="paragraph" w:styleId="E-mailSignature">
    <w:name w:val="E-mail Signature"/>
    <w:basedOn w:val="Normal"/>
    <w:link w:val="Style4"/>
    <w:uiPriority w:val="99"/>
    <w:unhideWhenUsed/>
    <w:qFormat/>
    <w:rsid w:val="00d22f6d"/>
    <w:pPr/>
    <w:rPr>
      <w:rFonts w:eastAsia="Calibri"/>
      <w:sz w:val="24"/>
      <w:szCs w:val="24"/>
      <w:lang w:val="x-none" w:eastAsia="x-none"/>
    </w:rPr>
  </w:style>
  <w:style w:type="paragraph" w:styleId="Style25" w:customStyle="1">
    <w:name w:val="Знак"/>
    <w:basedOn w:val="Normal"/>
    <w:qFormat/>
    <w:rsid w:val="00d22f6d"/>
    <w:pPr>
      <w:spacing w:lineRule="exact" w:line="240" w:before="0" w:after="160"/>
    </w:pPr>
    <w:rPr>
      <w:rFonts w:ascii="Verdana" w:hAnsi="Verdana" w:cs="Verdana"/>
      <w:sz w:val="20"/>
      <w:szCs w:val="20"/>
      <w:lang w:val="en-US" w:eastAsia="en-US"/>
    </w:rPr>
  </w:style>
  <w:style w:type="paragraph" w:styleId="34" w:customStyle="1">
    <w:name w:val="Нумерованный список ур3"/>
    <w:basedOn w:val="Normal"/>
    <w:qFormat/>
    <w:rsid w:val="00d22f6d"/>
    <w:pPr>
      <w:numPr>
        <w:ilvl w:val="2"/>
        <w:numId w:val="2"/>
      </w:numPr>
      <w:jc w:val="both"/>
    </w:pPr>
    <w:rPr>
      <w:rFonts w:ascii="Garamond" w:hAnsi="Garamond"/>
      <w:sz w:val="24"/>
      <w:szCs w:val="20"/>
    </w:rPr>
  </w:style>
  <w:style w:type="paragraph" w:styleId="List3" w:customStyle="1">
    <w:name w:val="List 3"/>
    <w:basedOn w:val="Normal"/>
    <w:rsid w:val="00d22f6d"/>
    <w:pPr>
      <w:numPr>
        <w:ilvl w:val="0"/>
        <w:numId w:val="2"/>
      </w:numPr>
      <w:spacing w:before="120" w:after="0"/>
      <w:jc w:val="both"/>
    </w:pPr>
    <w:rPr>
      <w:rFonts w:ascii="Garamond" w:hAnsi="Garamond"/>
      <w:sz w:val="24"/>
      <w:szCs w:val="20"/>
    </w:rPr>
  </w:style>
  <w:style w:type="paragraph" w:styleId="26" w:customStyle="1">
    <w:name w:val="Нумерованный список ур2"/>
    <w:basedOn w:val="Normal"/>
    <w:qFormat/>
    <w:rsid w:val="00d22f6d"/>
    <w:pPr>
      <w:numPr>
        <w:ilvl w:val="1"/>
        <w:numId w:val="2"/>
      </w:numPr>
      <w:spacing w:before="120" w:after="0"/>
      <w:jc w:val="both"/>
    </w:pPr>
    <w:rPr>
      <w:rFonts w:ascii="Garamond" w:hAnsi="Garamond"/>
      <w:sz w:val="24"/>
      <w:szCs w:val="20"/>
    </w:rPr>
  </w:style>
  <w:style w:type="paragraph" w:styleId="Revision">
    <w:name w:val="Revision"/>
    <w:uiPriority w:val="99"/>
    <w:semiHidden/>
    <w:qFormat/>
    <w:rsid w:val="00d22f6d"/>
    <w:pPr>
      <w:widowControl/>
      <w:bidi w:val="0"/>
      <w:spacing w:before="0" w:after="0"/>
      <w:jc w:val="left"/>
    </w:pPr>
    <w:rPr>
      <w:rFonts w:eastAsia="Calibri" w:ascii="Times New Roman" w:hAnsi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ConsPlusNormal" w:customStyle="1">
    <w:name w:val="ConsPlusNormal"/>
    <w:qFormat/>
    <w:rsid w:val="00d22f6d"/>
    <w:pPr>
      <w:widowControl w:val="false"/>
      <w:bidi w:val="0"/>
      <w:spacing w:before="0" w:after="0"/>
      <w:ind w:firstLine="720"/>
      <w:jc w:val="left"/>
    </w:pPr>
    <w:rPr>
      <w:rFonts w:ascii="Arial" w:hAnsi="Arial" w:cs="Arial" w:eastAsia="Times New Roman"/>
      <w:color w:val="auto"/>
      <w:kern w:val="0"/>
      <w:sz w:val="20"/>
      <w:szCs w:val="20"/>
      <w:lang w:val="ru-RU" w:eastAsia="ru-RU" w:bidi="ar-SA"/>
    </w:rPr>
  </w:style>
  <w:style w:type="paragraph" w:styleId="35" w:customStyle="1">
    <w:name w:val="Знак Знак3 Знак Знак"/>
    <w:basedOn w:val="Normal"/>
    <w:qFormat/>
    <w:rsid w:val="00d22f6d"/>
    <w:pPr>
      <w:spacing w:lineRule="exact" w:line="240" w:before="0" w:after="160"/>
      <w:jc w:val="both"/>
    </w:pPr>
    <w:rPr>
      <w:rFonts w:ascii="Verdana" w:hAnsi="Verdana" w:cs="Verdana"/>
      <w:sz w:val="22"/>
      <w:szCs w:val="22"/>
      <w:lang w:val="en-US" w:eastAsia="en-US"/>
    </w:rPr>
  </w:style>
  <w:style w:type="paragraph" w:styleId="Style26" w:customStyle="1">
    <w:name w:val="Пункт"/>
    <w:basedOn w:val="Normal"/>
    <w:qFormat/>
    <w:rsid w:val="00d22f6d"/>
    <w:pPr>
      <w:widowControl w:val="false"/>
      <w:tabs>
        <w:tab w:val="clear" w:pos="708"/>
        <w:tab w:val="left" w:pos="1134" w:leader="none"/>
      </w:tabs>
      <w:spacing w:lineRule="auto" w:line="360" w:before="120" w:after="0"/>
      <w:ind w:left="1134" w:right="800" w:hanging="1134"/>
      <w:jc w:val="both"/>
    </w:pPr>
    <w:rPr>
      <w:rFonts w:ascii="Arial" w:hAnsi="Arial"/>
      <w:b/>
      <w:i/>
      <w:szCs w:val="20"/>
    </w:rPr>
  </w:style>
  <w:style w:type="paragraph" w:styleId="17" w:customStyle="1">
    <w:name w:val="Абзац списка1"/>
    <w:basedOn w:val="Normal"/>
    <w:qFormat/>
    <w:rsid w:val="00d22f6d"/>
    <w:pPr>
      <w:spacing w:lineRule="auto" w:line="276" w:before="0" w:after="200"/>
      <w:ind w:left="720" w:hanging="0"/>
      <w:contextualSpacing/>
    </w:pPr>
    <w:rPr>
      <w:rFonts w:ascii="Calibri" w:hAnsi="Calibri"/>
      <w:sz w:val="22"/>
      <w:szCs w:val="22"/>
      <w:lang w:eastAsia="en-US"/>
    </w:rPr>
  </w:style>
  <w:style w:type="paragraph" w:styleId="Style27" w:customStyle="1">
    <w:name w:val="Таблица"/>
    <w:basedOn w:val="Normal"/>
    <w:qFormat/>
    <w:rsid w:val="0041356c"/>
    <w:pPr>
      <w:keepNext w:val="true"/>
      <w:spacing w:before="60" w:after="60"/>
      <w:jc w:val="center"/>
    </w:pPr>
    <w:rPr>
      <w:rFonts w:eastAsia="Calibri"/>
      <w:b/>
      <w:sz w:val="24"/>
      <w:szCs w:val="24"/>
      <w:lang w:val="x-none" w:eastAsia="x-none"/>
    </w:rPr>
  </w:style>
  <w:style w:type="paragraph" w:styleId="Style28" w:customStyle="1">
    <w:name w:val="Таблица шапка"/>
    <w:basedOn w:val="Normal"/>
    <w:qFormat/>
    <w:rsid w:val="00f64089"/>
    <w:pPr>
      <w:keepNext w:val="true"/>
      <w:spacing w:before="40" w:after="40"/>
      <w:ind w:left="57" w:right="57" w:hanging="0"/>
    </w:pPr>
    <w:rPr>
      <w:sz w:val="22"/>
      <w:szCs w:val="26"/>
    </w:rPr>
  </w:style>
  <w:style w:type="paragraph" w:styleId="Style29" w:customStyle="1">
    <w:name w:val="Подподпункт"/>
    <w:basedOn w:val="Style21"/>
    <w:link w:val="Style9"/>
    <w:qFormat/>
    <w:rsid w:val="0025139e"/>
    <w:pPr>
      <w:tabs>
        <w:tab w:val="clear" w:pos="1134"/>
        <w:tab w:val="left" w:pos="5104" w:leader="none"/>
      </w:tabs>
      <w:snapToGrid w:val="true"/>
      <w:spacing w:lineRule="auto" w:line="240" w:before="120" w:after="0"/>
      <w:ind w:left="5104" w:hanging="567"/>
    </w:pPr>
    <w:rPr>
      <w:sz w:val="26"/>
      <w:szCs w:val="26"/>
      <w:lang w:val="ru-RU" w:eastAsia="ru-RU"/>
    </w:rPr>
  </w:style>
  <w:style w:type="paragraph" w:styleId="Style30" w:customStyle="1">
    <w:name w:val="УРОВЕНЬ_(а)"/>
    <w:basedOn w:val="ListParagraph"/>
    <w:qFormat/>
    <w:rsid w:val="00b56f46"/>
    <w:pPr>
      <w:numPr>
        <w:ilvl w:val="3"/>
        <w:numId w:val="4"/>
      </w:numPr>
      <w:spacing w:lineRule="exact" w:line="360" w:before="120" w:after="0"/>
      <w:contextualSpacing w:val="false"/>
      <w:jc w:val="both"/>
      <w:outlineLvl w:val="3"/>
    </w:pPr>
    <w:rPr>
      <w:sz w:val="26"/>
      <w:szCs w:val="28"/>
      <w:lang w:eastAsia="en-US"/>
    </w:rPr>
  </w:style>
  <w:style w:type="paragraph" w:styleId="-" w:customStyle="1">
    <w:name w:val="УРОВЕНЬ_-"/>
    <w:basedOn w:val="ListParagraph"/>
    <w:qFormat/>
    <w:rsid w:val="00b56f46"/>
    <w:pPr>
      <w:numPr>
        <w:ilvl w:val="4"/>
        <w:numId w:val="4"/>
      </w:numPr>
      <w:spacing w:lineRule="exact" w:line="360" w:before="120" w:after="0"/>
      <w:contextualSpacing w:val="false"/>
      <w:jc w:val="both"/>
      <w:outlineLvl w:val="4"/>
    </w:pPr>
    <w:rPr>
      <w:sz w:val="26"/>
      <w:szCs w:val="28"/>
      <w:lang w:eastAsia="en-US"/>
    </w:rPr>
  </w:style>
  <w:style w:type="paragraph" w:styleId="27" w:customStyle="1">
    <w:name w:val="УРОВЕНЬ_Абзац_тип2"/>
    <w:basedOn w:val="ListParagraph"/>
    <w:qFormat/>
    <w:rsid w:val="00b56f46"/>
    <w:pPr>
      <w:numPr>
        <w:ilvl w:val="6"/>
        <w:numId w:val="4"/>
      </w:numPr>
      <w:spacing w:lineRule="exact" w:line="360" w:before="120" w:after="0"/>
      <w:contextualSpacing w:val="false"/>
      <w:jc w:val="both"/>
    </w:pPr>
    <w:rPr>
      <w:sz w:val="26"/>
      <w:szCs w:val="28"/>
      <w:lang w:eastAsia="en-US"/>
    </w:rPr>
  </w:style>
  <w:style w:type="paragraph" w:styleId="36" w:customStyle="1">
    <w:name w:val="УРОВЕНЬ_Абзац_тип3"/>
    <w:basedOn w:val="ListParagraph"/>
    <w:link w:val="31"/>
    <w:qFormat/>
    <w:rsid w:val="00b56f46"/>
    <w:pPr>
      <w:numPr>
        <w:ilvl w:val="7"/>
        <w:numId w:val="4"/>
      </w:numPr>
      <w:spacing w:lineRule="exact" w:line="360" w:before="120" w:after="0"/>
      <w:contextualSpacing w:val="false"/>
      <w:jc w:val="both"/>
    </w:pPr>
    <w:rPr>
      <w:sz w:val="26"/>
      <w:szCs w:val="28"/>
      <w:lang w:eastAsia="en-US"/>
    </w:rPr>
  </w:style>
  <w:style w:type="paragraph" w:styleId="Style31" w:customStyle="1">
    <w:name w:val="УРОВЕНЬ_Подпись"/>
    <w:basedOn w:val="ListParagraph"/>
    <w:qFormat/>
    <w:rsid w:val="00b56f46"/>
    <w:pPr>
      <w:keepNext w:val="true"/>
      <w:numPr>
        <w:ilvl w:val="5"/>
        <w:numId w:val="4"/>
      </w:numPr>
      <w:spacing w:lineRule="exact" w:line="360" w:before="120" w:after="120"/>
      <w:contextualSpacing w:val="false"/>
      <w:jc w:val="right"/>
      <w:outlineLvl w:val="3"/>
    </w:pPr>
    <w:rPr>
      <w:sz w:val="26"/>
      <w:szCs w:val="28"/>
      <w:lang w:eastAsia="en-US"/>
    </w:rPr>
  </w:style>
  <w:style w:type="paragraph" w:styleId="18" w:customStyle="1">
    <w:name w:val="Стиль Заголовок 1 + по ширине"/>
    <w:basedOn w:val="Heading1"/>
    <w:qFormat/>
    <w:rsid w:val="005773b2"/>
    <w:pPr>
      <w:keepLines/>
      <w:numPr>
        <w:ilvl w:val="0"/>
        <w:numId w:val="0"/>
      </w:numPr>
      <w:tabs>
        <w:tab w:val="clear" w:pos="708"/>
        <w:tab w:val="left" w:pos="567" w:leader="none"/>
      </w:tabs>
      <w:suppressAutoHyphens w:val="true"/>
      <w:spacing w:before="480" w:after="240"/>
      <w:ind w:left="567" w:hanging="567"/>
      <w:jc w:val="both"/>
    </w:pPr>
    <w:rPr>
      <w:rFonts w:ascii="Arial" w:hAnsi="Arial" w:eastAsia="Times New Roman"/>
      <w:bCs/>
      <w:kern w:val="2"/>
      <w:sz w:val="40"/>
      <w:szCs w:val="20"/>
      <w:lang w:val="ru-RU" w:eastAsia="ru-RU"/>
    </w:rPr>
  </w:style>
  <w:style w:type="paragraph" w:styleId="EndnoteText">
    <w:name w:val="Endnote Text"/>
    <w:basedOn w:val="Normal"/>
    <w:link w:val="Style12"/>
    <w:rsid w:val="003879d4"/>
    <w:pPr/>
    <w:rPr>
      <w:sz w:val="20"/>
      <w:szCs w:val="20"/>
    </w:rPr>
  </w:style>
  <w:style w:type="paragraph" w:styleId="28" w:customStyle="1">
    <w:name w:val="Заголовок 2 КВВ"/>
    <w:basedOn w:val="Normal"/>
    <w:qFormat/>
    <w:rsid w:val="00cb35e8"/>
    <w:pPr>
      <w:keepNext w:val="true"/>
      <w:numPr>
        <w:ilvl w:val="0"/>
        <w:numId w:val="5"/>
      </w:numPr>
      <w:suppressAutoHyphens w:val="true"/>
      <w:spacing w:before="120" w:after="120"/>
      <w:jc w:val="both"/>
      <w:outlineLvl w:val="0"/>
    </w:pPr>
    <w:rPr>
      <w:b/>
      <w:kern w:val="2"/>
      <w:sz w:val="24"/>
      <w:szCs w:val="20"/>
      <w:lang w:eastAsia="x-none"/>
    </w:rPr>
  </w:style>
  <w:style w:type="paragraph" w:styleId="Style32" w:customStyle="1">
    <w:name w:val="Таблица текст"/>
    <w:basedOn w:val="Normal"/>
    <w:qFormat/>
    <w:rsid w:val="00343e95"/>
    <w:pPr>
      <w:spacing w:before="40" w:after="40"/>
      <w:ind w:left="57" w:right="57" w:hanging="0"/>
    </w:pPr>
    <w:rPr>
      <w:sz w:val="24"/>
      <w:szCs w:val="26"/>
    </w:rPr>
  </w:style>
  <w:style w:type="paragraph" w:styleId="NormalWeb">
    <w:name w:val="Normal (Web)"/>
    <w:basedOn w:val="Normal"/>
    <w:uiPriority w:val="99"/>
    <w:unhideWhenUsed/>
    <w:qFormat/>
    <w:rsid w:val="00265d9f"/>
    <w:pPr>
      <w:spacing w:beforeAutospacing="1" w:afterAutospacing="1"/>
    </w:pPr>
    <w:rPr>
      <w:sz w:val="24"/>
      <w:szCs w:val="24"/>
    </w:rPr>
  </w:style>
  <w:style w:type="paragraph" w:styleId="19" w:customStyle="1">
    <w:name w:val="УРОВЕНЬ_1."/>
    <w:basedOn w:val="ListParagraph"/>
    <w:link w:val="12"/>
    <w:qFormat/>
    <w:rsid w:val="004a17ae"/>
    <w:pPr>
      <w:keepNext w:val="true"/>
      <w:keepLines/>
      <w:spacing w:lineRule="auto" w:line="276" w:before="240" w:after="120"/>
      <w:ind w:left="0" w:hanging="0"/>
      <w:contextualSpacing w:val="false"/>
      <w:jc w:val="both"/>
      <w:outlineLvl w:val="0"/>
    </w:pPr>
    <w:rPr>
      <w:caps/>
      <w:sz w:val="28"/>
      <w:szCs w:val="28"/>
      <w:lang w:eastAsia="en-US"/>
    </w:rPr>
  </w:style>
  <w:style w:type="paragraph" w:styleId="TOC6">
    <w:name w:val="TOC 6"/>
    <w:basedOn w:val="Normal"/>
    <w:next w:val="Normal"/>
    <w:autoRedefine/>
    <w:unhideWhenUsed/>
    <w:rsid w:val="00d849aa"/>
    <w:pPr>
      <w:ind w:left="1120" w:hanging="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nhideWhenUsed/>
    <w:rsid w:val="00d849aa"/>
    <w:pPr>
      <w:ind w:left="1400" w:hanging="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nhideWhenUsed/>
    <w:rsid w:val="00d849aa"/>
    <w:pPr>
      <w:ind w:left="1680" w:hanging="0"/>
    </w:pPr>
    <w:rPr>
      <w:rFonts w:ascii="Calibri" w:hAnsi="Calibri" w:cs="Calibri" w:asciiTheme="minorHAnsi" w:cstheme="minorHAnsi" w:hAnsiTheme="minorHAnsi"/>
      <w:sz w:val="20"/>
      <w:szCs w:val="20"/>
    </w:rPr>
  </w:style>
  <w:style w:type="paragraph" w:styleId="Style33" w:customStyle="1">
    <w:name w:val="_Текст"/>
    <w:basedOn w:val="Normal"/>
    <w:qFormat/>
    <w:rsid w:val="00c26337"/>
    <w:pPr>
      <w:ind w:firstLine="454"/>
      <w:jc w:val="both"/>
    </w:pPr>
    <w:rPr>
      <w:sz w:val="24"/>
      <w:szCs w:val="24"/>
    </w:rPr>
  </w:style>
  <w:style w:type="paragraph" w:styleId="Style34">
    <w:name w:val="Содержимое врезки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numbering" w:styleId="110" w:customStyle="1">
    <w:name w:val="Стиль1"/>
    <w:uiPriority w:val="99"/>
    <w:qFormat/>
    <w:rsid w:val="00f001e4"/>
  </w:style>
  <w:style w:type="numbering" w:styleId="29" w:customStyle="1">
    <w:name w:val="Стиль2"/>
    <w:uiPriority w:val="99"/>
    <w:qFormat/>
    <w:rsid w:val="006629c9"/>
  </w:style>
  <w:style w:type="table" w:default="1" w:styleId="a5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">
    <w:name w:val="Table Grid"/>
    <w:basedOn w:val="a5"/>
    <w:uiPriority w:val="39"/>
    <w:rsid w:val="0076353a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c">
    <w:name w:val="Сетка таблицы1"/>
    <w:basedOn w:val="a5"/>
    <w:uiPriority w:val="39"/>
    <w:rsid w:val="00214b9f"/>
    <w:rPr>
      <w:rFonts w:asciiTheme="minorHAnsi" w:hAnsiTheme="minorHAnsi" w:eastAsiaTheme="minorHAnsi" w:cstheme="minorBidi"/>
      <w:lang w:eastAsia="en-US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P@rushydro.ru" TargetMode="External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6C6BFD-E659-47D4-86B1-3C0DE0912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Application>AlterOffice/3.4.0.9$Linux_X86_64 LibreOffice_project/b8daf9e823b1a5463a2f48435ddc2e8696e7d4fc</Application>
  <AppVersion>15.0000</AppVersion>
  <Pages>5</Pages>
  <Words>836</Words>
  <Characters>5829</Characters>
  <CharactersWithSpaces>6655</CharactersWithSpaces>
  <Paragraphs>136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2023-03-19T20:48:00Z</dcterms:created>
  <dc:creator>Быстров Олег Геннадьевич</dc:creator>
  <dc:description/>
  <dc:language>ru-RU</dc:language>
  <cp:lastModifiedBy/>
  <cp:lastPrinted>2023-03-17T05:18:00Z</cp:lastPrinted>
  <dcterms:modified xsi:type="dcterms:W3CDTF">2026-05-29T11:12:00Z</dcterms:modified>
  <cp:revision>32</cp:revision>
  <dc:subject/>
  <dc:title>Российское открытое акционерное общество энергетики и электрификации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