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Pr="00C60040" w:rsidRDefault="00453C05" w:rsidP="001025F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Гусев</w:t>
      </w:r>
      <w:r w:rsidRPr="00C60040">
        <w:rPr>
          <w:rFonts w:ascii="Times New Roman" w:hAnsi="Times New Roman" w:cs="Times New Roman"/>
          <w:sz w:val="28"/>
          <w:szCs w:val="28"/>
          <w:lang w:val="en-US"/>
        </w:rPr>
        <w:t xml:space="preserve"> </w:t>
      </w:r>
      <w:r>
        <w:rPr>
          <w:rFonts w:ascii="Times New Roman" w:hAnsi="Times New Roman" w:cs="Times New Roman"/>
          <w:sz w:val="28"/>
          <w:szCs w:val="28"/>
        </w:rPr>
        <w:t>Виталий</w:t>
      </w:r>
      <w:r w:rsidRPr="00C60040">
        <w:rPr>
          <w:rFonts w:ascii="Times New Roman" w:hAnsi="Times New Roman" w:cs="Times New Roman"/>
          <w:sz w:val="28"/>
          <w:szCs w:val="28"/>
          <w:lang w:val="en-US"/>
        </w:rPr>
        <w:t xml:space="preserve"> </w:t>
      </w:r>
      <w:r>
        <w:rPr>
          <w:rFonts w:ascii="Times New Roman" w:hAnsi="Times New Roman" w:cs="Times New Roman"/>
          <w:sz w:val="28"/>
          <w:szCs w:val="28"/>
        </w:rPr>
        <w:t>Евгеньевич</w:t>
      </w:r>
    </w:p>
    <w:p w14:paraId="66A11BAE" w14:textId="73E5D0D9" w:rsidR="004855F8" w:rsidRPr="00C60040" w:rsidRDefault="004855F8" w:rsidP="001025FA">
      <w:pPr>
        <w:spacing w:after="0" w:line="360" w:lineRule="auto"/>
        <w:ind w:firstLine="709"/>
        <w:jc w:val="both"/>
        <w:rPr>
          <w:rFonts w:ascii="Times New Roman" w:hAnsi="Times New Roman" w:cs="Times New Roman"/>
          <w:sz w:val="28"/>
          <w:szCs w:val="28"/>
          <w:lang w:val="en-US"/>
        </w:rPr>
      </w:pPr>
      <w:r w:rsidRPr="00C60040">
        <w:rPr>
          <w:rFonts w:ascii="Times New Roman" w:hAnsi="Times New Roman" w:cs="Times New Roman"/>
          <w:sz w:val="28"/>
          <w:szCs w:val="28"/>
          <w:lang w:val="en-US"/>
        </w:rPr>
        <w:t>2.3.5</w:t>
      </w:r>
    </w:p>
    <w:p w14:paraId="277B8F04" w14:textId="280A9B9B" w:rsidR="0029441D" w:rsidRPr="00C60040" w:rsidRDefault="00D613F2" w:rsidP="00730539">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Пересказ</w:t>
      </w:r>
      <w:r w:rsidRPr="00F24971">
        <w:rPr>
          <w:rFonts w:ascii="Times New Roman" w:hAnsi="Times New Roman" w:cs="Times New Roman"/>
          <w:sz w:val="28"/>
          <w:szCs w:val="28"/>
          <w:lang w:val="en-US"/>
        </w:rPr>
        <w:t xml:space="preserve"> </w:t>
      </w:r>
      <w:r>
        <w:rPr>
          <w:rFonts w:ascii="Times New Roman" w:hAnsi="Times New Roman" w:cs="Times New Roman"/>
          <w:sz w:val="28"/>
          <w:szCs w:val="28"/>
        </w:rPr>
        <w:t>статьи</w:t>
      </w:r>
      <w:r w:rsidR="00730539" w:rsidRPr="00F24971">
        <w:rPr>
          <w:rFonts w:ascii="Times New Roman" w:hAnsi="Times New Roman" w:cs="Times New Roman"/>
          <w:sz w:val="28"/>
          <w:szCs w:val="28"/>
          <w:lang w:val="en-US"/>
        </w:rPr>
        <w:t xml:space="preserve"> </w:t>
      </w:r>
      <w:r w:rsidR="00EB660C" w:rsidRPr="00F24971">
        <w:rPr>
          <w:rFonts w:ascii="Times New Roman" w:hAnsi="Times New Roman" w:cs="Times New Roman"/>
          <w:sz w:val="28"/>
          <w:szCs w:val="28"/>
          <w:lang w:val="en-US"/>
        </w:rPr>
        <w:t>1</w:t>
      </w:r>
      <w:r w:rsidR="00C60040" w:rsidRPr="00C60040">
        <w:rPr>
          <w:rFonts w:ascii="Times New Roman" w:hAnsi="Times New Roman" w:cs="Times New Roman"/>
          <w:sz w:val="28"/>
          <w:szCs w:val="28"/>
          <w:lang w:val="en-US"/>
        </w:rPr>
        <w:t>4</w:t>
      </w:r>
    </w:p>
    <w:p w14:paraId="323B8E9C" w14:textId="46D6C443" w:rsidR="00F24971" w:rsidRPr="00F24971" w:rsidRDefault="00556CF9" w:rsidP="00503283">
      <w:pPr>
        <w:spacing w:after="0" w:line="360" w:lineRule="auto"/>
        <w:ind w:firstLine="709"/>
        <w:jc w:val="center"/>
        <w:rPr>
          <w:rFonts w:ascii="Times New Roman" w:hAnsi="Times New Roman" w:cs="Times New Roman"/>
          <w:sz w:val="28"/>
          <w:szCs w:val="28"/>
          <w:lang w:val="en-US"/>
        </w:rPr>
      </w:pPr>
      <w:r w:rsidRPr="00B8202C">
        <w:rPr>
          <w:rFonts w:ascii="Times New Roman" w:hAnsi="Times New Roman" w:cs="Times New Roman"/>
          <w:b/>
          <w:bCs/>
          <w:sz w:val="28"/>
          <w:szCs w:val="28"/>
          <w:lang w:val="en-US"/>
        </w:rPr>
        <w:t>«</w:t>
      </w:r>
      <w:r w:rsidR="00503283" w:rsidRPr="00503283">
        <w:rPr>
          <w:rFonts w:ascii="Times New Roman" w:hAnsi="Times New Roman" w:cs="Times New Roman"/>
          <w:b/>
          <w:bCs/>
          <w:sz w:val="28"/>
          <w:szCs w:val="28"/>
          <w:lang w:val="en-US"/>
        </w:rPr>
        <w:t>Random Number Generators: Principles and Applications</w:t>
      </w:r>
      <w:r w:rsidRPr="00B8202C">
        <w:rPr>
          <w:rFonts w:ascii="Times New Roman" w:hAnsi="Times New Roman" w:cs="Times New Roman"/>
          <w:b/>
          <w:bCs/>
          <w:sz w:val="28"/>
          <w:szCs w:val="28"/>
          <w:lang w:val="en-US"/>
        </w:rPr>
        <w:t>»</w:t>
      </w:r>
      <w:r w:rsidR="001025FA" w:rsidRPr="00B8202C">
        <w:rPr>
          <w:rFonts w:ascii="Times New Roman" w:hAnsi="Times New Roman" w:cs="Times New Roman"/>
          <w:b/>
          <w:bCs/>
          <w:sz w:val="28"/>
          <w:szCs w:val="28"/>
          <w:lang w:val="en-US"/>
        </w:rPr>
        <w:t xml:space="preserve"> </w:t>
      </w:r>
    </w:p>
    <w:p w14:paraId="00E08FDD" w14:textId="77777777" w:rsidR="00503283" w:rsidRPr="008A382A" w:rsidRDefault="00503283" w:rsidP="00503283">
      <w:pPr>
        <w:spacing w:after="0" w:line="360" w:lineRule="auto"/>
        <w:ind w:firstLine="709"/>
        <w:jc w:val="both"/>
        <w:rPr>
          <w:rFonts w:ascii="Times New Roman" w:hAnsi="Times New Roman" w:cs="Times New Roman"/>
          <w:b/>
          <w:bCs/>
          <w:sz w:val="28"/>
          <w:szCs w:val="28"/>
          <w:lang w:val="en-US"/>
        </w:rPr>
      </w:pPr>
      <w:r w:rsidRPr="008A382A">
        <w:rPr>
          <w:rFonts w:ascii="Times New Roman" w:hAnsi="Times New Roman" w:cs="Times New Roman"/>
          <w:b/>
          <w:bCs/>
          <w:sz w:val="28"/>
          <w:szCs w:val="28"/>
          <w:lang w:val="en-US"/>
        </w:rPr>
        <w:t>1. The headline of the article. The author. The publication data.</w:t>
      </w:r>
    </w:p>
    <w:p w14:paraId="41FBC536" w14:textId="77777777" w:rsidR="00503283" w:rsidRPr="00503283" w:rsidRDefault="00503283" w:rsidP="00503283">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The article under review is entitled “Random Number Generators: Principles and Applications”.</w:t>
      </w:r>
    </w:p>
    <w:p w14:paraId="72C97DBC" w14:textId="77777777" w:rsidR="00503283" w:rsidRPr="00503283" w:rsidRDefault="00503283" w:rsidP="00503283">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It is written by Anastasios Bikos, Panagiotis E. Nastou, Georgios Petroudis, and Yannis C. Stamatiou, affiliated with the University of Patras (Greece), the University of the Aegean (Greece), and the University of Florida (USA).</w:t>
      </w:r>
    </w:p>
    <w:p w14:paraId="380B18D7" w14:textId="3ECCA4BA"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The paper was published in the journal Cryptography (MDPI) on 30 October 2023 (Volume 7, Issue 4, Article 54). It is an open‑access article distributed under the Creative Commons Attribution License.</w:t>
      </w:r>
    </w:p>
    <w:p w14:paraId="1CC4BC63" w14:textId="77777777" w:rsidR="00503283" w:rsidRPr="00BA1CCB" w:rsidRDefault="00503283" w:rsidP="00503283">
      <w:pPr>
        <w:spacing w:after="0" w:line="360" w:lineRule="auto"/>
        <w:ind w:firstLine="709"/>
        <w:jc w:val="both"/>
        <w:rPr>
          <w:rFonts w:ascii="Times New Roman" w:hAnsi="Times New Roman" w:cs="Times New Roman"/>
          <w:b/>
          <w:bCs/>
          <w:sz w:val="28"/>
          <w:szCs w:val="28"/>
          <w:lang w:val="en-US"/>
        </w:rPr>
      </w:pPr>
      <w:r w:rsidRPr="00BA1CCB">
        <w:rPr>
          <w:rFonts w:ascii="Times New Roman" w:hAnsi="Times New Roman" w:cs="Times New Roman"/>
          <w:b/>
          <w:bCs/>
          <w:sz w:val="28"/>
          <w:szCs w:val="28"/>
          <w:lang w:val="en-US"/>
        </w:rPr>
        <w:t>2. The topic of the article and logical parts.</w:t>
      </w:r>
    </w:p>
    <w:p w14:paraId="2333E7AC" w14:textId="4BD83EA6"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The central topic of the article is random number generation — its theoretical foundations, practical methods, and applications where unpredictability is essential. The authors aim to give a concise but insightful overview of the principles behind true random number generators (TRNGs) and pseudorandom number generators (PRNGs), explain how to test their output statistically, and illustrate their use in two critical domains: cryptographic key generation and electronic lotteries.</w:t>
      </w:r>
    </w:p>
    <w:p w14:paraId="01C5457C" w14:textId="41E8404B"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The article is logically divided into several well‑structured parts:</w:t>
      </w:r>
    </w:p>
    <w:p w14:paraId="1C2D84ED" w14:textId="05F75CDC"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Introduction: discusses the elusive nature of randomness, different viewpoints (practitioner’s, descriptional complexity, computational complexity, statistical), and the famous quote by John von Neumann about the “sin” of algorithmic random number generation.</w:t>
      </w:r>
    </w:p>
    <w:p w14:paraId="5D179889" w14:textId="7DB20EB4"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 xml:space="preserve">Sources of Randomness (Entropy): introduces the concept of entropy (especially min‑entropy), describes the NIST model for an entropy source (noise source, digitisation, post‑processing, health tests), and presents both non‑physical (system data, user interactions) and physical (electronic noise, ring oscillators, </w:t>
      </w:r>
      <w:r w:rsidRPr="00503283">
        <w:rPr>
          <w:rFonts w:ascii="Times New Roman" w:hAnsi="Times New Roman" w:cs="Times New Roman"/>
          <w:sz w:val="28"/>
          <w:szCs w:val="28"/>
          <w:lang w:val="en-US"/>
        </w:rPr>
        <w:lastRenderedPageBreak/>
        <w:t>PUFs) entropy sources. It also covers theoretical models for imperfect sources (von Neumann’s method, Santha‑Vazirani sources) and how to combine multiple sources.</w:t>
      </w:r>
    </w:p>
    <w:p w14:paraId="5550587B" w14:textId="32EB04BB"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Pseudorandom Number Generation: explains the difference between TRNGs and PRNGs, defines cryptographically secure PRNGs (unpredictability based on hard mathematical problems), and presents several important generators:</w:t>
      </w:r>
    </w:p>
    <w:p w14:paraId="0F2FA6DF" w14:textId="7D213ECA"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Linear Congruential Generators (LCGs) – simple but predictable.</w:t>
      </w:r>
    </w:p>
    <w:p w14:paraId="49B2ED68" w14:textId="7F72C8CF"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Blum‑Blum‑Shub (BBS) generator – security based on quadratic residuosity.</w:t>
      </w:r>
    </w:p>
    <w:p w14:paraId="76680D6E" w14:textId="718EB019"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RSA/Rabin generator – security based on the RSA assumption.</w:t>
      </w:r>
    </w:p>
    <w:p w14:paraId="5170DE85" w14:textId="0A069583"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Generators based on block ciphers (DES, AES) in feedback modes.</w:t>
      </w:r>
    </w:p>
    <w:p w14:paraId="3EA23E80" w14:textId="39A281C1"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Yarrow PRNG – a design combining entropy accumulation and reseeding.</w:t>
      </w:r>
    </w:p>
    <w:p w14:paraId="6E26B080" w14:textId="2A58A7AD"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Algorithms M and B – methods to shuffle the output of generators to increase randomness.</w:t>
      </w:r>
    </w:p>
    <w:p w14:paraId="1536DC98" w14:textId="2625542B"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Randomness Tests: provides a detailed description of practical statistical tests (based on Knuth’s work and adapted for integer/binary sequences), including the chi‑square test, Kolmogorov‑Smirnov test, equidistribution (monobit) test, serial test, gap test, poker test, coupon collector’s test, permutation test, run test, maximum‑t test, collision test, birthday spacings test, and serial correlation test. It also briefly presents the Diehard test suite.</w:t>
      </w:r>
    </w:p>
    <w:p w14:paraId="09299AE1" w14:textId="011AB191"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Application Domains Where Unpredictability Is Essential:</w:t>
      </w:r>
    </w:p>
    <w:p w14:paraId="2FFE7852" w14:textId="781AC723"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Cryptographic key generation – a scheme using a PUF as entropy source, a key derivation function (KDF) based on Mersenne Twister and SHA‑256, and XOR combination to produce symmetric keys.</w:t>
      </w:r>
    </w:p>
    <w:p w14:paraId="44A0585E" w14:textId="36568426"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 xml:space="preserve">Online electronic lotteries – a comprehensive protocol ensuring that draw numbers cannot be predicted or manipulated. The protocol involves a Generator and a Verifier, uses multiple true randomness sources, combines their outputs (via XOR), applies the Naor‑Reingold pseudorandom function for commitment, employs block‑cipher‑based generators (DES, AES) and cryptographically secure generators (RSA, BBS), signs and encrypts the numbers, and includes mechanisms to prevent post‑betting (by hashing the coupon file). Algorithms M and B are used to mix </w:t>
      </w:r>
      <w:r w:rsidRPr="00503283">
        <w:rPr>
          <w:rFonts w:ascii="Times New Roman" w:hAnsi="Times New Roman" w:cs="Times New Roman"/>
          <w:sz w:val="28"/>
          <w:szCs w:val="28"/>
          <w:lang w:val="en-US"/>
        </w:rPr>
        <w:lastRenderedPageBreak/>
        <w:t>generator outputs. The Simplified Optimal Asymmetric Encryption Padding (SAEP) protocol is applied for additional security.</w:t>
      </w:r>
    </w:p>
    <w:p w14:paraId="5C80FB88" w14:textId="3018838B"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Conclusions: reiterates that true randomness is philosophically problematic, but computational complexity provides a practical way to achieve unpredictability. The interplay between complexity theory and cryptography is suggested as a fruitful future direction.</w:t>
      </w:r>
    </w:p>
    <w:p w14:paraId="5B3E793B" w14:textId="77777777" w:rsidR="00503283" w:rsidRPr="00BA1CCB" w:rsidRDefault="00503283" w:rsidP="00503283">
      <w:pPr>
        <w:spacing w:after="0" w:line="360" w:lineRule="auto"/>
        <w:ind w:firstLine="709"/>
        <w:jc w:val="both"/>
        <w:rPr>
          <w:rFonts w:ascii="Times New Roman" w:hAnsi="Times New Roman" w:cs="Times New Roman"/>
          <w:b/>
          <w:bCs/>
          <w:sz w:val="28"/>
          <w:szCs w:val="28"/>
          <w:lang w:val="en-US"/>
        </w:rPr>
      </w:pPr>
      <w:r w:rsidRPr="00BA1CCB">
        <w:rPr>
          <w:rFonts w:ascii="Times New Roman" w:hAnsi="Times New Roman" w:cs="Times New Roman"/>
          <w:b/>
          <w:bCs/>
          <w:sz w:val="28"/>
          <w:szCs w:val="28"/>
          <w:lang w:val="en-US"/>
        </w:rPr>
        <w:t>3. The content of the article. Summary.</w:t>
      </w:r>
    </w:p>
    <w:p w14:paraId="354A3579" w14:textId="377B27E4" w:rsidR="00503283" w:rsidRPr="00503283" w:rsidRDefault="00503283" w:rsidP="00BA1CCB">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The authors begin by highlighting the difficulty of defining “randomness”. They present various perspectives: statistical (uniform distribution), descriptional complexity (a sequence is random if it cannot be compressed), computational complexity (unpredictable in polynomial time), and physical (originating from natural processes). They quote von Neumann’s famous verdict that any arithmetic method of producing random digits is “in a state of sin”, but note that modern cryptography offers a “pardon” by requiring that prediction be computationally infeasible.</w:t>
      </w:r>
    </w:p>
    <w:p w14:paraId="3810A6EE" w14:textId="12DD9765" w:rsidR="00503283" w:rsidRPr="00503283" w:rsidRDefault="00503283" w:rsidP="007A3DB2">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Sources of randomness are modelled using entropy, particularly min‑entropy, which measures the difficulty of guessing the next output. A typical entropy source consists of a noise source (physical or non‑physical), digitisation, optional post‑processing, and health tests. Physical sources include electronic noise, ring oscillators, and PUFs (Physical Unclonable Functions). PUFs are especially interesting because they provide challenge‑response pairs that are hard to clone; the inherent noise in their responses can be used as entropy. Theoretical models like the von Neumann extractor (for biased independent bits) and Santha‑Vazirani sources (for sequences with bounded bias) are discussed, along with a simple method to combine several weak sources by XORing them to obtain a semi‑random sequence.</w:t>
      </w:r>
    </w:p>
    <w:p w14:paraId="159B1838" w14:textId="24277B9C" w:rsidR="00503283" w:rsidRPr="00503283" w:rsidRDefault="00503283" w:rsidP="00977102">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 xml:space="preserve">Pseudorandom number generators (PRNGs) produce long sequences from a short, truly random seed. Linear Congruential Generators (LCGs) are simple but easily predictable given enough output. Cryptographically secure PRNGs are designed to be unpredictable under reasonable computational assumptions. The BBS generator is based on the quadratic residuosity problem: it squares numbers modulo </w:t>
      </w:r>
      <w:r w:rsidRPr="00503283">
        <w:rPr>
          <w:rFonts w:ascii="Times New Roman" w:hAnsi="Times New Roman" w:cs="Times New Roman"/>
          <w:sz w:val="28"/>
          <w:szCs w:val="28"/>
          <w:lang w:val="en-US"/>
        </w:rPr>
        <w:lastRenderedPageBreak/>
        <w:t>a composite N and outputs the least significant bit; predicting future bits is as hard as factoring N. The RSA/Rabin generator works similarly but uses exponentiation with a public exponent. Generators based on block ciphers (DES, AES) in CFB mode are also secure if the underlying cipher is strong. The Yarrow design accumulates entropy from multiple sources in two pools, reseeds a block cipher key, and generates output; it is a practical example of a robust PRNG. Algorithms M and B (from Knuth) shuffle the output of one or two sequences to enhance randomness without changing the values themselves.</w:t>
      </w:r>
    </w:p>
    <w:p w14:paraId="756F5DEB" w14:textId="19BDE89D" w:rsidR="00503283" w:rsidRPr="00503283" w:rsidRDefault="00503283" w:rsidP="00977102">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Statistical testing is essential to detect weaknesses in implementations. The article describes a battery of tests adapted from Knuth’s work for integer/binary sequences: equidistribution (frequency), serial (pairs), gap (distances between occurrences), poker (patterns in groups of five), coupon collector (length to obtain all symbols), permutation (orderings), run (monotonic runs), maximum‑t (distribution of maxima), collision (when balls fall into bins), birthday spacings (spacings between sorted values), and serial correlation. These tests check whether the generated numbers behave as expected from a uniform independent source. The Diehard suite is also briefly summarised; it includes fifteen tests (birthday spacings, overlapping permutations, matrix ranks, monkey tests, parking lot, minimum distance, random spheres, squeeze, overlapping sums, runs, craps) and is considered a reliable benchmark.</w:t>
      </w:r>
    </w:p>
    <w:p w14:paraId="74204B2E" w14:textId="259199D1" w:rsidR="00503283" w:rsidRPr="00503283" w:rsidRDefault="00503283" w:rsidP="00977102">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The final part of the article showcases two applications where unpredictability is critical.</w:t>
      </w:r>
    </w:p>
    <w:p w14:paraId="5B30632C" w14:textId="05AC9FC8" w:rsidR="00503283" w:rsidRPr="00503283" w:rsidRDefault="00503283" w:rsidP="004A7908">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 xml:space="preserve">Cryptographic key generation: A PUF provides a long random bit sequence (entropy &gt;1024 bits). This sequence is encrypted and transmitted via TLS to a key generator. A pattern selection module extracts a seed for a KDF (based on Mersenne Twister and SHA‑256) and a value </w:t>
      </w:r>
      <w:r w:rsidR="00977102">
        <w:rPr>
          <w:rFonts w:ascii="Times New Roman" w:hAnsi="Times New Roman" w:cs="Times New Roman"/>
          <w:sz w:val="28"/>
          <w:szCs w:val="28"/>
          <w:lang w:val="en-US"/>
        </w:rPr>
        <w:t>Vn</w:t>
      </w:r>
      <w:r w:rsidRPr="00503283">
        <w:rPr>
          <w:rFonts w:ascii="Times New Roman" w:hAnsi="Times New Roman" w:cs="Times New Roman"/>
          <w:sz w:val="28"/>
          <w:szCs w:val="28"/>
          <w:lang w:val="en-US"/>
        </w:rPr>
        <w:t xml:space="preserve">. The KDF produces </w:t>
      </w:r>
      <w:r w:rsidR="00977102">
        <w:rPr>
          <w:rFonts w:ascii="Times New Roman" w:hAnsi="Times New Roman" w:cs="Times New Roman"/>
          <w:sz w:val="28"/>
          <w:szCs w:val="28"/>
          <w:lang w:val="en-US"/>
        </w:rPr>
        <w:t>Un</w:t>
      </w:r>
      <w:r w:rsidRPr="00503283">
        <w:rPr>
          <w:rFonts w:ascii="Times New Roman" w:hAnsi="Times New Roman" w:cs="Times New Roman"/>
          <w:sz w:val="28"/>
          <w:szCs w:val="28"/>
          <w:lang w:val="en-US"/>
        </w:rPr>
        <w:t>, and the symmetric key is B</w:t>
      </w:r>
      <w:r w:rsidR="00A0758F">
        <w:rPr>
          <w:rFonts w:ascii="Times New Roman" w:hAnsi="Times New Roman" w:cs="Times New Roman"/>
          <w:sz w:val="28"/>
          <w:szCs w:val="28"/>
          <w:lang w:val="en-US"/>
        </w:rPr>
        <w:t xml:space="preserve"> </w:t>
      </w:r>
      <w:r w:rsidRPr="00503283">
        <w:rPr>
          <w:rFonts w:ascii="Times New Roman" w:hAnsi="Times New Roman" w:cs="Times New Roman"/>
          <w:sz w:val="28"/>
          <w:szCs w:val="28"/>
          <w:lang w:val="en-US"/>
        </w:rPr>
        <w:t>=</w:t>
      </w:r>
      <w:r w:rsidR="00A0758F">
        <w:rPr>
          <w:rFonts w:ascii="Times New Roman" w:hAnsi="Times New Roman" w:cs="Times New Roman"/>
          <w:sz w:val="28"/>
          <w:szCs w:val="28"/>
          <w:lang w:val="en-US"/>
        </w:rPr>
        <w:t xml:space="preserve"> </w:t>
      </w:r>
      <w:r w:rsidRPr="00503283">
        <w:rPr>
          <w:rFonts w:ascii="Times New Roman" w:hAnsi="Times New Roman" w:cs="Times New Roman"/>
          <w:sz w:val="28"/>
          <w:szCs w:val="28"/>
          <w:lang w:val="en-US"/>
        </w:rPr>
        <w:t>U</w:t>
      </w:r>
      <w:r w:rsidR="00A0758F">
        <w:rPr>
          <w:rFonts w:ascii="Times New Roman" w:hAnsi="Times New Roman" w:cs="Times New Roman"/>
          <w:sz w:val="28"/>
          <w:szCs w:val="28"/>
          <w:lang w:val="en-US"/>
        </w:rPr>
        <w:t xml:space="preserve">n </w:t>
      </w:r>
      <w:r w:rsidRPr="00503283">
        <w:rPr>
          <w:rFonts w:ascii="Cambria Math" w:hAnsi="Cambria Math" w:cs="Cambria Math"/>
          <w:sz w:val="28"/>
          <w:szCs w:val="28"/>
          <w:lang w:val="en-US"/>
        </w:rPr>
        <w:t>⊕</w:t>
      </w:r>
      <w:r w:rsidR="00A0758F">
        <w:rPr>
          <w:rFonts w:ascii="Cambria Math" w:hAnsi="Cambria Math" w:cs="Cambria Math"/>
          <w:sz w:val="28"/>
          <w:szCs w:val="28"/>
          <w:lang w:val="en-US"/>
        </w:rPr>
        <w:t xml:space="preserve"> </w:t>
      </w:r>
      <w:r w:rsidRPr="00503283">
        <w:rPr>
          <w:rFonts w:ascii="Times New Roman" w:hAnsi="Times New Roman" w:cs="Times New Roman"/>
          <w:sz w:val="28"/>
          <w:szCs w:val="28"/>
          <w:lang w:val="en-US"/>
        </w:rPr>
        <w:t>V</w:t>
      </w:r>
      <w:r w:rsidR="00A0758F">
        <w:rPr>
          <w:rFonts w:ascii="Times New Roman" w:hAnsi="Times New Roman" w:cs="Times New Roman"/>
          <w:sz w:val="28"/>
          <w:szCs w:val="28"/>
          <w:lang w:val="en-US"/>
        </w:rPr>
        <w:t>n</w:t>
      </w:r>
      <w:r w:rsidRPr="00503283">
        <w:rPr>
          <w:rFonts w:ascii="Times New Roman" w:hAnsi="Times New Roman" w:cs="Times New Roman"/>
          <w:sz w:val="28"/>
          <w:szCs w:val="28"/>
          <w:lang w:val="en-US"/>
        </w:rPr>
        <w:t>. This method ensures high entropy and binding to the requesting context (user ID, nonce, key size).</w:t>
      </w:r>
    </w:p>
    <w:p w14:paraId="0627F506" w14:textId="4A7A6325" w:rsidR="00503283" w:rsidRPr="00503283" w:rsidRDefault="00503283" w:rsidP="004A7908">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lastRenderedPageBreak/>
        <w:t>Online electronic lottery: A detailed protocol involving a Generator and a Verifier ensures that draw numbers cannot be predicted or manipulated even by insiders. The protocol includes:</w:t>
      </w:r>
    </w:p>
    <w:p w14:paraId="121BA714" w14:textId="2583FE74" w:rsidR="00503283" w:rsidRPr="00503283" w:rsidRDefault="00503283" w:rsidP="00B731B8">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Prevention of post‑betting: The hash of the coupon file (after the betting period) is combined (XORed) with fresh true random seeds. This value is fed into the Naor‑Reingold pseudorandom function, which commits the Generator to the seeds and the coupon file state. Any later modification of the coupon file would break the commitment.</w:t>
      </w:r>
    </w:p>
    <w:p w14:paraId="02944DCF" w14:textId="6A7084CC" w:rsidR="00503283" w:rsidRPr="00503283" w:rsidRDefault="00503283" w:rsidP="00910678">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Use of multiple PRNGs: Four generators (DES, AES, RSA, BBS) are employed, either alone or combined via XOR or algorithms M and B. The combination can be changed periodically to increase unpredictability.</w:t>
      </w:r>
    </w:p>
    <w:p w14:paraId="6AD64BB9" w14:textId="79A37680" w:rsidR="00503283" w:rsidRPr="00503283" w:rsidRDefault="00503283" w:rsidP="00910678">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Authentication and encryption: The Generator and Verifier exchange RSA public keys, establish a shared secret, and communicate encrypted, signed packets. The SAEP padding scheme is applied before encryption.</w:t>
      </w:r>
    </w:p>
    <w:p w14:paraId="0D2C51DE" w14:textId="0F05F807" w:rsidR="00503283" w:rsidRPr="00503283" w:rsidRDefault="00503283" w:rsidP="00910678">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Verification: The Verifier receives the encrypted numbers and seeds, verifies the signature, decrypts, reverses SAEP, recomputes the numbers using the committed seeds, and checks that they match the received ones. If they match, the draw is valid; otherwise, an alert is raised.</w:t>
      </w:r>
    </w:p>
    <w:p w14:paraId="4A6A029A" w14:textId="7308CAD4" w:rsidR="00503283" w:rsidRPr="00503283" w:rsidRDefault="00503283" w:rsidP="00910678">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The authors conclude that while true randomness may be philosophically elusive, computational complexity provides a practical foundation for building unpredictable generators. They encourage further exploration of the interplay between complexity theory and cryptography.</w:t>
      </w:r>
    </w:p>
    <w:p w14:paraId="5FF2A23D" w14:textId="77777777" w:rsidR="00503283" w:rsidRPr="00910678" w:rsidRDefault="00503283" w:rsidP="00503283">
      <w:pPr>
        <w:spacing w:after="0" w:line="360" w:lineRule="auto"/>
        <w:ind w:firstLine="709"/>
        <w:jc w:val="both"/>
        <w:rPr>
          <w:rFonts w:ascii="Times New Roman" w:hAnsi="Times New Roman" w:cs="Times New Roman"/>
          <w:b/>
          <w:bCs/>
          <w:sz w:val="28"/>
          <w:szCs w:val="28"/>
          <w:lang w:val="en-US"/>
        </w:rPr>
      </w:pPr>
      <w:r w:rsidRPr="00910678">
        <w:rPr>
          <w:rFonts w:ascii="Times New Roman" w:hAnsi="Times New Roman" w:cs="Times New Roman"/>
          <w:b/>
          <w:bCs/>
          <w:sz w:val="28"/>
          <w:szCs w:val="28"/>
          <w:lang w:val="en-US"/>
        </w:rPr>
        <w:t>4. Your opinion (conclusion).</w:t>
      </w:r>
    </w:p>
    <w:p w14:paraId="3F4443CA" w14:textId="3CCADB4A" w:rsidR="00503283" w:rsidRPr="00503283" w:rsidRDefault="00503283" w:rsidP="00910678">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 xml:space="preserve">In my opinion, this article is an excellent and well‑balanced survey of random number generation. It successfully bridges theoretical concepts (entropy, unpredictability, computational hardness) with practical implementations (hardware entropy sources, software generators, statistical tests) and real‑world applications (key generation, eLotteries). The choice to focus on a few representative approaches rather than attempting an exhaustive catalogue makes the text clear and accessible, </w:t>
      </w:r>
      <w:r w:rsidRPr="00503283">
        <w:rPr>
          <w:rFonts w:ascii="Times New Roman" w:hAnsi="Times New Roman" w:cs="Times New Roman"/>
          <w:sz w:val="28"/>
          <w:szCs w:val="28"/>
          <w:lang w:val="en-US"/>
        </w:rPr>
        <w:lastRenderedPageBreak/>
        <w:t>while still providing enough depth for readers to understand the underlying principles.</w:t>
      </w:r>
    </w:p>
    <w:p w14:paraId="3ECE00FA" w14:textId="38E962AB" w:rsidR="00D422AF" w:rsidRPr="00556CF9" w:rsidRDefault="00503283" w:rsidP="00503283">
      <w:pPr>
        <w:spacing w:after="0" w:line="360" w:lineRule="auto"/>
        <w:ind w:firstLine="709"/>
        <w:jc w:val="both"/>
        <w:rPr>
          <w:rFonts w:ascii="Times New Roman" w:hAnsi="Times New Roman" w:cs="Times New Roman"/>
          <w:sz w:val="28"/>
          <w:szCs w:val="28"/>
          <w:lang w:val="en-US"/>
        </w:rPr>
      </w:pPr>
      <w:r w:rsidRPr="00503283">
        <w:rPr>
          <w:rFonts w:ascii="Times New Roman" w:hAnsi="Times New Roman" w:cs="Times New Roman"/>
          <w:sz w:val="28"/>
          <w:szCs w:val="28"/>
          <w:lang w:val="en-US"/>
        </w:rPr>
        <w:t>I have found the article enlightening and practically useful. It reinforces the idea that randomness, though philosophically problematic, can be achieved in a computational sense, and that careful engineering can make systems truly unpredictable. The eLottery case study, in particular, shows how theory translates into a working, secure system. This paper is a valuable addition to the literature and will serve as a useful reference for years to come.</w:t>
      </w:r>
    </w:p>
    <w:sectPr w:rsidR="00D422AF"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1343A"/>
    <w:rsid w:val="0003012D"/>
    <w:rsid w:val="00030D83"/>
    <w:rsid w:val="000A76F9"/>
    <w:rsid w:val="000C23E7"/>
    <w:rsid w:val="001025FA"/>
    <w:rsid w:val="001151EB"/>
    <w:rsid w:val="001225A1"/>
    <w:rsid w:val="00144B31"/>
    <w:rsid w:val="001552E3"/>
    <w:rsid w:val="00160F25"/>
    <w:rsid w:val="00177823"/>
    <w:rsid w:val="001D7237"/>
    <w:rsid w:val="001E1096"/>
    <w:rsid w:val="001F620B"/>
    <w:rsid w:val="00221CAC"/>
    <w:rsid w:val="00277AB2"/>
    <w:rsid w:val="00283CB2"/>
    <w:rsid w:val="00291245"/>
    <w:rsid w:val="0029441D"/>
    <w:rsid w:val="002A10D2"/>
    <w:rsid w:val="002F0DFD"/>
    <w:rsid w:val="002F741B"/>
    <w:rsid w:val="00304CD2"/>
    <w:rsid w:val="00330F3E"/>
    <w:rsid w:val="00333C9C"/>
    <w:rsid w:val="0035634A"/>
    <w:rsid w:val="003C2417"/>
    <w:rsid w:val="003F6C17"/>
    <w:rsid w:val="00400246"/>
    <w:rsid w:val="004029E3"/>
    <w:rsid w:val="004421BB"/>
    <w:rsid w:val="00453C05"/>
    <w:rsid w:val="004855F8"/>
    <w:rsid w:val="004A2FAC"/>
    <w:rsid w:val="004A7908"/>
    <w:rsid w:val="004F079C"/>
    <w:rsid w:val="00503283"/>
    <w:rsid w:val="00537DC4"/>
    <w:rsid w:val="00556CF9"/>
    <w:rsid w:val="00570502"/>
    <w:rsid w:val="00581956"/>
    <w:rsid w:val="0059327A"/>
    <w:rsid w:val="0061294C"/>
    <w:rsid w:val="006146A3"/>
    <w:rsid w:val="00617029"/>
    <w:rsid w:val="00631D71"/>
    <w:rsid w:val="0068701C"/>
    <w:rsid w:val="006C3A3C"/>
    <w:rsid w:val="006E4DB9"/>
    <w:rsid w:val="00704ED1"/>
    <w:rsid w:val="007237CA"/>
    <w:rsid w:val="00727AC5"/>
    <w:rsid w:val="00730539"/>
    <w:rsid w:val="00756905"/>
    <w:rsid w:val="007A3DB2"/>
    <w:rsid w:val="007A66CF"/>
    <w:rsid w:val="007F596E"/>
    <w:rsid w:val="0087184C"/>
    <w:rsid w:val="008A382A"/>
    <w:rsid w:val="008C21AE"/>
    <w:rsid w:val="00910117"/>
    <w:rsid w:val="00910678"/>
    <w:rsid w:val="00927B3B"/>
    <w:rsid w:val="009411E1"/>
    <w:rsid w:val="00967E67"/>
    <w:rsid w:val="009723DF"/>
    <w:rsid w:val="00976DE1"/>
    <w:rsid w:val="00977102"/>
    <w:rsid w:val="0099113B"/>
    <w:rsid w:val="009A4CB5"/>
    <w:rsid w:val="009A7AEF"/>
    <w:rsid w:val="009C0F68"/>
    <w:rsid w:val="00A0758F"/>
    <w:rsid w:val="00A2640B"/>
    <w:rsid w:val="00A42653"/>
    <w:rsid w:val="00A44F27"/>
    <w:rsid w:val="00A83AF8"/>
    <w:rsid w:val="00AE7555"/>
    <w:rsid w:val="00B259A6"/>
    <w:rsid w:val="00B30A10"/>
    <w:rsid w:val="00B731B8"/>
    <w:rsid w:val="00B81B6F"/>
    <w:rsid w:val="00B8202C"/>
    <w:rsid w:val="00BA1CCB"/>
    <w:rsid w:val="00BA7054"/>
    <w:rsid w:val="00BB1182"/>
    <w:rsid w:val="00BE624B"/>
    <w:rsid w:val="00C2188A"/>
    <w:rsid w:val="00C27708"/>
    <w:rsid w:val="00C41FD2"/>
    <w:rsid w:val="00C60040"/>
    <w:rsid w:val="00C87C3E"/>
    <w:rsid w:val="00CC401D"/>
    <w:rsid w:val="00CE4907"/>
    <w:rsid w:val="00D422AF"/>
    <w:rsid w:val="00D44998"/>
    <w:rsid w:val="00D613F2"/>
    <w:rsid w:val="00D85C84"/>
    <w:rsid w:val="00DC2D69"/>
    <w:rsid w:val="00DD4BCA"/>
    <w:rsid w:val="00DE234B"/>
    <w:rsid w:val="00DE4CAC"/>
    <w:rsid w:val="00DF2299"/>
    <w:rsid w:val="00E320EC"/>
    <w:rsid w:val="00E47B9E"/>
    <w:rsid w:val="00E53743"/>
    <w:rsid w:val="00E678FF"/>
    <w:rsid w:val="00E802B7"/>
    <w:rsid w:val="00E87C81"/>
    <w:rsid w:val="00EB660C"/>
    <w:rsid w:val="00EF2A26"/>
    <w:rsid w:val="00F24971"/>
    <w:rsid w:val="00F471BC"/>
    <w:rsid w:val="00F70321"/>
    <w:rsid w:val="00FA2EAF"/>
    <w:rsid w:val="00FD622E"/>
    <w:rsid w:val="00FE032F"/>
    <w:rsid w:val="00FE12D6"/>
    <w:rsid w:val="00FE53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8607">
      <w:bodyDiv w:val="1"/>
      <w:marLeft w:val="0"/>
      <w:marRight w:val="0"/>
      <w:marTop w:val="0"/>
      <w:marBottom w:val="0"/>
      <w:divBdr>
        <w:top w:val="none" w:sz="0" w:space="0" w:color="auto"/>
        <w:left w:val="none" w:sz="0" w:space="0" w:color="auto"/>
        <w:bottom w:val="none" w:sz="0" w:space="0" w:color="auto"/>
        <w:right w:val="none" w:sz="0" w:space="0" w:color="auto"/>
      </w:divBdr>
    </w:div>
    <w:div w:id="19819539">
      <w:bodyDiv w:val="1"/>
      <w:marLeft w:val="0"/>
      <w:marRight w:val="0"/>
      <w:marTop w:val="0"/>
      <w:marBottom w:val="0"/>
      <w:divBdr>
        <w:top w:val="none" w:sz="0" w:space="0" w:color="auto"/>
        <w:left w:val="none" w:sz="0" w:space="0" w:color="auto"/>
        <w:bottom w:val="none" w:sz="0" w:space="0" w:color="auto"/>
        <w:right w:val="none" w:sz="0" w:space="0" w:color="auto"/>
      </w:divBdr>
    </w:div>
    <w:div w:id="89199039">
      <w:bodyDiv w:val="1"/>
      <w:marLeft w:val="0"/>
      <w:marRight w:val="0"/>
      <w:marTop w:val="0"/>
      <w:marBottom w:val="0"/>
      <w:divBdr>
        <w:top w:val="none" w:sz="0" w:space="0" w:color="auto"/>
        <w:left w:val="none" w:sz="0" w:space="0" w:color="auto"/>
        <w:bottom w:val="none" w:sz="0" w:space="0" w:color="auto"/>
        <w:right w:val="none" w:sz="0" w:space="0" w:color="auto"/>
      </w:divBdr>
    </w:div>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164902956">
      <w:bodyDiv w:val="1"/>
      <w:marLeft w:val="0"/>
      <w:marRight w:val="0"/>
      <w:marTop w:val="0"/>
      <w:marBottom w:val="0"/>
      <w:divBdr>
        <w:top w:val="none" w:sz="0" w:space="0" w:color="auto"/>
        <w:left w:val="none" w:sz="0" w:space="0" w:color="auto"/>
        <w:bottom w:val="none" w:sz="0" w:space="0" w:color="auto"/>
        <w:right w:val="none" w:sz="0" w:space="0" w:color="auto"/>
      </w:divBdr>
    </w:div>
    <w:div w:id="264001091">
      <w:bodyDiv w:val="1"/>
      <w:marLeft w:val="0"/>
      <w:marRight w:val="0"/>
      <w:marTop w:val="0"/>
      <w:marBottom w:val="0"/>
      <w:divBdr>
        <w:top w:val="none" w:sz="0" w:space="0" w:color="auto"/>
        <w:left w:val="none" w:sz="0" w:space="0" w:color="auto"/>
        <w:bottom w:val="none" w:sz="0" w:space="0" w:color="auto"/>
        <w:right w:val="none" w:sz="0" w:space="0" w:color="auto"/>
      </w:divBdr>
    </w:div>
    <w:div w:id="267465922">
      <w:bodyDiv w:val="1"/>
      <w:marLeft w:val="0"/>
      <w:marRight w:val="0"/>
      <w:marTop w:val="0"/>
      <w:marBottom w:val="0"/>
      <w:divBdr>
        <w:top w:val="none" w:sz="0" w:space="0" w:color="auto"/>
        <w:left w:val="none" w:sz="0" w:space="0" w:color="auto"/>
        <w:bottom w:val="none" w:sz="0" w:space="0" w:color="auto"/>
        <w:right w:val="none" w:sz="0" w:space="0" w:color="auto"/>
      </w:divBdr>
    </w:div>
    <w:div w:id="273023815">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563493283">
      <w:bodyDiv w:val="1"/>
      <w:marLeft w:val="0"/>
      <w:marRight w:val="0"/>
      <w:marTop w:val="0"/>
      <w:marBottom w:val="0"/>
      <w:divBdr>
        <w:top w:val="none" w:sz="0" w:space="0" w:color="auto"/>
        <w:left w:val="none" w:sz="0" w:space="0" w:color="auto"/>
        <w:bottom w:val="none" w:sz="0" w:space="0" w:color="auto"/>
        <w:right w:val="none" w:sz="0" w:space="0" w:color="auto"/>
      </w:divBdr>
    </w:div>
    <w:div w:id="688677424">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915045630">
      <w:bodyDiv w:val="1"/>
      <w:marLeft w:val="0"/>
      <w:marRight w:val="0"/>
      <w:marTop w:val="0"/>
      <w:marBottom w:val="0"/>
      <w:divBdr>
        <w:top w:val="none" w:sz="0" w:space="0" w:color="auto"/>
        <w:left w:val="none" w:sz="0" w:space="0" w:color="auto"/>
        <w:bottom w:val="none" w:sz="0" w:space="0" w:color="auto"/>
        <w:right w:val="none" w:sz="0" w:space="0" w:color="auto"/>
      </w:divBdr>
    </w:div>
    <w:div w:id="955714058">
      <w:bodyDiv w:val="1"/>
      <w:marLeft w:val="0"/>
      <w:marRight w:val="0"/>
      <w:marTop w:val="0"/>
      <w:marBottom w:val="0"/>
      <w:divBdr>
        <w:top w:val="none" w:sz="0" w:space="0" w:color="auto"/>
        <w:left w:val="none" w:sz="0" w:space="0" w:color="auto"/>
        <w:bottom w:val="none" w:sz="0" w:space="0" w:color="auto"/>
        <w:right w:val="none" w:sz="0" w:space="0" w:color="auto"/>
      </w:divBdr>
    </w:div>
    <w:div w:id="1105922182">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1799567434">
      <w:bodyDiv w:val="1"/>
      <w:marLeft w:val="0"/>
      <w:marRight w:val="0"/>
      <w:marTop w:val="0"/>
      <w:marBottom w:val="0"/>
      <w:divBdr>
        <w:top w:val="none" w:sz="0" w:space="0" w:color="auto"/>
        <w:left w:val="none" w:sz="0" w:space="0" w:color="auto"/>
        <w:bottom w:val="none" w:sz="0" w:space="0" w:color="auto"/>
        <w:right w:val="none" w:sz="0" w:space="0" w:color="auto"/>
      </w:divBdr>
    </w:div>
    <w:div w:id="1943413186">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18606453">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DAEB5-9A05-4A5A-8CED-F370DA34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Pages>
  <Words>1596</Words>
  <Characters>9102</Characters>
  <Application>Microsoft Office Word</Application>
  <DocSecurity>0</DocSecurity>
  <Lines>75</Lines>
  <Paragraphs>21</Paragraphs>
  <ScaleCrop>false</ScaleCrop>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116</cp:revision>
  <dcterms:created xsi:type="dcterms:W3CDTF">2025-10-11T16:19:00Z</dcterms:created>
  <dcterms:modified xsi:type="dcterms:W3CDTF">2026-02-28T15:00:00Z</dcterms:modified>
</cp:coreProperties>
</file>